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52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48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tc>
      </w:tr>
      <w:tr>
        <w:trPr>
          <w:trHeight w:val="220"/>
        </w:trPr>
        <w:tc>
          <w:tcPr>
            <w:tcW w:w="12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333-295737</w:t>
            </w:r>
          </w:p>
        </w:tc>
      </w:tr>
      <w:tr>
        <w:trPr>
          <w:trHeight w:val="234"/>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4"/>
          <w:szCs w:val="24"/>
          <w:color w:val="auto"/>
        </w:rPr>
      </w:pPr>
    </w:p>
    <w:p>
      <w:pPr>
        <w:spacing w:after="0" w:line="20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32,914,599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161290</wp:posOffset>
            </wp:positionV>
            <wp:extent cx="258000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Vaxart, Inc.</w:t>
      </w:r>
    </w:p>
    <w:p>
      <w:pPr>
        <w:spacing w:after="0" w:line="240" w:lineRule="exact"/>
        <w:rPr>
          <w:sz w:val="24"/>
          <w:szCs w:val="24"/>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resale of up to 32,914,599 shares of our common stock by Lincoln Park Capital Fund, LLC, which we refer to in this prospectus as “Lincoln Park” or the “selling stockholder.”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common stock being offered by the selling stockholder consist of:</w:t>
      </w:r>
    </w:p>
    <w:p>
      <w:pPr>
        <w:spacing w:after="0" w:line="225" w:lineRule="exact"/>
        <w:rPr>
          <w:sz w:val="24"/>
          <w:szCs w:val="24"/>
          <w:color w:val="auto"/>
        </w:rPr>
      </w:pPr>
    </w:p>
    <w:p>
      <w:pPr>
        <w:jc w:val="both"/>
        <w:ind w:right="40" w:firstLine="332"/>
        <w:spacing w:after="0" w:line="266" w:lineRule="auto"/>
        <w:tabs>
          <w:tab w:leader="none" w:pos="4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32,467,532 shares of common stock that we may elect to issue and sell to Lincoln Park, in our sole discretion from time to time after the date of this prospectus (the “Purchase Shares”), pursuant to a purchase agreement, dated as of April 16, 2026, that we entered into with Lincoln Park, which we refer to in this prospectus as the “Purchase Agreement”, providing for up to $25 million of committed equity financing; and</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4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447,067 shares of our common stock that we issued to Lincoln Park on April 16, 2026 as consideration for its irrevocable commitment to purchase our common stock pursuant to the Purchase Agreement (the “Commitment Shares”).</w:t>
      </w:r>
    </w:p>
    <w:p>
      <w:pPr>
        <w:spacing w:after="0" w:line="162" w:lineRule="exact"/>
        <w:rPr>
          <w:sz w:val="24"/>
          <w:szCs w:val="24"/>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See “The Lincoln Park Transaction” for descriptions of the Purchase Agreement and “Selling Stockholder” for additional information regarding Lincoln Park.</w:t>
      </w:r>
    </w:p>
    <w:p>
      <w:pPr>
        <w:spacing w:after="0" w:line="162" w:lineRule="exact"/>
        <w:rPr>
          <w:sz w:val="24"/>
          <w:szCs w:val="24"/>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resale by the selling stockholder of shares of common stock under this prospectus. However, we may receive proceeds of up to $25 million from our sale of Purchase Shares, if any, to Lincoln Park under the Purchase Agreement, from time to time in our discretion after the date the registration statement of which this prospectus is a part is declared effective and the other conditions in the Purchase Agreement have been satisfied.</w:t>
      </w:r>
    </w:p>
    <w:p>
      <w:pPr>
        <w:spacing w:after="0" w:line="180" w:lineRule="exact"/>
        <w:rPr>
          <w:sz w:val="24"/>
          <w:szCs w:val="24"/>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Lincoln Park may sell the shares of our common stock described in this prospectus in a number of different ways and at varying prices. The price that Lincoln Park will pay for the shares to be resold pursuant to this prospectus will depend upon the timing of sales and will fluctuate based on the trading price of our common stock. Lincoln Park is an “underwriter” within the meaning of Section 2(a)(11) of the Securities Act of 1933, as amended (the “Securities Act”).</w:t>
      </w:r>
    </w:p>
    <w:p>
      <w:pPr>
        <w:spacing w:after="0" w:line="180" w:lineRule="exact"/>
        <w:rPr>
          <w:sz w:val="24"/>
          <w:szCs w:val="24"/>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purchase price for the Purchase Shares will be based upon formulas set forth in the Purchase Agreement and described in this prospectus depending on the type of purchase notice we submit to Lincoln Park from time to time. We will pay the expenses incurred in registering the shares of our common stock, including legal and accounting fees. See “Plan of Distribution” beginning on page </w:t>
      </w:r>
      <w:r>
        <w:rPr>
          <w:rFonts w:ascii="Times New Roman" w:cs="Times New Roman" w:eastAsia="Times New Roman" w:hAnsi="Times New Roman"/>
          <w:sz w:val="18"/>
          <w:szCs w:val="18"/>
          <w:u w:val="single" w:color="auto"/>
          <w:color w:val="0000EE"/>
        </w:rPr>
        <w:t>130</w:t>
      </w:r>
      <w:r>
        <w:rPr>
          <w:rFonts w:ascii="Times New Roman" w:cs="Times New Roman" w:eastAsia="Times New Roman" w:hAnsi="Times New Roman"/>
          <w:sz w:val="18"/>
          <w:szCs w:val="18"/>
          <w:color w:val="auto"/>
        </w:rPr>
        <w:t xml:space="preserve"> for more information about how Lincoln Park may sell the shares of common stock being registered pursuant to this prospectus.</w:t>
      </w:r>
    </w:p>
    <w:p>
      <w:pPr>
        <w:spacing w:after="0" w:line="180" w:lineRule="exact"/>
        <w:rPr>
          <w:sz w:val="24"/>
          <w:szCs w:val="24"/>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OTCQX® Best Market (the “OTC”) under the symbol “VXRT.” On May 7, 2026, the closing price per share of our common stock on the OTC was $0.74.</w:t>
      </w:r>
    </w:p>
    <w:p>
      <w:pPr>
        <w:spacing w:after="0" w:line="158" w:lineRule="exact"/>
        <w:rPr>
          <w:sz w:val="24"/>
          <w:szCs w:val="24"/>
          <w:color w:val="auto"/>
        </w:rPr>
      </w:pPr>
    </w:p>
    <w:p>
      <w:pPr>
        <w:ind w:right="1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is highly speculative and involves a significant degree of risk. Please consider carefully the specific factors set forth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this prospectus and in our filings with the Securities and Exchange Commission.</w:t>
      </w:r>
    </w:p>
    <w:p>
      <w:pPr>
        <w:spacing w:after="0" w:line="155" w:lineRule="exact"/>
        <w:rPr>
          <w:sz w:val="24"/>
          <w:szCs w:val="24"/>
          <w:color w:val="auto"/>
        </w:rPr>
      </w:pPr>
    </w:p>
    <w:p>
      <w:pPr>
        <w:ind w:right="4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date of this prospectus is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216"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440" w:type="dxa"/>
            <w:vAlign w:val="bottom"/>
            <w:gridSpan w:val="12"/>
            <w:vMerge w:val="restart"/>
          </w:tcPr>
          <w:p>
            <w:pPr>
              <w:spacing w:after="0"/>
              <w:rPr>
                <w:sz w:val="24"/>
                <w:szCs w:val="24"/>
                <w:color w:val="auto"/>
              </w:rPr>
            </w:pPr>
          </w:p>
        </w:tc>
        <w:tc>
          <w:tcPr>
            <w:tcW w:w="5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2240" w:type="dxa"/>
            <w:vAlign w:val="bottom"/>
            <w:gridSpan w:val="8"/>
            <w:vMerge w:val="continue"/>
          </w:tcPr>
          <w:p>
            <w:pPr>
              <w:spacing w:after="0"/>
              <w:rPr>
                <w:sz w:val="14"/>
                <w:szCs w:val="14"/>
                <w:color w:val="auto"/>
              </w:rPr>
            </w:pPr>
          </w:p>
        </w:tc>
        <w:tc>
          <w:tcPr>
            <w:tcW w:w="8440" w:type="dxa"/>
            <w:vAlign w:val="bottom"/>
            <w:gridSpan w:val="12"/>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4"/>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140" w:type="dxa"/>
            <w:vAlign w:val="bottom"/>
            <w:gridSpan w:val="2"/>
          </w:tcPr>
          <w:p>
            <w:pPr>
              <w:spacing w:after="0"/>
              <w:rPr>
                <w:sz w:val="17"/>
                <w:szCs w:val="17"/>
                <w:color w:val="auto"/>
              </w:rPr>
            </w:pPr>
          </w:p>
        </w:tc>
        <w:tc>
          <w:tcPr>
            <w:tcW w:w="844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4"/>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858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4"/>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942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4"/>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5"/>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59</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OUR AGREEMENTS WITH LINCOLN PARK</w:t>
            </w:r>
          </w:p>
        </w:tc>
        <w:tc>
          <w:tcPr>
            <w:tcW w:w="1840" w:type="dxa"/>
            <w:vAlign w:val="bottom"/>
            <w:tcBorders>
              <w:top w:val="single" w:sz="8" w:color="0000EE"/>
            </w:tcBorders>
            <w:gridSpan w:val="5"/>
          </w:tcPr>
          <w:p>
            <w:pPr>
              <w:spacing w:after="0"/>
              <w:rPr>
                <w:sz w:val="17"/>
                <w:szCs w:val="17"/>
                <w:color w:val="auto"/>
              </w:rPr>
            </w:pPr>
          </w:p>
        </w:tc>
        <w:tc>
          <w:tcPr>
            <w:tcW w:w="53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60</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5"/>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66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MARKET FOR COMMON STOCK AND DIVIDEND POLICY</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5"/>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67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BUSINESS</w:t>
            </w:r>
          </w:p>
        </w:tc>
        <w:tc>
          <w:tcPr>
            <w:tcW w:w="5960" w:type="dxa"/>
            <w:vAlign w:val="bottom"/>
            <w:gridSpan w:val="5"/>
          </w:tcPr>
          <w:p>
            <w:pPr>
              <w:spacing w:after="0"/>
              <w:rPr>
                <w:sz w:val="17"/>
                <w:szCs w:val="17"/>
                <w:color w:val="auto"/>
              </w:rPr>
            </w:pPr>
          </w:p>
        </w:tc>
        <w:tc>
          <w:tcPr>
            <w:tcW w:w="420" w:type="dxa"/>
            <w:vAlign w:val="bottom"/>
            <w:gridSpan w:val="6"/>
          </w:tcPr>
          <w:p>
            <w:pPr>
              <w:jc w:val="center"/>
              <w:ind w:left="70"/>
              <w:spacing w:after="0" w:line="196" w:lineRule="exact"/>
              <w:rPr>
                <w:sz w:val="20"/>
                <w:szCs w:val="20"/>
                <w:color w:val="auto"/>
              </w:rPr>
            </w:pPr>
            <w:r>
              <w:rPr>
                <w:rFonts w:ascii="Times New Roman" w:cs="Times New Roman" w:eastAsia="Times New Roman" w:hAnsi="Times New Roman"/>
                <w:sz w:val="18"/>
                <w:szCs w:val="18"/>
                <w:color w:val="0000EE"/>
                <w:w w:val="99"/>
              </w:rPr>
              <w:t>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20" w:type="dxa"/>
            <w:vAlign w:val="bottom"/>
            <w:gridSpan w:val="6"/>
          </w:tcPr>
          <w:p>
            <w:pPr>
              <w:jc w:val="center"/>
              <w:ind w:left="70"/>
              <w:spacing w:after="0" w:line="196" w:lineRule="exact"/>
              <w:rPr>
                <w:sz w:val="20"/>
                <w:szCs w:val="20"/>
                <w:color w:val="auto"/>
              </w:rPr>
            </w:pPr>
            <w:r>
              <w:rPr>
                <w:rFonts w:ascii="Times New Roman" w:cs="Times New Roman" w:eastAsia="Times New Roman" w:hAnsi="Times New Roman"/>
                <w:sz w:val="18"/>
                <w:szCs w:val="18"/>
                <w:color w:val="0000EE"/>
                <w:w w:val="99"/>
              </w:rPr>
              <w:t>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1760" w:type="dxa"/>
            <w:vAlign w:val="bottom"/>
          </w:tcPr>
          <w:p>
            <w:pPr>
              <w:spacing w:after="0"/>
              <w:rPr>
                <w:sz w:val="17"/>
                <w:szCs w:val="17"/>
                <w:color w:val="auto"/>
              </w:rPr>
            </w:pPr>
          </w:p>
        </w:tc>
        <w:tc>
          <w:tcPr>
            <w:tcW w:w="56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0000EE"/>
              </w:rPr>
              <w:t>108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220" w:type="dxa"/>
            <w:vAlign w:val="bottom"/>
            <w:gridSpan w:val="10"/>
          </w:tcPr>
          <w:p>
            <w:pPr>
              <w:spacing w:after="0"/>
              <w:rPr>
                <w:sz w:val="17"/>
                <w:szCs w:val="17"/>
                <w:color w:val="auto"/>
              </w:rPr>
            </w:pPr>
          </w:p>
        </w:tc>
        <w:tc>
          <w:tcPr>
            <w:tcW w:w="420" w:type="dxa"/>
            <w:vAlign w:val="bottom"/>
            <w:gridSpan w:val="6"/>
          </w:tcPr>
          <w:p>
            <w:pPr>
              <w:jc w:val="center"/>
              <w:ind w:left="70"/>
              <w:spacing w:after="0" w:line="196" w:lineRule="exact"/>
              <w:rPr>
                <w:sz w:val="20"/>
                <w:szCs w:val="20"/>
                <w:color w:val="auto"/>
              </w:rPr>
            </w:pPr>
            <w:r>
              <w:rPr>
                <w:rFonts w:ascii="Times New Roman" w:cs="Times New Roman" w:eastAsia="Times New Roman" w:hAnsi="Times New Roman"/>
                <w:sz w:val="18"/>
                <w:szCs w:val="18"/>
                <w:color w:val="0000EE"/>
                <w:w w:val="96"/>
              </w:rPr>
              <w:t>118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9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0000EE"/>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 AND RELATED PARTY TRANSACTIONS</w:t>
            </w:r>
          </w:p>
        </w:tc>
        <w:tc>
          <w:tcPr>
            <w:tcW w:w="53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0000EE"/>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856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0000EE"/>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128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58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0000EE"/>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130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SECURITIES TO BE REGISTERED</w:t>
            </w:r>
          </w:p>
        </w:tc>
        <w:tc>
          <w:tcPr>
            <w:tcW w:w="56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0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133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7"/>
                <w:szCs w:val="17"/>
                <w:color w:val="auto"/>
              </w:rPr>
            </w:pPr>
          </w:p>
        </w:tc>
        <w:tc>
          <w:tcPr>
            <w:tcW w:w="922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133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6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3820" w:type="dxa"/>
            <w:vAlign w:val="bottom"/>
            <w:gridSpan w:val="1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60" w:type="dxa"/>
            <w:vAlign w:val="bottom"/>
          </w:tcPr>
          <w:p>
            <w:pPr>
              <w:spacing w:after="0"/>
              <w:rPr>
                <w:sz w:val="17"/>
                <w:szCs w:val="17"/>
                <w:color w:val="auto"/>
              </w:rPr>
            </w:pPr>
          </w:p>
        </w:tc>
        <w:tc>
          <w:tcPr>
            <w:tcW w:w="400" w:type="dxa"/>
            <w:vAlign w:val="bottom"/>
            <w:gridSpan w:val="6"/>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18"/>
                <w:szCs w:val="18"/>
                <w:color w:val="0000EE"/>
                <w:w w:val="95"/>
              </w:rPr>
              <w:t>F-1</w:t>
            </w:r>
          </w:p>
        </w:tc>
        <w:tc>
          <w:tcPr>
            <w:tcW w:w="0" w:type="dxa"/>
            <w:vAlign w:val="bottom"/>
          </w:tcPr>
          <w:p>
            <w:pPr>
              <w:spacing w:after="0"/>
              <w:rPr>
                <w:sz w:val="1"/>
                <w:szCs w:val="1"/>
                <w:color w:val="auto"/>
              </w:rPr>
            </w:pPr>
          </w:p>
        </w:tc>
      </w:tr>
      <w:tr>
        <w:trPr>
          <w:trHeight w:val="594"/>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The registration statement we filed with the Securities and Exchange Commission (the “SEC”) includes exhibits that provide more detail of the matters discussed in this prospectus. You should read this prospectus, the related exhibits filed with the SEC. You should rely only on the information provided in this prospectus or any amendment thereto. In addition,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 named in this prospectus may sell up to 32,467,532 shares of our common stock previously issued and issuable pursuant to the Purchase Agreement from time to time. This prospectus also covers any shares of common stock that may become issuable as a result of share splits, share dividends, or similar transactions. We have agreed to pay the expenses incurred in registering these shares, including legal and accounting fees.</w:t>
      </w:r>
    </w:p>
    <w:p>
      <w:pPr>
        <w:spacing w:after="0" w:line="176"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We have not, and the selling stockholder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83" w:lineRule="exact"/>
        <w:rPr>
          <w:sz w:val="20"/>
          <w:szCs w:val="20"/>
          <w:color w:val="auto"/>
        </w:rPr>
      </w:pPr>
    </w:p>
    <w:p>
      <w:pPr>
        <w:ind w:firstLine="360"/>
        <w:spacing w:after="0" w:line="312" w:lineRule="auto"/>
        <w:rPr>
          <w:sz w:val="20"/>
          <w:szCs w:val="20"/>
          <w:color w:val="auto"/>
        </w:rPr>
      </w:pPr>
      <w:r>
        <w:rPr>
          <w:rFonts w:ascii="Times New Roman" w:cs="Times New Roman" w:eastAsia="Times New Roman" w:hAnsi="Times New Roman"/>
          <w:sz w:val="17"/>
          <w:szCs w:val="17"/>
          <w:color w:val="auto"/>
        </w:rPr>
        <w:t>The selling stockholder is offering to sell, and seeking offers to buy, shares of our common stock only under circumstances and in jurisdictions where it is lawful to do so. The selling stockholder is not making an offer to sell these securities in any state or jurisdiction where the offer or sale is not permitted.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the context otherwise requires, “Vaxart,” “VXRT,” “the Company,” “we,” “us,” “our” and similar terms refer to Vaxart,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audited and unaudited financial statements, notes to the financial statements and other information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primarily focused on the development of oral recombinant vaccines based on our Vector-Adjuvant-Antigen Standardized Technology (“VAAST”)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Corporate History and Reorganization</w:t>
      </w:r>
    </w:p>
    <w:p>
      <w:pPr>
        <w:spacing w:after="0" w:line="229"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under the name West Coast Biologicals, Inc. in March 2004 and changed its name to Vaxart, Inc. (“Private Vaxart”) in July 2007, when it reincorporated in the state of Delaware.</w:t>
      </w:r>
    </w:p>
    <w:p>
      <w:pPr>
        <w:spacing w:after="0" w:line="162" w:lineRule="exact"/>
        <w:rPr>
          <w:sz w:val="20"/>
          <w:szCs w:val="20"/>
          <w:color w:val="auto"/>
        </w:rPr>
      </w:pPr>
    </w:p>
    <w:p>
      <w:pPr>
        <w:ind w:right="240" w:firstLine="360"/>
        <w:spacing w:after="0" w:line="258" w:lineRule="auto"/>
        <w:rPr>
          <w:sz w:val="20"/>
          <w:szCs w:val="20"/>
          <w:color w:val="auto"/>
        </w:rPr>
      </w:pPr>
      <w:r>
        <w:rPr>
          <w:rFonts w:ascii="Times New Roman" w:cs="Times New Roman" w:eastAsia="Times New Roman" w:hAnsi="Times New Roman"/>
          <w:sz w:val="18"/>
          <w:szCs w:val="18"/>
          <w:color w:val="auto"/>
        </w:rPr>
        <w:t>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 Our common stock subsequently began trading on The Nasdaq Capital Market under the symbol “VXRT.” In November 2025, our common stock was delisted from Nasdaq. In July 2025, our common stock began being listed on the on the OTCQX® Best Market under the trading symbol “VXRT.”</w:t>
      </w:r>
    </w:p>
    <w:p>
      <w:pPr>
        <w:spacing w:after="0" w:line="183"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Our corporate headquarters and laboratory are located at 310 Utah Avenue, Suite 150, South San Francisco, California 94080, and our telephone number is (650) 550-3500. We maintain a website at https://www.vaxart.com, to which we regularly post copies of our press releases as well as additional information about us. The information contained on, or that can be accessed through, our website is not a part of this prospectus or the accompanying prospectus supplement. We have included our website address in this prospectus solely as an inactive textual reference.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and we will remain a smaller reporting company until the fiscal year following:</w:t>
      </w:r>
    </w:p>
    <w:p>
      <w:pPr>
        <w:spacing w:after="0" w:line="162" w:lineRule="exact"/>
        <w:rPr>
          <w:sz w:val="20"/>
          <w:szCs w:val="20"/>
          <w:color w:val="auto"/>
        </w:rPr>
      </w:pPr>
    </w:p>
    <w:p>
      <w:pPr>
        <w:ind w:right="520" w:firstLine="8"/>
        <w:spacing w:after="0" w:line="282" w:lineRule="auto"/>
        <w:tabs>
          <w:tab w:leader="none" w:pos="1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that the value of our voting and non-voting common stock held by non-affiliates is more than $250 million measured on the last business day of our second fiscal quarter;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8"/>
        <w:spacing w:after="0" w:line="282" w:lineRule="auto"/>
        <w:tabs>
          <w:tab w:leader="none" w:pos="1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 is more than $100 million during the most recently completed fiscal year and our voting and non-voting common stock held by non-affiliates is valued over $700 million measured on the last business day of our second fiscal quarter.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Smaller reporting companies are able to provide simplified executive compensation disclosures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 as a smaller reporting company, we will not be required to provide an auditor attestation of management’s assessment of internal control over financial reporting, which is generally required for SEC reporting companies under Sarbanes-Oxley Act Section 404(b), and, in contrast to other reporting companies, we’ll have more time to file our annual and periodic reports.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1"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Vaxart, Inc.</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of Common Stock Offered by the Selling Stockholder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 to 32,914,599 shares of our common stock, comprised of (i) up to 32,467,532 shares of common stock that we may elect to issue and sell to Lincoln Park as Purchase Shares, in our sole discretion from time to time after the date of this prospectus, pursuant to the Purchase Agreement; and (ii) 447,067 Commitment Shares we issued to Lincoln Park on April 16, 2026 as consideration for its irrevocable commitment to purchase our common stock under the Purchase Agreement, for which we will not receive any cash consideration.</w:t>
      </w:r>
    </w:p>
    <w:p>
      <w:pPr>
        <w:spacing w:after="0" w:line="183" w:lineRule="exact"/>
        <w:rPr>
          <w:sz w:val="20"/>
          <w:szCs w:val="20"/>
          <w:color w:val="auto"/>
        </w:rPr>
      </w:pPr>
    </w:p>
    <w:p>
      <w:pPr>
        <w:sectPr>
          <w:pgSz w:w="11900" w:h="16838" w:orient="portrait"/>
          <w:cols w:equalWidth="0" w:num="2">
            <w:col w:w="3120" w:space="500"/>
            <w:col w:w="7620"/>
          </w:cols>
          <w:pgMar w:left="320" w:top="121" w:right="339" w:bottom="1440" w:gutter="0" w:footer="0" w:header="0"/>
          <w:type w:val="continuous"/>
        </w:sectPr>
      </w:pPr>
    </w:p>
    <w:p>
      <w:pPr>
        <w:jc w:val="both"/>
        <w:ind w:right="420"/>
        <w:spacing w:after="0" w:line="300" w:lineRule="auto"/>
        <w:rPr>
          <w:sz w:val="20"/>
          <w:szCs w:val="20"/>
          <w:color w:val="auto"/>
        </w:rPr>
      </w:pPr>
      <w:r>
        <w:rPr>
          <w:rFonts w:ascii="Times New Roman" w:cs="Times New Roman" w:eastAsia="Times New Roman" w:hAnsi="Times New Roman"/>
          <w:sz w:val="17"/>
          <w:szCs w:val="17"/>
          <w:b w:val="1"/>
          <w:bCs w:val="1"/>
          <w:color w:val="auto"/>
        </w:rPr>
        <w:t>Number of Shares of Common Stock Outstanding Prior to this Offering</w:t>
      </w:r>
      <w:r>
        <w:rPr>
          <w:rFonts w:ascii="Times New Roman" w:cs="Times New Roman" w:eastAsia="Times New Roman" w:hAnsi="Times New Roman"/>
          <w:sz w:val="28"/>
          <w:szCs w:val="28"/>
          <w:b w:val="1"/>
          <w:bCs w:val="1"/>
          <w:color w:val="auto"/>
          <w:vertAlign w:val="superscript"/>
        </w:rPr>
        <w:t>(1)</w:t>
      </w:r>
    </w:p>
    <w:p>
      <w:pPr>
        <w:spacing w:after="0" w:line="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b w:val="1"/>
          <w:bCs w:val="1"/>
          <w:color w:val="auto"/>
        </w:rPr>
        <w:t>Number of Shares of Common Stock to be Outstanding After this Offering</w:t>
      </w:r>
      <w:r>
        <w:rPr>
          <w:rFonts w:ascii="Times New Roman" w:cs="Times New Roman" w:eastAsia="Times New Roman" w:hAnsi="Times New Roman"/>
          <w:sz w:val="29"/>
          <w:szCs w:val="29"/>
          <w:b w:val="1"/>
          <w:bCs w:val="1"/>
          <w:color w:val="auto"/>
          <w:vertAlign w:val="superscript"/>
        </w:rPr>
        <w:t>(1)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Offering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241,973,011 shares, which include the Commitment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274,440,543 shares, which include the Commitment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 will determine when and how it sells the Purchase Shares offered in this prospectus, as described in the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receive no proceeds from the sale of shares of our common stock by Lincoln Park pursuant to this prospectus. We may receive up to $25 million aggregate gross proceeds under the Purchase Agreement from any sales of shares of our common stock we make to Lincoln Park pursuant to the Purchase Agreement after the date of this prospectus, assuming that we sell the full amount of our common stock available to us that we have the right, but not the obligation to sell to Lincoln Park under the Purchase Agreement. Any proceeds that we receive from sales of shares of our common stock to Lincoln Park under the Purchase Agreement will be used for working capital and general corporate purposes, including investing further in research and development efforts.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 more complete description.</w:t>
      </w:r>
    </w:p>
    <w:p>
      <w:pPr>
        <w:spacing w:after="0" w:line="184" w:lineRule="exact"/>
        <w:rPr>
          <w:sz w:val="20"/>
          <w:szCs w:val="20"/>
          <w:color w:val="auto"/>
        </w:rPr>
      </w:pPr>
    </w:p>
    <w:p>
      <w:pPr>
        <w:sectPr>
          <w:pgSz w:w="11900" w:h="16838" w:orient="portrait"/>
          <w:cols w:equalWidth="0" w:num="2">
            <w:col w:w="3240" w:space="380"/>
            <w:col w:w="7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0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Investing in our securities is highly speculative and involves a high degree of risk. See “</w:t>
            </w:r>
            <w:r>
              <w:rPr>
                <w:rFonts w:ascii="Times New Roman" w:cs="Times New Roman" w:eastAsia="Times New Roman" w:hAnsi="Times New Roman"/>
                <w:sz w:val="18"/>
                <w:szCs w:val="18"/>
                <w:i w:val="1"/>
                <w:iCs w:val="1"/>
                <w:color w:val="auto"/>
              </w:rPr>
              <w:t>Risk</w:t>
            </w:r>
          </w:p>
        </w:tc>
      </w:tr>
      <w:tr>
        <w:trPr>
          <w:trHeight w:val="196"/>
        </w:trPr>
        <w:tc>
          <w:tcPr>
            <w:tcW w:w="3220" w:type="dxa"/>
            <w:vAlign w:val="bottom"/>
          </w:tcPr>
          <w:p>
            <w:pPr>
              <w:spacing w:after="0"/>
              <w:rPr>
                <w:sz w:val="17"/>
                <w:szCs w:val="17"/>
                <w:color w:val="auto"/>
              </w:rPr>
            </w:pPr>
          </w:p>
        </w:tc>
        <w:tc>
          <w:tcPr>
            <w:tcW w:w="8020" w:type="dxa"/>
            <w:vAlign w:val="bottom"/>
            <w:gridSpan w:val="3"/>
          </w:tcPr>
          <w:p>
            <w:pPr>
              <w:ind w:left="400"/>
              <w:spacing w:after="0" w:line="196" w:lineRule="exact"/>
              <w:rPr>
                <w:sz w:val="20"/>
                <w:szCs w:val="20"/>
                <w:color w:val="auto"/>
              </w:rPr>
            </w:pPr>
            <w:r>
              <w:rPr>
                <w:rFonts w:ascii="Times New Roman" w:cs="Times New Roman" w:eastAsia="Times New Roman" w:hAnsi="Times New Roman"/>
                <w:sz w:val="18"/>
                <w:szCs w:val="18"/>
                <w:i w:val="1"/>
                <w:iCs w:val="1"/>
                <w:color w:val="auto"/>
                <w:w w:val="99"/>
              </w:rPr>
              <w:t>Factors</w:t>
            </w:r>
            <w:r>
              <w:rPr>
                <w:rFonts w:ascii="Times New Roman" w:cs="Times New Roman" w:eastAsia="Times New Roman" w:hAnsi="Times New Roman"/>
                <w:sz w:val="18"/>
                <w:szCs w:val="18"/>
                <w:color w:val="auto"/>
                <w:w w:val="99"/>
              </w:rPr>
              <w:t>” beginning on page</w:t>
            </w:r>
            <w:r>
              <w:rPr>
                <w:rFonts w:ascii="Times New Roman" w:cs="Times New Roman" w:eastAsia="Times New Roman" w:hAnsi="Times New Roman"/>
                <w:sz w:val="18"/>
                <w:szCs w:val="18"/>
                <w:i w:val="1"/>
                <w:iCs w:val="1"/>
                <w:color w:val="auto"/>
                <w:w w:val="99"/>
              </w:rPr>
              <w:t xml:space="preserve"> </w:t>
            </w:r>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i w:val="1"/>
                <w:iCs w:val="1"/>
                <w:color w:val="auto"/>
                <w:w w:val="99"/>
              </w:rPr>
              <w:t xml:space="preserve"> </w:t>
            </w:r>
            <w:r>
              <w:rPr>
                <w:rFonts w:ascii="Times New Roman" w:cs="Times New Roman" w:eastAsia="Times New Roman" w:hAnsi="Times New Roman"/>
                <w:sz w:val="18"/>
                <w:szCs w:val="18"/>
                <w:color w:val="auto"/>
                <w:w w:val="99"/>
              </w:rPr>
              <w:t>of this prospectus, and the other information included in this prospectus for</w:t>
            </w:r>
          </w:p>
        </w:tc>
      </w:tr>
      <w:tr>
        <w:trPr>
          <w:trHeight w:val="20"/>
        </w:trPr>
        <w:tc>
          <w:tcPr>
            <w:tcW w:w="3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37"/>
        </w:trPr>
        <w:tc>
          <w:tcPr>
            <w:tcW w:w="3220" w:type="dxa"/>
            <w:vAlign w:val="bottom"/>
          </w:tcPr>
          <w:p>
            <w:pPr>
              <w:spacing w:after="0"/>
              <w:rPr>
                <w:sz w:val="20"/>
                <w:szCs w:val="20"/>
                <w:color w:val="auto"/>
              </w:rPr>
            </w:pPr>
          </w:p>
        </w:tc>
        <w:tc>
          <w:tcPr>
            <w:tcW w:w="80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 discussion of factors you should consider carefully before deciding to invest in our securities.</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OTC Symbol for our Common Stock</w:t>
            </w:r>
          </w:p>
        </w:tc>
        <w:tc>
          <w:tcPr>
            <w:tcW w:w="80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“VXRT”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purchase of all Purchase Shares by Lincoln Park. The number of shares of our common stock to be outstanding after this offering is based on 241,973,011 shares of common stock outstanding as of May 1, 2026, and excludes: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26,700,507 shares issuable upon the exercise of outstanding stock options at May 1, 2026, with a weighted-average exercise price of $1.52 per share;</w:t>
      </w: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6,770,405 shares issuable upon the vesting of outstanding restricted stock units (“RSUs”) at May 1, 2026;</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6,920,277 shares reserved for future issuance under our 2019 Equity Incentive Plan as of May 1, 2026;</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76,250 shares reserved for future issuance under our 2024 Inducement Award Plan as of May 1, 2026;</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10,914 shares issuable upon the exercise of outstanding warrants at May 1, 2026, with a weighted-average exercise price of $22.99 per share;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1,823,454 shares reserved for future issuance under our 2022 Employee Stock Purchase Plan (“ESPP”) at May 1, 2026.</w:t>
      </w:r>
    </w:p>
    <w:p>
      <w:pPr>
        <w:sectPr>
          <w:pgSz w:w="11900" w:h="16838" w:orient="portrait"/>
          <w:cols w:equalWidth="0" w:num="1">
            <w:col w:w="11240"/>
          </w:cols>
          <w:pgMar w:left="320" w:top="121" w:right="3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in our securities involves a high degree of risk. You should carefully consider and evaluate all of the information contained in this prospectus before you decide to purchase our securities. In particular, you should carefully consider and evaluate the risks and uncertainties described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year ended December 31, 2025 and Quarterly Report on Form 10-Q for the quarter ended March 31, 2026. Any of the risks and uncertainties set forth below and in the Annual Report, as updated by annual, quarterly and other reports and documents that we file with the SEC, or any prospectus, could materially and adversely affect our business, results of operations and financial condition, which in turn could materially and adversely affect the value of any securities offered by this prospectus. As a result, you could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discussed in more detail in the following section. These risks include, among others, the following key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this Offering</w:t>
      </w:r>
    </w:p>
    <w:p>
      <w:pPr>
        <w:spacing w:after="0" w:line="227"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common stock to Lincoln Park may cause dilution and the price of our common stock to fall.</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of common stock we will sell to Lincoln Park, the purchase price for those shares, or the actual gross proceeds we will receive.</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shares at different times will likely pay different prices and experience different levels of dilution.</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broad discretion over the use of the net proceeds, if any, from sales of shares of our common stock to Lincoln Park.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Financial Position and Capital Requirements</w:t>
      </w:r>
    </w:p>
    <w:p>
      <w:pPr>
        <w:spacing w:after="0" w:line="22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our operating history, we have generated limited product revenue.</w:t>
      </w:r>
    </w:p>
    <w:p>
      <w:pPr>
        <w:spacing w:after="0" w:line="225"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expect to continue to incur significant losses for the foreseeable future and may never achieve or maintain profitability.</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largely dependent on the success of our tablet vaccine candidates for the prevention of norovirus and coronavirus infection.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produced a commercially viable vaccine and we may be never able to.</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expand our organization and may experience difficulties in managing growth.</w:t>
      </w:r>
    </w:p>
    <w:p>
      <w:pPr>
        <w:spacing w:after="0" w:line="225"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a pandemic, epidemic, or outbreak of an infectious disease, such as the ongoing coronavirus pandemic and the emergence of additional variants.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Clinical Development, Regulatory Approval and Commercialization</w:t>
      </w:r>
    </w:p>
    <w:p>
      <w:pPr>
        <w:spacing w:after="0" w:line="227" w:lineRule="exact"/>
        <w:rPr>
          <w:sz w:val="20"/>
          <w:szCs w:val="20"/>
          <w:color w:val="auto"/>
        </w:rPr>
      </w:pPr>
    </w:p>
    <w:p>
      <w:pPr>
        <w:ind w:left="180" w:right="740" w:hanging="172"/>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coronavirus vaccines is evolving, as is the random appearance of novel variants, which may result in unexpected or unforeseen challenges.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difficult to design and implement and involve an uncertain outcome.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w:t>
      </w:r>
    </w:p>
    <w:p>
      <w:pPr>
        <w:spacing w:after="0" w:line="225" w:lineRule="exact"/>
        <w:rPr>
          <w:rFonts w:ascii="Times New Roman" w:cs="Times New Roman" w:eastAsia="Times New Roman" w:hAnsi="Times New Roman"/>
          <w:sz w:val="18"/>
          <w:szCs w:val="18"/>
          <w:color w:val="auto"/>
        </w:rPr>
      </w:pPr>
    </w:p>
    <w:p>
      <w:pPr>
        <w:ind w:left="180" w:right="40" w:hanging="172"/>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tablet vaccine candidates may cause adverse effects resulting in failure to obtain approval from the U.S. Food and Drug Administration (the “FDA”) and/or product liability lawsuits against us.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sufficient bulk vaccine for our ongoing needs.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 parties for manufacturing and clinical trials.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numerous risks associated with our intellectual property.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Dependence on Third Parties</w:t>
      </w:r>
    </w:p>
    <w:p>
      <w:pPr>
        <w:spacing w:after="0" w:line="227" w:lineRule="exact"/>
        <w:rPr>
          <w:sz w:val="20"/>
          <w:szCs w:val="20"/>
          <w:color w:val="auto"/>
        </w:rPr>
      </w:pPr>
    </w:p>
    <w:p>
      <w:pPr>
        <w:ind w:left="180" w:right="320" w:hanging="172"/>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could delay or prevent the development, approval, manufacturing, or any eventual commercialization of our product candidates.</w:t>
      </w:r>
    </w:p>
    <w:p>
      <w:pPr>
        <w:spacing w:after="0" w:line="161" w:lineRule="exact"/>
        <w:rPr>
          <w:rFonts w:ascii="Times New Roman" w:cs="Times New Roman" w:eastAsia="Times New Roman" w:hAnsi="Times New Roman"/>
          <w:sz w:val="18"/>
          <w:szCs w:val="18"/>
          <w:color w:val="auto"/>
        </w:rPr>
      </w:pPr>
    </w:p>
    <w:p>
      <w:pPr>
        <w:ind w:left="180" w:hanging="172"/>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manufacturers for certain portions of our manufacturing process. If third-party contract manufacturers do not perform,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227" w:lineRule="exact"/>
        <w:rPr>
          <w:sz w:val="20"/>
          <w:szCs w:val="20"/>
          <w:color w:val="auto"/>
        </w:rPr>
      </w:pPr>
    </w:p>
    <w:p>
      <w:pPr>
        <w:ind w:left="180" w:right="280" w:hanging="172"/>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61" w:lineRule="exact"/>
        <w:rPr>
          <w:rFonts w:ascii="Times New Roman" w:cs="Times New Roman" w:eastAsia="Times New Roman" w:hAnsi="Times New Roman"/>
          <w:sz w:val="18"/>
          <w:szCs w:val="18"/>
          <w:color w:val="auto"/>
        </w:rPr>
      </w:pPr>
    </w:p>
    <w:p>
      <w:pPr>
        <w:ind w:left="180" w:right="340" w:hanging="172"/>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the patents of our licensors or our other intellectual property rights, which could be expensive, time consuming and unsuccessful.</w:t>
      </w:r>
    </w:p>
    <w:p>
      <w:pPr>
        <w:spacing w:after="0" w:line="161" w:lineRule="exact"/>
        <w:rPr>
          <w:rFonts w:ascii="Times New Roman" w:cs="Times New Roman" w:eastAsia="Times New Roman" w:hAnsi="Times New Roman"/>
          <w:sz w:val="18"/>
          <w:szCs w:val="18"/>
          <w:color w:val="auto"/>
        </w:rPr>
      </w:pPr>
    </w:p>
    <w:p>
      <w:pPr>
        <w:ind w:left="180" w:right="20" w:hanging="172"/>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61" w:lineRule="exact"/>
        <w:rPr>
          <w:rFonts w:ascii="Times New Roman" w:cs="Times New Roman" w:eastAsia="Times New Roman" w:hAnsi="Times New Roman"/>
          <w:sz w:val="18"/>
          <w:szCs w:val="18"/>
          <w:color w:val="auto"/>
        </w:rPr>
      </w:pPr>
    </w:p>
    <w:p>
      <w:pPr>
        <w:ind w:left="180" w:right="640" w:hanging="172"/>
        <w:spacing w:after="0" w:line="266"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 which could impair our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right="220" w:hanging="172"/>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requires us to share our trade secrets, which increases the possibility that a competitor will discover them or that our trade secrets will be misappropriated or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227" w:lineRule="exact"/>
        <w:rPr>
          <w:sz w:val="20"/>
          <w:szCs w:val="20"/>
          <w:color w:val="auto"/>
        </w:rPr>
      </w:pPr>
    </w:p>
    <w:p>
      <w:pPr>
        <w:ind w:left="180" w:right="20" w:hanging="172"/>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currently traded on the OTCQX, which may have an unfavorable impact on our stock price, liquidity, and the ability of investors to purchase or sell our shares.</w:t>
      </w:r>
    </w:p>
    <w:p>
      <w:pPr>
        <w:spacing w:after="0" w:line="161" w:lineRule="exact"/>
        <w:rPr>
          <w:rFonts w:ascii="Times New Roman" w:cs="Times New Roman" w:eastAsia="Times New Roman" w:hAnsi="Times New Roman"/>
          <w:sz w:val="18"/>
          <w:szCs w:val="18"/>
          <w:color w:val="auto"/>
        </w:rPr>
      </w:pPr>
    </w:p>
    <w:p>
      <w:pPr>
        <w:ind w:left="180" w:right="100" w:hanging="172"/>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common stock is currently quoted on the OTCQX our stockholders may face significant restrictions on the resale of our common stock due to state “blue sky” laws and the sale of common stock in this offering is subject to state “blue sky”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our common stock to Lincoln Park may cause dilution and the subsequent sale of the shares of common stock acquired by Lincoln Park, or the perception that such sales may occur, could cause the price of our common stock to fall.</w:t>
      </w:r>
    </w:p>
    <w:p>
      <w:pPr>
        <w:spacing w:after="0" w:line="15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On April 16, 2026, we entered into the Purchase Agreement with Lincoln Park, pursuant to which Lincoln Park committed to purchase up to $25 million of our common stock. Other than the Commitment Shares, the shares of our common stock that may be issued under the Purchase Agreement may be sold by us to Lincoln Park from time to time at our discretion over a 24-month period from the Commencement Date through April 16, 2028, unless the Purchase Agreement is terminated prior to such date. The purchase price for the shares that we may sell to Lincoln Park under the Purchase Agreement will vary based on the price of our common stock at the time we initiate the sale. Depending on market liquidity at the time, sales of such shares may cause the trading price of our common stock to fall.</w:t>
      </w:r>
    </w:p>
    <w:p>
      <w:pPr>
        <w:spacing w:after="0" w:line="18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future sales of our shares to Lincoln Park. Sales of shares of our common stock to Lincoln Park under the Purchase Agreement, if any, will depend upon market conditions and other factors to be determined by us. We may ultimately decide to sell to Lincoln Park all, some or none of the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desire, potentially limiting our access to capital markets when we may need additional financing.</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common stock we will sell to Lincoln Park, the purchase price for those shares, or the actual gross proceeds we will receive.</w:t>
      </w:r>
    </w:p>
    <w:p>
      <w:pPr>
        <w:spacing w:after="0" w:line="1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Because the purchase price per share to be paid by Lincoln Park for the shares of common stock that we may elect to sell to Lincoln Park under the Purchase Agreement, if any, will fluctuate based on the market prices of our common stock at the time we elect to sell shares to Lincoln Park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Depending on market prices and the volume limitations in the Purchase Agreement, we may need to register additional shares under the Securities Act for resale by Lincoln Park in order to receive the full $25 million commitment, which would result in additional dilution to existing stockholders beyond what is disclosed in this prospectus.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Lincoln Park may sell the shares of our common stock described in this prospectus in a number of different ways and at varying prices. The number of shares of our common stock ultimately offered for sale by Lincoln Park is dependent upon the number of shares of common stock, if any, we ultimately sell to Lincoln Park under the Purchase Agreement.</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 and experience different levels of dilution, and the sale of the shares of common stock acquired by Lincoln Park could cause the price of our common stock to decline.</w:t>
      </w:r>
    </w:p>
    <w:p>
      <w:pPr>
        <w:spacing w:after="0" w:line="1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we have discretion, subject to market demand and the conditions in the Purchase Agreement, to vary the timing, prices, and numbers of shares sold to Lincoln Park. If and when we do elect to sell shares of our common stock to Lincoln Park pursuant to the Purchase Agreement, after Lincoln Park has acquired such shares, Lincoln Park may resell all, some or none of such shares at any time or from time to time in its discretion and at varying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The discount at which we sell shares to Lincoln Park means that Lincoln Park can sell shares at prices lower than the market price at the time of our sale to Lincoln Park while still realizing a profit, which could exert additional downward pressure on our stock price. Further, the sale of a substantial number of shares of our common stock by Lincoln Park, or anticipation of such sales, could cause the trading price of our common stock to decline or make it more difficult for us to sell equity or equity-related securities in the future at a time and at a price that we might otherwise desire.</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if any, from sales of shares of our common stock to Lincoln Park, you may not agree with how we use the proceeds and the proceeds may not be used effectively.</w:t>
      </w:r>
    </w:p>
    <w:p>
      <w:pPr>
        <w:spacing w:after="0" w:line="15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and sold from time to time by Lincoln Park. We will not receive any proceeds upon the sale of shares by Lincoln Park. However, we may receive gross proceeds of up to $25 million from the sale of shares being registered for resale under this prospectus under the Purchase Agreement to Lincoln Park. The anticipated use of net proceeds from the sale of our common stock to Lincoln Park under the Purchase Agreement represents our intentions based upon our current plans and business conditions. Because we have not designated the amount of net proceeds from the sale of shares under the Purchase Agreement to be used for any particular purpose, our management will have broad discretion as to the use of the net proceeds from our sale of shares of common stock to Lincoln Park. Accordingly, you will be relying on the judgment of our management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Further, our management may use the net proceeds for corporate purposes that may not improve our financial condition or market value. The failure of our management to use such funds effectively could have a material adverse effect on our business, financial condition, operating results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currently traded on the OTCQX, which may have an unfavorable impact on our stock price, liquidity, and the ability of investors to purchase or sell our shares.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common stock is currently quoted on the OTCQX following our delisting from The Nasdaq Capital Market in November 2025. The OTCQX is a significantly more limited market than national securities exchanges such as the New York Stock Exchange or The Nasdaq Stock Market. The OTCQX is an inter-dealer quotation system with lower financial and qualitative standards for listing, less regulatory oversight, and generally lower trading volumes and liquidity than national exchanges. As a result, trading in our common stock may be subject to wider bid-ask spreads, increased volatility, and potential manipulation, which may have little to do with our actual business operations or prospects. This volatility could depress the market price of our common stock for reasons unrelated to our operating performance. Additionally, the Financial Industry Regulatory Authority (“FINRA”) has adopted rules that require broker-dealers to have reasonable grounds for believing an investment is suitable for a customer before recommending that investment. Because speculative low-priced securities may not be suitable for many customers, broker-dealers may be less likely to recommend our common stock, which could further limit the ability of investors to buy and sell our shares, reduce liquidity, and adversely affect our stock price.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Since our common stock is currently quoted on the OTCQX our stockholders may face significant restrictions on the resale of our common stock due to state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blue sky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laws and the sale of common stock in this offering is subject to state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blue sky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laws.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Each state has its own securities laws, often called “blue sky” laws, which (i) limit sales of securities to a state’s residents unless the securities are registered in that state or qualify for an exemption from registration, and (ii) govern the reporting requirements for broker-dealers doing business directly or indirectly in the state. Before a security is sold in a state, there must be a registration in place to cover the transaction, or the transaction must be exempt from registration. The applicable broker must also be registered in that state. Since our common stock is currently quoted on the OTCQX, a determination regarding registration will be made by those broker-dealers, if any, who agree to serve as the market-makers for our common stock. There may be significant state blue sky law restrictions on the ability of investors to sell, and on purchasers to buy, our securities. You should therefore consider the resale market for our securities to be limited, as you may be unable to resell your common stock without the significant expense of state registration or qualification.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Throughout our operating history, we have generated limited product revenue.</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Even though we generate royalty revenue from Inavir, our commercialized influenza product, we are at an early stage in our clinical development process and have not yet successfully completed a large-scale, pivotal clinical trial, obtained marketing approval, manufactured our tablet vaccine candidates at commercial scale, or conducted sales and marketing activities that will be necessary to successfully commercialize our product candidates. Consequently, predictions about our future success or viability may not be as accurate as they could be if we had a history of successfully developing and commercializing product candidates.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generate significant revenue and achieve and maintain profitability will depend upon our ability to successfully complete the development of our tablet vaccine candidates for the prevention of norovirus, coronavirus and influenza infection and the treatment of cervical cancer and dysplasia caused by human papillomavirus (“HPV”) and other infectious diseases, and to obtain the necessary regulatory approvals. As disclosed elsewhere in this document, the Company is evaluating the best way to progress certain programs.</w:t>
      </w:r>
    </w:p>
    <w:p>
      <w:pPr>
        <w:spacing w:after="0" w:line="180"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Even if we receive regulatory approval for the sale of any of our product candidates, we do not know when we will begin to generate significant revenue, if at all. Our ability to generate significant revenue depends on a number of factors, including our ability to:</w:t>
      </w:r>
    </w:p>
    <w:p>
      <w:pPr>
        <w:spacing w:after="0" w:line="162"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 acceptable price for our product candidates and obtain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on our products and product candidates including in connection with sales of Inavir;</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manufacturing and distribution systems;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right="420" w:hanging="172"/>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continue to scale our operational, financial and management information systems and personnel, including personnel to support our clinical, manufacturing and planned future clinical development and commercialization efforts;</w:t>
      </w:r>
    </w:p>
    <w:p>
      <w:pPr>
        <w:spacing w:after="0" w:line="161" w:lineRule="exact"/>
        <w:rPr>
          <w:rFonts w:ascii="Times New Roman" w:cs="Times New Roman" w:eastAsia="Times New Roman" w:hAnsi="Times New Roman"/>
          <w:sz w:val="18"/>
          <w:szCs w:val="18"/>
          <w:color w:val="auto"/>
        </w:rPr>
      </w:pPr>
    </w:p>
    <w:p>
      <w:pPr>
        <w:ind w:left="180" w:right="100" w:hanging="172"/>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collaboration with others, manufacturing capabilities for bulk materials and manufacture commercial quantities of our product candidates at acceptable cost levels;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broad market acceptance of our product candidates in the medical community and with third-party payors and consumers;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an experienced management and advisory team;</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in-license or acquire product candidates or commercial-stage products that we believe can be successfully developed and commercialized;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vaccine development and manufacturing, we are unable to predict the timing or amount of increased development expenses, or when we will be able to achieve or maintain profitability, if at all. Our expenses could increase beyond expectations if we are required by the FDA, or comparable non-U.S. regulatory authorities, to perform studies or clinical trials in addition to those we currently anticipate. Even if our product candidates are approved for commercial sale, we anticipate incurring significant costs associated with the commercial launch of and the related commercial-scale manufacturing requirements for our product candidates. If we cannot successfully execute on any of the factors listed above, our business may not succeed.</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expect to continue to incur significant losses for the foreseeable future and may never achieve or maintain profitability.</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to continue to incur substantial and increasing losses as we continue to pursue our business strategy. Our product candidates have not been approved for marketing in the U.S. and may never receive such approval. As a result, we are uncertain when or if we will achieve profitability and, if so, whether we will be able to sustain it. Our ability to generate significant revenue and achieve profitability is dependent on our ability to complete development, obtain necessary regulatory approvals, and have our product candidates manufactured and successfully marketed. We cannot be sure that we will be profitable even if we successfully commercialize one of our product candidates. If we do successfully obtain regulatory approval to market our tablet vaccine candidates, our revenues will be dependent, in part, upon the size of the markets in the territories for which regulatory approval is received, the number of competitors in such markets, the price at which we can offer our product candidates and whether we own the commercial rights for that territory. If the indication approved by regulatory authorities is narrower than we expect, or the treatment population is narrowed by competition, physician choice or treatment guidelines, we may not generate significant revenue from sales of our product candidates, even if approved. Even if we do achieve profitability, we may not be able to sustain or increase profitability on a quarterly or annual basis. If we fail to become and remain profitable, the market price of our common stock and our ability to raise capital and continue operations will be adversely affected.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18"/>
          <w:szCs w:val="18"/>
          <w:color w:val="auto"/>
        </w:rPr>
        <w:t>We expect overall research and development expenses to increase significantly for any of our tablet vaccines, including those for the prevention of norovirus, coronavirus and influenza, as well as those for the treatment of HPV-related dysplasia and cancer, although we intend to fund a significant portion of these costs through partnering and collaboration agreements. In addition, even if we obtain regulatory approval, significant sales and marketing expenses will be required to commercialize the tablet vaccine candidates. As a result, we expect to continue to incur significant and increasing operating losses and negative cash flows for the foreseeable future. These losses have had and will continue to have an adverse effect on our financial position and working capital. As of March 31, 2026, we had an accumulated deficit of $455.0 million.</w:t>
      </w:r>
    </w:p>
    <w:p>
      <w:pPr>
        <w:spacing w:after="0" w:line="183"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had previously raised substantial doubt regarding our ability to continue as a going concern. Although management has concluded that such conditions have been alleviated as described elsewhere in this prospectus, we will require substantial additional funding to finance our operations, and if we are unable to raise capital, we could be forced to delay, reduce the scope of or eliminate certain of our development programs, or explore other strategic options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As of March 31, 2026, we had $61.0 million of cash, cash equivalents and investments. We believe these funds are sufficient to fund our operations into the second quarter of 2027. Our ability to continue as a going concern is dependent upon our ability to raise additional capital through outside sources. We plan to raise additional capital through the sale of convertible stock, additional equity, debt financings, government programs, or strategic alliances with third parties. Such financing and funding may not be available at all, or on terms that are favorable to us. Failure to raise additional capital could have a material adverse effect on our business, results of operations, financial condition and/or our ability to fund our scheduled obligations on a timely basis or at all. If we are unable to continue as a going concern, we may be forced to liquidate our assets and the values we receive for our assets in liquidation or dissolution could be significantly lower than the values reflected in our consolidated financial statements.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tablet vaccines for the prevention of norovirus and coronavirus infection, which are still in their clinical development stage, and if one or both of these tablet vaccines do not receive regulatory approval or are not successfully commercialized, our business may be harmed.</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None of our product candidates are in late-stage clinical development or approved for commercial sale and we may never be able to develop marketable tablet vaccine candidates. We expect that a substantial portion of our efforts and expenditures over the next few years will be devoted to our tablet vaccine candidates for norovirus and coronavirus. We are committing financial resources to the development of a norovirus vaccine and a coronavirus vaccine, which may cause delays in or otherwise negatively impact our other development programs. In addition, our management and scientific teams have dedicated substantial efforts to our norovirus vaccine and coronavirus vaccine development. Accordingly, our business currently depends heavily on the successful development, regulatory approval and commercialization of our norovirus and coronavirus tablet vaccines. These tablet vaccines may not receive regulatory approval or be successfully commercialized even if regulatory approval is received. The research, testing, manufacturing, labeling, approval, sale, marketing and distribution of tablet vaccine candidates are and will remain subject to extensive regulation by the FDA and other regulatory authorities in the U.S. and other countries that each have differing regulations. We are not permitted to market our tablet vaccines in the U.S. until we receive approval of a Biologics License Application (“BLA”) from the FDA, or in any foreign countries until we receive the requisite approval from such countries. Clinical studies for our norovirus vaccine candidate and our COVID-19 vaccine candidate have not been completed. As a result, we have not submitted a BLA to the FDA or comparable applications to other regulatory authorities and do not expect to be in a position to do so for the foreseeable future. Obtaining approval of a BLA is an extensive, lengthy, expensive and inherently uncertain process, and the FDA may delay, limit or deny approval of our tablet vaccines for many reasons, including:</w:t>
      </w:r>
    </w:p>
    <w:p>
      <w:pPr>
        <w:spacing w:after="0" w:line="197"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tablet vaccine is safe and effective to the satisfaction of the FDA;</w:t>
      </w:r>
    </w:p>
    <w:p>
      <w:pPr>
        <w:spacing w:after="0" w:line="225" w:lineRule="exact"/>
        <w:rPr>
          <w:rFonts w:ascii="Times New Roman" w:cs="Times New Roman" w:eastAsia="Times New Roman" w:hAnsi="Times New Roman"/>
          <w:sz w:val="18"/>
          <w:szCs w:val="18"/>
          <w:color w:val="auto"/>
        </w:rPr>
      </w:pPr>
    </w:p>
    <w:p>
      <w:pPr>
        <w:ind w:left="180" w:right="220" w:hanging="172"/>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agree that the completed Phase 1 and Phase 2 clinical trials of the norovirus vaccine and the Phase 1 and Phase 2 clinical trials of the COVID-19 vaccine satisfy the FDA’s requirements and may require us to conduct additional testing;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for marketing approval;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number, design, size, conduct or implementation of one or more of our clinical trials;</w:t>
      </w:r>
    </w:p>
    <w:p>
      <w:pPr>
        <w:spacing w:after="0" w:line="225"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clinical trials may take actions outside of our control that materially and adversely impact our clinical trials;</w:t>
      </w:r>
    </w:p>
    <w:p>
      <w:pPr>
        <w:spacing w:after="0" w:line="161"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find the data from our preclinical studies and clinical trials sufficient to demonstrate that the clinical and other benefits of our tablet vaccines outweigh the safety risks;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our preclinical studies and clinical trials;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data generated at our clinical trial sites;</w:t>
      </w:r>
    </w:p>
    <w:p>
      <w:pPr>
        <w:spacing w:after="0" w:line="225" w:lineRule="exact"/>
        <w:rPr>
          <w:rFonts w:ascii="Times New Roman" w:cs="Times New Roman" w:eastAsia="Times New Roman" w:hAnsi="Times New Roman"/>
          <w:sz w:val="18"/>
          <w:szCs w:val="18"/>
          <w:color w:val="auto"/>
        </w:rPr>
      </w:pPr>
    </w:p>
    <w:p>
      <w:pPr>
        <w:ind w:left="180" w:right="40" w:hanging="172"/>
        <w:spacing w:after="0" w:line="266"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or BLA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as a condition of approval;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manufacturing processes or facilities;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2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a significant portion of the funding to further develop our COVID-19 vaccine candidate is expected to come from BARDA funds. If BARDA were to eliminate, reduce, delay, or object to funding available to us under the 2024 ATI-RRPV Contract, this could have a significant, negative impact on our revenues and cash flows, and we may be forced to suspend or terminate the continued development of the product candidate or obtain alternative sources of funding.</w:t>
      </w:r>
    </w:p>
    <w:p>
      <w:pPr>
        <w:spacing w:after="0" w:line="180"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June 2024, we entered into the 2024 ATI-RRPV Contract with ATI, the Rapid Response Partnership Vehicle’s Consortium Management Firm funded by HHS BARDA. The 2024 ATI-RRPV Contract, as modified and amended to date, provides for a funding ceiling of approximately $460.7 million. Funding has been released pursuant to authorized milestones delineated in a series of contract modifications. Pursuant to Modification No. 6 to the 2024 ATI-RRPV Contract, dated March 10, 2026 (the most recent contract modification), the total amount of funding available for payment under the 2024 ATI-RRPV Contract is approximately $316.0 million.</w:t>
      </w:r>
    </w:p>
    <w:p>
      <w:pPr>
        <w:spacing w:after="0" w:line="183"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We anticipate that a significant portion of the funding to further develop our COVID-19 vaccine candidate will come from the remaining amounts to be received under the 2024 ATI-RRPV Contract. The 2024 ATI-RRPV Contract provides that the government has the right to determine whether to fund the continued performance of the study after the initial funding. In the second half of 2024, the Company initiated and completed enrollment of the 400-participant sentinel cohort of its Phase 2b study comparing the Company’s XBB COVID-19 vaccine candidate to an approved mRNA XBB comparator. In January 2025, the independent data safety monitoring board (DSMB) reviewed 30-day sentinel cohort data and recommended the study proceed without modifications. Twelve-month follow-up data from the sentinel cohort is expected in the first half of 2026. In February 2025, ATI issued a stop work order on the 2024 ATI-RRPV Contract. Subsequently, in April 2025, the Company received written notification from ATI lifting the stop work order, permitting the Company to resume incurring costs, participating in meetings, and communicating with the Government and ATI concerning the project award. In May 2025, HHS BARDA approved initiation of dosing in the 10,000-participant main cohort of the Phase 2b study, and the Company announced the first participant dosed later that month.</w:t>
      </w:r>
    </w:p>
    <w:p>
      <w:pPr>
        <w:spacing w:after="0" w:line="19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In August 2025, ATI issued a second stop work order directing the Company to halt further screening and enrollment for the COVID-19 Phase 2b trial under the 2024 ATI-RRPV Contract. As of the August notification date, the Company had enrolled approximately half of the targeted number of participants for the main cohort of the study. On October 8, 2025, ATI issued a Follow-Up Notice confirming BARDA’s intent to stop all ongoing enrollment under the contract while permitting continued follow-up and planned analyses of both the sentinel cohort and the enrolled main study population. Contract funding is currently under review and is likely to be reduced commensurate with the reduced enrollment of approximately 5,000 participants versus the original planned enrollment of 10,000 participants in the main cohort of the Phase 2b study.</w:t>
      </w:r>
    </w:p>
    <w:p>
      <w:pPr>
        <w:spacing w:after="0" w:line="187" w:lineRule="exact"/>
        <w:rPr>
          <w:sz w:val="20"/>
          <w:szCs w:val="20"/>
          <w:color w:val="auto"/>
        </w:rPr>
      </w:pPr>
    </w:p>
    <w:p>
      <w:pPr>
        <w:jc w:val="both"/>
        <w:ind w:right="140" w:firstLine="360"/>
        <w:spacing w:after="0" w:line="261" w:lineRule="auto"/>
        <w:rPr>
          <w:sz w:val="20"/>
          <w:szCs w:val="20"/>
          <w:color w:val="auto"/>
        </w:rPr>
      </w:pPr>
      <w:r>
        <w:rPr>
          <w:rFonts w:ascii="Times New Roman" w:cs="Times New Roman" w:eastAsia="Times New Roman" w:hAnsi="Times New Roman"/>
          <w:sz w:val="18"/>
          <w:szCs w:val="18"/>
          <w:color w:val="auto"/>
        </w:rPr>
        <w:t>Even as we continue to receive funds under the 2024 ATI-RRPV Contract, the terms of the grant may unfavorably change, or the amount of funding may further decrease. If there is any government decision to discontinue funding under the 2024 ATI-RRPV Contract, our revenues and cash flows would be significantly and negatively impacted and we may be forced to seek alternative sources of funding, which may not be available on non-dilutive terms, terms favorable to us, or at all.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Dynavax Technologies Corporation, a Sanofi company (“Dynavax”) will continue to perform the obligations under the 2025 License and Collaboration Agreement or that Dynavax will not exercise its right to terminate the agreement.</w:t>
      </w:r>
    </w:p>
    <w:p>
      <w:pPr>
        <w:spacing w:after="0" w:line="159" w:lineRule="exact"/>
        <w:rPr>
          <w:sz w:val="20"/>
          <w:szCs w:val="20"/>
          <w:color w:val="auto"/>
        </w:rPr>
      </w:pPr>
    </w:p>
    <w:p>
      <w:pPr>
        <w:ind w:right="260" w:firstLine="360"/>
        <w:spacing w:after="0" w:line="258" w:lineRule="auto"/>
        <w:rPr>
          <w:sz w:val="20"/>
          <w:szCs w:val="20"/>
          <w:color w:val="auto"/>
        </w:rPr>
      </w:pPr>
      <w:r>
        <w:rPr>
          <w:rFonts w:ascii="Times New Roman" w:cs="Times New Roman" w:eastAsia="Times New Roman" w:hAnsi="Times New Roman"/>
          <w:sz w:val="18"/>
          <w:szCs w:val="18"/>
          <w:color w:val="auto"/>
        </w:rPr>
        <w:t>On February 10, 2026, Sanofi, a French société anonyme (“Sanofi”) completed its acquisition of Dynavax. As a result of the consummation of the merger, Dynavax became an indirect wholly owned subsidiary of Sanofi. Sanofi’s vaccine portfolio includes multiple influenza vaccines (Fluzone High-Dose, Flublok, Fluzone) and a co-commercialized protein-based COVID-19 vaccine, Nuvaxovid. Sanofi is also developing a combination, single-shot COVID-19/flu vaccine for adults 50+ using Novavax technology, targeting a non-mRNA approach. Sanofi can be expected to make their decision for further investments in our Dynavax partnered COVID-19 vaccine and potentially other Vaxart assets in the context of this larger vaccine portfolio.</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development of a norovirus vaccine candidate and a coronavirus vaccine candidate is at an early stage. We may be unable to produce an effective vaccine that successfully immunizes humans against norovirus or an effective vaccine that successfully immunizes humans against coronavirus in a timely manner, if at all.</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in the business of developing oral vaccines that are administered by tablet rather than by injection. Our development of the norovirus vaccine and a coronavirus vaccine is at an early stage, and we may be unable to produce an effective vaccine that successfully immunizes humans against norovirus or an effective vaccine that successfully immunizes humans against coronavirus in a timely manner,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produce an effective vaccine that successfully immunizes against norovirus or coronavirus in a timely manner, if at all.</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pursuing clinical development of vaccine candidates, employing our proprietary oral vaccine platform. While we have begun the Phase 2b clinical trial of our coronavirus vaccine candidate, none of our product candidates has advanced into late-stage clinical trials for the indications that we are pursuing development for. As such, clinical studies of our vaccine candidates may not be completed in a timely manner, and we may not be able to produce an effective vaccine that successfully immunizes against norovirus or coronavirus any time soon, if at all.</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Even if we complete our clinical trials as planned and our vaccine candidates successfully demonstrate safety and efficacy, we cannot predict the probability or timing of subsequently obtaining regulatory approval. Regulatory agencies may not complete their review processes in a timely manner, and we may not be able to obtain timely regulatory approval, if at all. Further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Delays or failure to obtain necessary regulatory approvals in time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likelihood and timing of our success further depends on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performance and our ability to maintain relationships with them.</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are unsuccessful in maintaining our relationships with critical third parties such as CROs and CMOs, our ability to develop our oral norovirus vaccine candidate or our oral coronavirus vaccine candidate and consequently compete in the marketplace could be impaired, and our results of operations may suffer. Even if we are successful, we cannot assure you that these relationships will result in successful development and commercialization of our oral norovirus vaccine candidate. Our failure, or the failure of such partners or potential partners, to comply with applicable regulations could result in sanctions being imposed on us, including clinical holds, delays, suspension or withdrawal of approval to conduct clinical investigations, license revocation, operating restrictions and criminal prosecutions, any of which could significantly and adversely affect supplies of our potential norovirus vaccine.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Manufacturing any drug product with recombinant technology such as our adenovirus type 5 based vaccines presents technical challenges. Our manufacturing partners may not be able to successfully manufacture any vaccine with our VAAST platform, or to comply with cGMP, regulations or similar regulatory requirements. The number of doses of our potential vaccine that we are able to produce is dependent on our ability to successfully and rapidly scale-up manufacturing capacity. The number of doses that we will be able to produce is also dependent in large part on the dose of the vaccine required to be administered to patients which will be determined in our clinical trials. To properly scale-up and develop a commercial process, we may need to expend significant resources, expertise, and capital.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Scale up can present problems such as difficulties with production costs and yields, quality control, including stability of the product candidate and quality assurance testing, shortages of qualified personnel or key raw materials, and compliance with strictly enforced federal, state, and foreign regulations. Our contract manufacturers may not perform as agreed. If any manufacturer encounters these or other difficulties, our ability to provide product candidates to patients in our clinical trials could be jeopardized.</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and if we fail to obtain necessary financing, we may not be able to complete the development and commercialization of our tablet vaccine candidates.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expect to spend substantial amounts to complete the development of, seek regulatory approvals for and commercialize our tablet vaccine candidates. We will require substantial additional capital to complete the development and potential commercialization of our tablet vaccine candidates for norovirus, coronavirus, influenza and HPV and the development of other product candidates. If we are unable to raise capital or find appropriate partnering or licensing collaborations, when needed or on acceptable terms, we could be forced to delay, reduce or eliminate one or more of our development programs or any future commercialization efforts. In addition, attempting to secure additional financing may divert the time and attention of our management from day-to-day activities and harm our development efforts.</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we had $61.0 million of cash, cash equivalents and short-term investments. We maintain our cash, cash equivalents and short-term investments with high quality, accredited financial institutions. However, some of these accounts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we believe such cash, cash equivalents and short-term investments are sufficient to fund our operations under our current operating plan for at least one year from the date of issuance of this prospectus, our estimate as to what we will be able to accomplish is based on assumptions that may prove to be inaccurate, and we could exhaust our available capital resources sooner than is currently expected. Because the length of time and activities associated with successful development of our product candidates is highly uncertain, we are unable to estimate the actual funds we will require for development and any approved marketing and commercialization activities. Our future funding requirements, both near and long-term, will depend on many factors, including, but not limited to:</w:t>
      </w:r>
    </w:p>
    <w:p>
      <w:pPr>
        <w:spacing w:after="0" w:line="187"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partnering and collaboration agreements;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planned clinical trials;</w:t>
      </w:r>
    </w:p>
    <w:p>
      <w:pPr>
        <w:spacing w:after="0" w:line="225" w:lineRule="exact"/>
        <w:rPr>
          <w:rFonts w:ascii="Times New Roman" w:cs="Times New Roman" w:eastAsia="Times New Roman" w:hAnsi="Times New Roman"/>
          <w:sz w:val="18"/>
          <w:szCs w:val="18"/>
          <w:color w:val="auto"/>
        </w:rPr>
      </w:pPr>
    </w:p>
    <w:p>
      <w:pPr>
        <w:ind w:left="180" w:right="780" w:hanging="172"/>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European Medicines Agency, or EMA,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80" w:right="160" w:hanging="172"/>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any patent infringement actions brought by third parties against us now or in the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80" w:right="220" w:hanging="172"/>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in regions where we choose to commercialize our product candidates on our own;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results of the commercialization of our product candidates, if approved, for commercial sale.</w:t>
      </w:r>
    </w:p>
    <w:p>
      <w:pPr>
        <w:spacing w:after="0" w:line="22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If we are unable to raise additional capital in sufficient amounts or on terms acceptable to us, we may have to significantly delay, scale back or discontinue the development or commercialization of our product candidates or potentially discontinue operations.</w:t>
      </w:r>
    </w:p>
    <w:p>
      <w:pPr>
        <w:spacing w:after="0" w:line="172"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government programs,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volatile and fluctuates substantially, which could result in substantial losses for stockholders.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As a result of this volatility, our stockholders could incur substantial losses.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your initial purchase price.</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 the results of clinical trials of our products or those of our competitors, regulatory or legal developments, developments, disputes, or other matters concerning patent applications, issued patents, or other proprietary rights, our ability to recruit and retain key personnel, public announcements by us or our strategic collaborators regarding the progress of our development candidates similar public announcements by our competitors, and other factors set forth in this document and our other reports filed with the SEC.</w:t>
      </w:r>
    </w:p>
    <w:p>
      <w:pPr>
        <w:spacing w:after="0" w:line="180"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addition, public statements by us, government agencies, the media or others relating to the SARS-CoV-2 outbreak (including regarding efforts to develop a COVID-19 vaccine) have in the past resulted, and may in the future result, in significant fluctuations in our stock price. Given the global focus on the coronavirus outbreak, any information in the public arena on this topic, whether or not accurate, could have an outsized impact (either positive or negative) on our stock price. Information related to our development, manufacturing and distribution efforts with respect to our vaccine candidates, or information regarding such efforts by competitors with respect to their potential vaccines, may also impact our stock price.</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stock price is likely to continue to be volatile and subject to significant price and volume fluctuations in response to market and other factors, including: the other factors discussed in in future periodic reports; variations in our quarterly operating results from our expectations or those of securities analysts or investors; downward revisions in securities analysts’ estimates; and announcement by us or our competitors of significant acquisitions, strategic partnerships, joint ventures or capital commitments.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Market prices for securities of early-stage pharmaceutical, biotechnology and other life sciences companies have historically been particularly volatile.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cause the market price of our common stock to fluctuate include:</w:t>
      </w:r>
    </w:p>
    <w:p>
      <w:pPr>
        <w:spacing w:after="0" w:line="207"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and conduct clinical trials that demonstrate our product candidates are safe and effective;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receive royalty payments on the sales of our product candidates including Inavir;</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our product candidates, and delays or failures to obtain such approvals;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to demonstrate safety and efficacy, receive regulatory approval and achieve commercial success;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third-party license, manufacturing and supply agreements;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that of our licensors, to prosecute, maintain, or enforce our intellectual property rights;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product candidates or the inability to do so at acceptable prices;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authority decisions;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or competing products by our competitors;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that we may provide to the public;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225" w:lineRule="exact"/>
        <w:rPr>
          <w:rFonts w:ascii="Times New Roman" w:cs="Times New Roman" w:eastAsia="Times New Roman" w:hAnsi="Times New Roman"/>
          <w:sz w:val="18"/>
          <w:szCs w:val="18"/>
          <w:color w:val="auto"/>
        </w:rPr>
      </w:pPr>
    </w:p>
    <w:p>
      <w:pPr>
        <w:ind w:left="180" w:right="240" w:hanging="172"/>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existing stockholders in the future;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generally, including with respect to other products and potential products in such markets;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been delisted from The Nasdaq Capital Market. There can therefore be no assurance that it will trade on a national exchange again.</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Effective July 8, 2025, Nasdaq suspended trading in our common stock and subsequently informed the Company on September 19, 2025, that the Company’s common stock will be delisted from The Nasdaq Capital Market due to the Company’s ongoing failure to comply with the minimum bid price requirement under Nasdaq Listing Rule 5550(a)(2). Vaxart, Inc. was formally delisted from Nasdaq following a final determination by the Nasdaq's Listing Qualifications Department on November 3, 2025. Our common stock is currently quoted on the OTCQX under the ticker symbol “VXRT.” We can provide no assurance that our common stock will continue to trade on this market, whether broker-dealers will continue to provide public quotes for our common stock, and whether the trading volume of our common stock will be sufficient to provide for an efficient trading market in the future. Stocks trading in the OTC Markets generally have substantially less liquidity, hence, decreasing our ability to issue additional securities or obtain additional financing. The National Securities Markets Improvement Act of 1996, which is a federal statute, prevents or preempts the states from regulating the sale of certain securities, which are referred to as “covered securities.” As we are currently no longer listed on Nasdaq, our securities do not qualify as covered securities under the statute, and we are subject to regulation in each state in which we offer our securities.</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pandemic, epidemic, or outbreak of an infectious disease, such as COVID-19, the severe acute respiratory syndrome, the H5N1 strain of avian influenza, the H1N1 strain of swine flu, and the Zika virus.</w:t>
      </w:r>
    </w:p>
    <w:p>
      <w:pPr>
        <w:spacing w:after="0" w:line="159"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The occurrence of a pandemic, epidemic, or outbreak of an infectious disease, including, but not limited to, COVID-19, the severe acute respiratory syndrome, the H5N1 strain of avian influenza, the H1N1 strain of swine flu, and the Zika virus, is highly uncertain and cannot be predicted with confidence, including the duration, scope, and severity of such event. These severe conditions may cause us and our business partners to make adjustments, such as temporarily closing down business, limiting business hours, and setting restrictions on travel. In regions where we have concentrations of clinical trial sites or other business activities, our business could be adversely affected by health epidemics, which could cause significant disruption in the operations of third-party contract manufacturers and contract research organizations upon whom we rely, as well as our ability to recruit patients for our clinical trials. Any of the forgoing disruptions to our business can result in material adverse effects to our financial condition and results of operations.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outbreak and any preventative or protective actions that governments or we may take in respect of any epidemic may result in a period of business disruption and reduced operations. Any resulting financial impact cannot be reasonably estimated at this time but may materially affect our business, financial condition and results of operations. The extent to which an epidemic impacts our results will depend on future developments, which are highly uncertain and cannot be predicted, including new information which may emerge concerning the severity of an epidemic and the actions to contain the epidemic or treat its impact, among others. There may be interruptions to our supply chain due to the inability of manufacturers to continue normal business operations and to ship products. In addition, a significant outbreak of an infectious disease could result in a widespread health crisis that could adversely affect the economies and financial markets worldwide, resulting in an economic downturn that could impact our business, financial condition and results of operations. We are currently working to enhance our business continuity plans to include measures to protect our employees in the event of infection in our corporate offices, or in response to potential mandatory quarantines.</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military conflicts could cause geopolitical instability, economic uncertainty, financial markets volatility and capital markets disruption may adversely affect our revenue, financial condition, or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Current military conflicts may disrupt or otherwise adversely impact our operations and those of third parties upon which we rely. Related sanctions, export controls or other actions that have already been initiated or may in the future be initiated by nations including the U.S., the European Union or Russia (e.g., potential cyberattacks, disruption of energy flows, etc.) can adversely affect our business, our contract research organizations, contract manufacturing organizations and other third parties with which we conduct business. Resulting volatility, disruption, or deterioration in the credit and financial markets may further make any necessary debt or equity financing more difficult and more costly.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be adversely impacted by deteriorating economic conditions, which could directly affect our ability to attain our operating goals and to accurately forecast and plan our future business activities.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adequate reimbursement and insurance coverage for our product candidates, our ability to generate significant revenue could be limited.</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payors is essential for most patients to be able to afford expensive treatments. Sales of any of our product candidates that receive marketing approval will depend substantially, both in the U.S.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on a limited basis,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level of reimbursement for our products is likely to be reduced compared with the U.S. and may be insufficient to generate commercially reasonable revenues and profits.</w:t>
      </w:r>
    </w:p>
    <w:p>
      <w:pPr>
        <w:spacing w:after="0" w:line="19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internationally, to cap or reduce healthcare costs may cause such organizations to limit both coverage and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executive officers and attract, retain and motivate qualified personnel.</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rely on our executive officers and the other principal members of the executive and scientific teams. The employment of our executive officers is at-will and our executive officers may terminate their employment at any time. The loss of the services of any of our senior executive officers could impede the achievement of our research, development and commercialization objectives. We do not maintain “key person” insurance for any executive officer or employee.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scientific, clinical and sales and marketing personnel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Our industry has experienced an increasing rate of turnover of management and scientific personnel in recent years. In addition, we rely on consultants and advisors, including scientific and clinical advisors, to assist us in devising our research and development and commercialization strategy. Our consultants and advisors may be employed by third parties and have commitments under consulting or advisory contracts with other entities that may limit their availability to advance our strategic objectives. If any of these advisors or consultants can no longer dedicate a sufficient amount of time to us, our business may be harmed.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continue to earn royalties and compete effectively will depend, in part, on our ability to effectively manage any future growth. As of December 31, 2025, we had 65 employees, which we believe would be insufficient to commercialize our vaccine product candidates.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our product candidates. If we are unable to effectively manage our growth, our expenses may increase more than expected, our ability to generate and/or grow revenues could be reduced, and we may not be able to implement our business strategy.</w:t>
      </w:r>
    </w:p>
    <w:p>
      <w:pPr>
        <w:spacing w:after="0" w:line="19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and consultants have greater financial and other resources, different risk profiles and a longer history in the industry than us. They may also provide more diverse opportunities and better chances for career advancement. Some of these characteristics may be more appealing to high-quality candidates and consultants than what we are able to offer. If we are unable to continue to attract and retain high-quality personnel and consultants, the rate and success at which we can select and develop our product candidates and our business will be limited.</w:t>
      </w:r>
    </w:p>
    <w:p>
      <w:pPr>
        <w:spacing w:after="0" w:line="179"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legal proceedings, and may be subject to additional legal proceedings, which may result in substantial costs,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and have a material adverse effect on our business, financial condition and results of operations.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subject to certain pending legal proceedings, as described in this document. We may become involved in additional legal proceedings relating to the aforementioned matters or, from time to time, we may become involved in legal proceedings involving unrelated matters. Due to the inherent uncertainties in legal proceedings, we cannot accurately predict their ultimate outcome. Our stock price has been extremely volatile, and we may become involved in additional securities class action lawsuits in the future. Any such legal proceedings, regardless of their merit, could result in substantial costs and a diversion of management’s attention and resources that are needed to successfully run our business, could impair the Company’s ability to recruit and retain directors, officers, and other key personnel, could impact its ability to secure financing, insurance, and other transactions (or the terms of any such financings, insurance, or other transactions), and for these and other reasons could have a material adverse impact on our business, financial condition, results of operations, and prospects.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reports about our business, our stock price and trading volume could decline.</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is influenced by independent research and reports that securities or industry analysts publish about us or our business from time to time. If one or more of the analysts who cover us should downgrade our shares or change their opinion of our business prospects, our share price would likely decline.</w:t>
      </w:r>
    </w:p>
    <w:p>
      <w:pPr>
        <w:spacing w:after="0" w:line="172"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light of the COVID-19 pandemic, it is possible that one or more government entities may take actions that directly or indirectly have the effect of abrogating some of our rights or opportunities. If we were to develop a COVID-19 vaccine, the economic value of such a vaccine to us could be limited.</w:t>
      </w:r>
    </w:p>
    <w:p>
      <w:pPr>
        <w:spacing w:after="0" w:line="13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5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Exchange Act. Smaller reporting companies are able to provide simplified executive compensation disclosures in their filings and have certain other decreased disclosure obligations in their SEC filings. We cannot predict whether investors will find our common stock less attractive because of our reliance on the smaller reporting company exemption.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Regulatory Approval and Commercialization</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currently no approved vaccines for the prevention of norovirus-related illness. Therefore, the regulatory pathway for any approval of a norovirus vaccine is not entirely clear and may result in unexpected or unforeseen challenges.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there are currently no vaccines for the prevention of norovirus that are approved by the FDA or another regulatory agency, the regulatory pathway for any approval of a norovirus vaccine is not entirely clear and may result in unexpected or unforeseen challenges. Successful discovery and development of a norovirus vaccine is highly uncertain and dependent on numerous factors, many of which are beyond our control. Our development of the vaccine is in early stages, and we may be unable to produce a vaccine that successfully treats the virus in a timely manner, if at all. Results from clinical testing may raise new questions and require us to redesign proposed clinical trials, including revising proposed endpoints or adding new clinical trial sites or cohorts of subjects. In addition, the FDA’s analysis of clinical data may differ from our interpretation and the FDA may require that we conduct additional analyses.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pathway for COVID-19 vaccines is evolving and may result in unexpected or unforeseen challenges.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speed at which all parties are acting to create and test therapeutics and vaccines for COVID-19 is unusual, and evolving or changing plans or priorities within the FDA, including changes based on new knowledge of COVID-19 and how the disease affects the human body, may significantly affect the regulatory timeline for COVID vaccine candidates. Results from clinical testing may raise new questions and require us to redesign proposed clinical trials, including revising proposed endpoints or adding new clinical trial sites or cohorts of subjects. Results from our vaccine (and other COVID-19) trials may require us to perform additional preclinical studies in order to advance our vaccine candidates. Discussions with FDA regarding the design of the anticipated Phase 2 and 3 studies for COVID-19 vaccine candidates are ongoing and important aspects of the trial design have yet to be determined, including the number of patients to be enrolled, the specific endpoints of the trial and the methods for obtaining and testing samples in the trial. The incidence of COVID-19 in the communities where our studies might be conducted will vary across different locations. If the overall incidence of COVID-19 in those locations is low, it may be difficult for us to recruit subjects or for any study we might perform to demonstrate differences in infection rates between participants in the study who receive placebo and participants in the study who receive COVID-19 vaccine candidates. The availability of other authorized vaccines may decrease the population of clinical trial subjects willing to participate in our future trials.</w:t>
      </w:r>
    </w:p>
    <w:p>
      <w:pPr>
        <w:spacing w:after="0" w:line="19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COVID-19 vaccine candidates, we would be able to commercialize the vaccine candidate prior to FDA approval. Furthermore,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the vaccine candidate is not yet approved by the FDA and if we and our manufacturing partners have invested in the supply chain to provide the vaccine candidate under an Emergency Use Authorization.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any success in preclinical testing we might observe for our COVID-19 vaccine candidates may not be predictive of the results of later-stage human clinical trials. Factors such as efficacy, immunogenicity, and adverse events can emerge at any time in clinical testing and have the potential to have adverse consequences for our ability to proceed with clinical trials. Other factors such as manufacturing challenges, availability of raw materials, and slowdowns in the global supply chain may delay or prevent us from receiving regulatory approval of our vaccine candidate or, if we do receive regulatory approval, prevent a successful product launch. We may not be successful in developing a vaccine, or another party may be successful in producing a more efficacious vaccine or other treatment for COVID-19.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dynamics in the market for COVID-19 vaccines are likely to impact our financial results.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With the global transition of COVID-19 from pandemic to endemic, the commercial market for COVID-19 vaccines is facing several challenges, including a more fragmented customer base, less predictability in orders, greater seasonality of demand, increased distribution costs, and higher costs of goods sold due to single-dose or lower-dose presentations. Such factors could impact the potential market for our COVID-19 vaccine, if approved. Further, our continued development efforts for our COVID-19 vaccine could face increased research and development costs, including for clinical trials, when updating COVID-19 vaccines for new variants of concern.</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develop and refine the formulations of our tablet vaccine candidates, we may not obtain regulatory approvals, and even if approved, the commercial acceptance of our tablet vaccine candidates would likely be limited.</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our H1N1 influenza Phase 2 trial we used vaccine tablets that contained approximately 1.5 x 1010 IU of vaccine. Accordingly, subjects in this trial were required to take seven tablets in a single setting to reach the aggregate dose of 1 x 1011 IU, the target dose for this trial. We believe that in order to fully capture the commercial success of our seasonal influenza vaccine candidate, we will need to continue to refine our formulation and develop influenza vaccine tablets that contain the desired dose for each vaccine strain in a single tablet, resulting in a vaccination regime of no more than three tablets. Increasing the potency of the vaccine tablets may affect the stability profile of the vaccine and we may not be able to reduce the vaccination regime for an influenza strain to a single tablet or combine the three influenza strains into one vaccine tablet. In addition, increasing the potency of the vaccine tablets or combining the influenza strains necessary to create a trivalent vaccine may adversely affect manufacturing yields and render such tablets too costly to manufacture at commercial scale. Our efforts to develop tablet vaccine candidates for norovirus face similar formulation challenges. If we are unable to further develop and refine the formulations of our tablet vaccine candidates, we may be unable to obtain regulatory approval from the FDA or other regulatory authorities, and even if approved, the commercial acceptance of our tablet vaccine candidates would likely be limited.</w:t>
      </w:r>
    </w:p>
    <w:p>
      <w:pPr>
        <w:spacing w:after="0" w:line="190"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Clinical trials are very expensive, time-consuming, difficult to design and implement and involve an uncertain outcome, and if they fail to demonstrate safety and efficacy to the satisfaction of the FDA, or similar regulatory authorities, we will be unable to commercialize our tablet vaccine candidates.</w:t>
      </w:r>
    </w:p>
    <w:p>
      <w:pPr>
        <w:spacing w:after="0" w:line="13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tablet vaccine candidates for norovirus, coronavirus and influenza are still in early-stage clinical development. Our vaccine candidates will require extensive additional clinical testing before we are prepared to submit a BLA for regulatory approval for either indication or for any other treatment regime. Such testing is expensive and time-consuming and requires specialized knowledge and expertise. We cannot predict with any certainty if or when we might submit a BLA for regulatory approval for any of our tablet vaccine candidates, which are currently in clinical development, or whether any such BLAs will be approved by the FDA. Human clinical trials are very expensive and difficult to design and implement, in part because they are subject to rigorous regulatory requirements. For instance, the FDA may not agree with our proposed endpoints for any clinical trial we propose, which may delay the commencement of our clinical trials. The clinical trial process is also time-consuming. We estimate that the clinical trials we need to conduct to be in a position to submit BLAs for our tablet vaccine candidates for norovirus, coronavirus and influenza will take several years to complete. Furthermore, failure can occur at any stage of the trials, and we could encounter problems that cause us to abandon or repeat clinical trials. Our vaccine candidates in the later stages of clinical trials may fail to show the desired safety and efficacy traits despite having progressed through preclinical studies and initial clinical trials. Also, the results of early clinical trials of the tablet vaccine candidates for norovirus, coronavirus and influenza may not be predictive of the results of subsequent clinical trials. Furthermore, the FDA may impose additional requirements to conduct preclinical studies to advance the HPV therapeutic vaccine candidates which could delay initiation of Phase 1 studies. A number of companies in the biopharmaceutical industry have suffered significant setbacks in advanced clinical trials due to lack of efficacy or adverse safety profiles, notwithstanding promising results in earlier trials.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multiple interpretations and analyses. Many companies that have believed their vaccine candidates performed satisfactorily in preclinical studies and clinical trials have nonetheless failed to obtain marketing approval of their products. Additionally, success in preclinical testing and early clinical trials does not ensure success in later clinical trials, which involve many more subjects and, for influenza, all three strains rather than the one strain we have studied in Phase 1 clinical trials to date. Accordingly, the results of later clinical trials may not replicate the results of prior clinical trials and preclinical testing or may be interpreted in a way that may not be sufficient for marketing approval.</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tablet vaccine candidates, including that:</w:t>
      </w:r>
    </w:p>
    <w:p>
      <w:pPr>
        <w:spacing w:after="0" w:line="162" w:lineRule="exact"/>
        <w:rPr>
          <w:sz w:val="20"/>
          <w:szCs w:val="20"/>
          <w:color w:val="auto"/>
        </w:rPr>
      </w:pPr>
    </w:p>
    <w:p>
      <w:pPr>
        <w:ind w:left="180" w:right="300" w:hanging="172"/>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delay or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180" w:right="20" w:hanging="172"/>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or CROs;</w:t>
      </w:r>
    </w:p>
    <w:p>
      <w:pPr>
        <w:spacing w:after="0" w:line="161" w:lineRule="exact"/>
        <w:rPr>
          <w:rFonts w:ascii="Times New Roman" w:cs="Times New Roman" w:eastAsia="Times New Roman" w:hAnsi="Times New Roman"/>
          <w:sz w:val="18"/>
          <w:szCs w:val="18"/>
          <w:color w:val="auto"/>
        </w:rPr>
      </w:pPr>
    </w:p>
    <w:p>
      <w:pPr>
        <w:ind w:left="180" w:right="60" w:hanging="172"/>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tablet vaccine candidates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180" w:right="20" w:hanging="172"/>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our tablet vaccine candidates may be larger than we anticipate; enrollment in these clinical trials may be slower than we anticipate, or participants may drop out of these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225" w:lineRule="exact"/>
        <w:rPr>
          <w:rFonts w:ascii="Times New Roman" w:cs="Times New Roman" w:eastAsia="Times New Roman" w:hAnsi="Times New Roman"/>
          <w:sz w:val="18"/>
          <w:szCs w:val="18"/>
          <w:color w:val="auto"/>
        </w:rPr>
      </w:pPr>
    </w:p>
    <w:p>
      <w:pPr>
        <w:ind w:left="180" w:right="340" w:hanging="172"/>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tablet vaccine candidates may be greater than we anticipate;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tablet vaccine candidates or other materials necessary to conduct clinical trials may be insufficient or inadequate.</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tablet vaccine candidates beyond those that we currently contemplate, if we are unable to successfully complete clinical trials of our tablet vaccine candidates or other testing, if the results of these trials or tests are not positive or are only modestly positive or if there are safety concerns, we may:</w:t>
      </w:r>
    </w:p>
    <w:p>
      <w:pPr>
        <w:spacing w:after="0" w:line="176" w:lineRule="exact"/>
        <w:rPr>
          <w:sz w:val="20"/>
          <w:szCs w:val="20"/>
          <w:color w:val="auto"/>
        </w:rPr>
      </w:pPr>
    </w:p>
    <w:p>
      <w:pPr>
        <w:jc w:val="right"/>
        <w:ind w:left="5540" w:right="5480" w:hanging="5532"/>
        <w:spacing w:after="0" w:line="409" w:lineRule="auto"/>
        <w:tabs>
          <w:tab w:leader="none" w:pos="17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for our tablet vaccine candidates;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tablet vaccine candidates, could allow our competitors to bring products to market before we do, and could impair our ability to successfully commercialize our tablet vaccine candidates, any of which may harm our business and results of operations.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resurgence of the COVID-19 pandemic or the emergence of another public health emergency/pandemic could adversely impact our preclinical studies and clinical trials.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active and planned preclinical studies and clinical trial sites in the U.S.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While both COVID-19 and countermeasures have abated to some degree, there can be no assurance that the COVID-19 pandemic will not cause disruptions to our business development activities, including our clinical trials. In the event of a resurgence of the COVID-19 pandemic or emergence of another public health emergency, we may experience disruptions that could severely impact our planned and ongoing preclinical studies and clinical trials, including preclinical and clinical studies and manufacturing of our vaccine candidates. Effects on our preclinical studies and clinical trial programs include, but are not limited to:</w:t>
      </w:r>
    </w:p>
    <w:p>
      <w:pPr>
        <w:spacing w:after="0" w:line="183"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procuring subjects in our preclinical studies;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180" w:right="540" w:hanging="172"/>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preclinical and clinical site initiation, including difficulties in establishing appropriate and safe social distancing and other safeguards at preclinical and clinical sites;</w:t>
      </w:r>
    </w:p>
    <w:p>
      <w:pPr>
        <w:spacing w:after="0" w:line="161" w:lineRule="exact"/>
        <w:rPr>
          <w:rFonts w:ascii="Times New Roman" w:cs="Times New Roman" w:eastAsia="Times New Roman" w:hAnsi="Times New Roman"/>
          <w:sz w:val="18"/>
          <w:szCs w:val="18"/>
          <w:color w:val="auto"/>
        </w:rPr>
      </w:pPr>
    </w:p>
    <w:p>
      <w:pPr>
        <w:ind w:left="180" w:right="80" w:hanging="172"/>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preclinical and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180" w:right="140" w:hanging="172"/>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preclinical study and clinical trial activities, such as preclinical and clinical trial site monitoring, subject recruitment and subject testing due to the course of the pandemic, limitations on freight and/or travel imposed or recommended by federal or state governments, employers and others;</w:t>
      </w:r>
    </w:p>
    <w:p>
      <w:pPr>
        <w:spacing w:after="0" w:line="175" w:lineRule="exact"/>
        <w:rPr>
          <w:rFonts w:ascii="Times New Roman" w:cs="Times New Roman" w:eastAsia="Times New Roman" w:hAnsi="Times New Roman"/>
          <w:sz w:val="18"/>
          <w:szCs w:val="18"/>
          <w:color w:val="auto"/>
        </w:rPr>
      </w:pPr>
    </w:p>
    <w:p>
      <w:pPr>
        <w:ind w:left="180" w:right="360" w:hanging="172"/>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preclinical studies and clinical trials, including because of sickness of employees or their families, delays or difficulties in conducting site visits and other required travel, and the desire of employees to avoid contact with large groups of people;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or continue our planned preclinical studies and clinical trials;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or other countries;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vaccine products or COVID-19 treatments and related technologies.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patient participating in one of our clinical trials contracts COVID-19, this could negatively impact the data readouts from these trials; for example, the patient may be unable to participate further (or may have to limit participation) in our clinical trial, the patient may show a different efficacy assessment than if the patient had not been infected, or such patient could experience an adverse event that could be attributed to our drug product.</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extent to which COVID-19 may impact our preclinical studies and clinical trials will depend on future developments, which remains highly uncertain and cannot be predicted with confidence.</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platform includes a novel vaccine adjuvant and all of our current tablet vaccine candidates include this novel adjuvant, which may make it difficult for us to predict the time and cost of tablet vaccine development as well as the requirements the FDA or other regulatory agencies may impose to demonstrate the safety of the tablet vaccine candidates.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Novel vaccine adjuvants, included in some of our tablet vaccine candidates,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Our current tablet vaccine candidates, including for norovirus, include a novel adjuvant, and future vaccine candidates may also include one or more novel vaccine adjuvants.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to people with disease. Such extensive study has often included long-term monitoring of safety in large general populations that have at times exceeded 10,000 subjects. This contrasts with the few thousand subjects typically necessary for approval of novel therapeutics. To date, the FDA and other major regulatory agencies have only approved vaccines containing five adjuvants, which makes it difficult to determine how long it will take or how much it will cost to obtain regulatory approvals for our tablet vaccine candidates in the U.S. or elsewhere.</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subjects in clinical trials is an expensive and time-consuming process and could be made more difficult or rendered impossible by multiple factors outside our control.</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may encounter delays in enrolling, or be unable to enroll, a sufficient number of participants to complete any of our clinical trials. Once enrolled, we may be unable to retain a sufficient number of participants to complete any of our trials. Late-stage clinical trials of our tablet vaccine candidate for norovirus and coronavirus, in particular, will require the enrollment and retention of large numbers of subjects. Subject enrollment and retention in clinical trials depends on many factors, including the size of the subject population, the nature of the trial protocol, the existing body of safety and efficacy data with respect to the study drug, the number and nature of competing treatments and ongoing clinical trials of competing drugs for the same indication, the proximity of subjects to clinical sites and the eligibility criteria for the study. Further, since there are no reliable animal models to norovirus infection, human challenge studies have been used to understand viral activity and possible immune correlates that prevent infection making trials costlier than animal-based studies.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Furthermore, any negative results we may report in clinical trials of our tablet vaccine candidates may make it difficult or impossible to recruit and retain participants in other clinical trials of that same tablet vaccine candidate. Delays or failures in planned subject enrollment or retention may result in increased costs, program delays or both, which could have a harmful effect on our ability to develop our tablet vaccine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 in compliance with applicable regulations. Enforcement actions brought against these third parties may cause further delays and expenses related to our clinical development programs.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Vaccine development is highly competitive and subject to rapid and significant technological advancements. We face competition from various sources, including larger and better funded pharmaceutical, specialty pharmaceutical and biotechnology companies, as well as academic institutions, governmental agencies and public and private research institutions. In particular, our COVID-19 and influenza vaccine candidates would compete with products that are available and have gained market acceptance as the standard treatment protocol. Further, it is likely that additional drugs or other treatments will become available in the future for the treatment of the diseases we are targeting.</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tablet vaccines, we face competition from approved vaccines, against which new tablet vaccines must demonstrate compelling advantages in efficacy, convenience, tolerability and safety, and from competitors working to patent, discover, develop or commercialize medicines before we can do the same with tablet vaccines.</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products for the treatment of diseases, as well as in obtaining regulatory approvals of those products in the U.S.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drugs that are more effective or less costly than any tablet vaccine candidate that we may develop.</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will face competition from other drugs currently approved or that will be approved in the future for the treatment of the other infectious diseases we are currently targeting. Therefore, our ability to compete successfully will depend largely on our ability to:</w:t>
      </w:r>
    </w:p>
    <w:p>
      <w:pPr>
        <w:spacing w:after="0" w:line="162"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tablet vaccine candidates that are superior to other vaccines in the market;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tablet vaccine candidates are differentiated from existing and future therapies;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vaccine development and commercial personnel;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tablet vaccine candidates;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successfully develop and commercialize, independently or with collaborators, new tablet vaccine candidates.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availability of our competitors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vaccines could limit the demand, and the price we are able to charge, for any tablet vaccine candidate we develop.</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inability to compete with existing or subsequently introduced vaccines would have an adverse impact on our business, financial condition and prospects.</w:t>
      </w:r>
    </w:p>
    <w:p>
      <w:pPr>
        <w:spacing w:after="0" w:line="18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any of our tablet vaccine candidates less competitive. In addition, any new vaccine that competes with an approved vaccine must demonstrate compelling advantages in efficacy, convenience, tolerability and safety in order to overcome price competition and to be commercially successful. Accordingly, our competitors may succeed in obtaining patent protection, discovering, developing, receiving the FDA’s approval for or commercializing medicines before we do, which would have an adverse impact on our business and results of operations.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intense competition to develop new technologies and proprietary products. While we believe that our proprietary tablet vaccine candidates provide competitive advantages, we face competition from many different sources, including biotechnology and pharmaceutical companies,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spacing w:after="0" w:line="18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January 2026, there are no vaccines approved by the FDA or other global regulatory agencies for the prevention of norovirus. We are aware that Moderna, Inc. and Merck, Inc. are developing norovirus vaccines that would be delivered by injection. Other companies reporting development of a norovirus vaccine candidate are Anhui Zhifei Longcom Biopharmaceutical Co. Ltd., Chongqing Zhifei Biological Products Co., Ltd., and the National Vaccine and Serum Institute of China. In addition, we are aware of Cocrystal Pharma, Inc. reporting development of an oral antiviral for norovirus. There may be other development programs that we are not aware of.</w:t>
      </w:r>
    </w:p>
    <w:p>
      <w:pPr>
        <w:spacing w:after="0" w:line="18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There is significant competition in the COVID-19 vaccine market. Pfizer-BioNTech’s COVID-19 vaccine, Moderna’s COVID-19 vaccine and Novavax’s COVID-19 vaccine have been approved in the U.S. and many countries around the world.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tablet vaccine candidates may cause adverse effects or have other properties that could delay or prevent their regulatory approval or limit the scope of any approved label or market acceptance.</w:t>
      </w:r>
    </w:p>
    <w:p>
      <w:pPr>
        <w:spacing w:after="0" w:line="15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Adverse events caused by our tablet vaccine candidates could cause reviewing entities, clinical trial sites or regulatory authorities to interrupt, delay or halt clinical trials and could result in the denial of regulatory approval. If an unacceptable frequency or severity of adverse events are reported in clinical trials for our tablet vaccine candidates, our ability to obtain regulatory approval for such tablet vaccine candidates may be negatively impacted.</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Furthermore, if any of our tablet vaccines are approved and then cause serious or unexpected side effects, a number of potentially significant negative consequences could result, including:</w:t>
      </w:r>
    </w:p>
    <w:p>
      <w:pPr>
        <w:spacing w:after="0" w:line="162" w:lineRule="exact"/>
        <w:rPr>
          <w:sz w:val="20"/>
          <w:szCs w:val="20"/>
          <w:color w:val="auto"/>
        </w:rPr>
      </w:pPr>
    </w:p>
    <w:p>
      <w:pPr>
        <w:ind w:left="180" w:right="100" w:hanging="172"/>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tablet vaccine candidates or impose restrictions on their distribution or other risk management measures;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tablet vaccine candidates are administered or to conduct additional clinical trials;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injuries sustained by patients;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the Vaccine Injury Compensation Program;</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elect to discontinue the sale of our tablet vaccine candidates;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tablet vaccine candidate and could substantially increase the costs of commercialization.</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will not be able to commercialize, or will be delayed in commercializing, our tablet vaccine candidates, and our ability to generate significant revenue will be impaired.</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tablet vaccine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U.S. and by comparable authorities in other countries. Failure to obtain marketing approval for a tablet vaccine candidate will prevent us from commercializing the tablet vaccine candidate. We have not received approval to market any of our tablet vaccine candidates from regulatory authorities in any jurisdiction. We have only limited experience in filing and supporting the applications necessary to gain marketing approvals and expect to rely on CROs to assist us in this process. Securing regulatory approval requires the submission of extensive preclinical and clinical data and supporting information to the various regulatory authorities for each therapeutic indication to establish the tablet vaccine candidate’s safety and efficacy. Securing regulatory approval also requires the submission of information about the product manufacturing process to, and inspection of manufacturing facilities by, the relevant regulatory authority. Our tablet vaccine candidates may not be effective, may be only moderately effective or may prove to have undesirable or unintended side effects, toxicities or other characteristics that may preclude us obtaining marketing approval or prevent or limit commercial use.</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elsewhere, is expensive, may take many years and can vary substantially based upon a variety of factors, including the type, complexity and novelty of the tablet vaccine candidates involved. We cannot be sure that we will ever obtain any marketing approvals in any jurisdiction.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or other studies, and clinical trials. In addition, varying interpretations of the data obtained from preclinical testing and clinical trials could delay, limit or prevent marketing approval of a tablet vaccine candidate. Additionally, any marketing approval we ultimately obtain may be limited or subject to restrictions or post-approval commitments that render the approved product not commercially viable.</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in the United States, we may never obtain approval for or commercialize our tablet vaccine candidates in any other jurisdiction, which would limit our ability to realize each product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full market potential.</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order to market any of our tablet vaccine candidates in a particular jurisdiction, we must establish and comply with numerous and varying regulatory requirements on a country-by-country basis regarding safety and efficacy. Approval by the FDA in the U.S.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tablet vaccine candidate testing and validation and additional administrative review periods. Seeking foreign regulatory approval could result in difficulties and costs for us and require additional preclinical studies or clinical trials which could be costly and time consuming. Regulatory requirements can vary widely from country to country and could delay or prevent the introduction of our tablet vaccine candidates in those countries. We do not have any tablet vaccine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tablet vaccine candidate we develop will be unrealized.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we will still face extensive ongoing regulatory requirements, and our tablet vaccine candidates may face future development and regulatory difficulties.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Any tablet vaccine candidate for which we obtain marketing approval, along with the manufacturing processes, post-approval clinical data, labeling, packaging, distribution, adverse event reporting, storage, recordkeeping, export, import, advertising and promotional activities for such tablet vaccine candidate, among other things, will be subject to extensive and ongoing requirements of and review by the FDA and other regulatory authorities. These requirements include submissions of safety, efficacy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current good clinical practice, or GCP, requirements for any clinical trials that we conduct post-approval. Even if marketing approval of a tablet vaccine candidate is granted, the approval may be subject to limitations on the indicated uses for which the tablet vaccine candidates may be marketed or to the conditions of approval. If a tablet vaccine candidate receives marketing approval, the accompanying label may limit the approved use of that tablet vaccine, which could limit sales.</w:t>
      </w:r>
    </w:p>
    <w:p>
      <w:pPr>
        <w:spacing w:after="0" w:line="19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and/or efficacy of our tablet vaccine candidates.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tablet vaccine candidates for their approved indications, we may be subject to enforcement action for off-label marketing. Violations of the Federal Food, Drug, and Cosmetic Act relating to the promotion of prescription drugs may lead to FDA enforcement actions and investigations alleging violations of federal and state health care fraud and abuse laws, as well as state consumer protection laws.</w:t>
      </w:r>
    </w:p>
    <w:p>
      <w:pPr>
        <w:spacing w:after="0" w:line="189" w:lineRule="exact"/>
        <w:rPr>
          <w:sz w:val="20"/>
          <w:szCs w:val="20"/>
          <w:color w:val="auto"/>
        </w:rPr>
      </w:pPr>
    </w:p>
    <w:p>
      <w:pPr>
        <w:ind w:right="1020" w:firstLine="324"/>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tablet vaccine candidates, manufacturers or manufacturing processes, or failure to comply with regulatory requirements, may yield various results, including:</w:t>
      </w:r>
    </w:p>
    <w:p>
      <w:pPr>
        <w:spacing w:after="0" w:line="162"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tablet vaccine candidate;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tablet vaccine candidate;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tablet vaccine distribution or use;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tablet vaccine candidate from the market;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such tablet vaccine candidate;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such tablet vaccine candidate;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tablet vaccine candidate seizure; or</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any of our tablet vaccine candidates. If we are slow or unable to adapt to changes in existing requirements or the adoption of new requirements or policies, or if we are not able to maintain regulatory compliance, we may lose any marketing approval that we may have obtained.</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tablet vaccine candidates receive marketing approval, they may fail to achieve market acceptance by physicians, patients, third-party payors or others in the medical community necessary for commercial success.</w:t>
      </w:r>
    </w:p>
    <w:p>
      <w:pPr>
        <w:spacing w:after="0" w:line="15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If our tablet vaccine candidates, including our vaccine for coronavirus and norovirus, receive marketing approval, they may nonetheless fail to gain sufficient market acceptance by physicians, patients, third-party payors and others in the medical community. If they do not achieve an adequate level of acceptance, we may not generate significant revenues and become profitable. The degree of market acceptance, if approved for commercial sale, will depend on a number of factors, including but not limited to:</w:t>
      </w:r>
    </w:p>
    <w:p>
      <w:pPr>
        <w:spacing w:after="0" w:line="180"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tablet vaccine candidates for sale at competitive prices;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medical community to offer customers our tablet vaccine candidate option in addition to, or in the place of, injectable vaccines;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tablet vaccine together with other medications.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Because we expect sales of our tablet vaccine candidate for coronavirus and/or norovirus, if approved, to generate substantially all of our revenues for the foreseeable future, the failure of these tablet vaccines to achieve market acceptance would harm our business and could require us to seek additional financing sooner than we would otherwise plan.</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state and federal healthcare regulatory laws, we could face substantial penalties, damages, fines, disgorgement, exclusion from participation in governmental healthcare programs, and the curtailment of our operations, any of which could harm our business.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Although we do not provide healthcare services or submit claims for third-party reimbursement, we are subject to healthcare fraud and abuse regulation and enforcement by federal and state governments, which could significantly impact our business. The laws that may affect our ability to operate include, but are not limited to:</w:t>
      </w:r>
    </w:p>
    <w:p>
      <w:pPr>
        <w:spacing w:after="0" w:line="176" w:lineRule="exact"/>
        <w:rPr>
          <w:sz w:val="20"/>
          <w:szCs w:val="20"/>
          <w:color w:val="auto"/>
        </w:rPr>
      </w:pPr>
    </w:p>
    <w:p>
      <w:pPr>
        <w:ind w:left="180" w:right="80" w:hanging="172"/>
        <w:spacing w:after="0" w:line="281" w:lineRule="auto"/>
        <w:tabs>
          <w:tab w:leader="none" w:pos="1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164" w:lineRule="exact"/>
        <w:rPr>
          <w:rFonts w:ascii="Times New Roman" w:cs="Times New Roman" w:eastAsia="Times New Roman" w:hAnsi="Times New Roman"/>
          <w:sz w:val="17"/>
          <w:szCs w:val="17"/>
          <w:color w:val="auto"/>
        </w:rPr>
      </w:pPr>
    </w:p>
    <w:p>
      <w:pPr>
        <w:ind w:left="180" w:right="100" w:hanging="172"/>
        <w:spacing w:after="0" w:line="261"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False Claims Act (“FCA”), which prohibits, among other things, individuals or entities from knowingly presenting, or causing to be presented, claims for payment from Medicare, Medicaid or other third-party payors that are false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ind w:left="180" w:right="60" w:hanging="172"/>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FCA, which imposes criminal fines or imprisonment against individuals or entities who make or present a claim to the government knowing such claim to be false, fictitious or fraudulent;</w:t>
      </w:r>
    </w:p>
    <w:p>
      <w:pPr>
        <w:spacing w:after="0" w:line="161"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federal criminal laws that prohibit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180" w:right="540" w:hanging="172"/>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75" w:lineRule="exact"/>
        <w:rPr>
          <w:rFonts w:ascii="Times New Roman" w:cs="Times New Roman" w:eastAsia="Times New Roman" w:hAnsi="Times New Roman"/>
          <w:sz w:val="18"/>
          <w:szCs w:val="18"/>
          <w:color w:val="auto"/>
        </w:rPr>
      </w:pPr>
    </w:p>
    <w:p>
      <w:pPr>
        <w:ind w:left="180" w:right="40" w:hanging="172"/>
        <w:spacing w:after="0" w:line="261"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Affordable Care Act, which require certain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right="40" w:hanging="172"/>
        <w:spacing w:after="0" w:line="258"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commercial insurers; state laws that require pharmaceutical companies to comply with the device industry’s voluntary compliance guidelines and the relevant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w:t>
      </w:r>
    </w:p>
    <w:p>
      <w:pPr>
        <w:spacing w:after="0" w:line="39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Further, the Affordable Care Act,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Affordable Care Act provided that the government may assert that a claim including items or services resulting from a violation of the federal Anti-Kickback Statute constitutes a false or fraudulent claim for purposes of the FCA. Moreover, while we do not, and will not, submit claims and our customers will make the ultimate decision on how to submit claims, we may provide reimbursement guidance to our customers from time to time.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healthcare providers. Compensation for some of these arrangements includes the provision of stock options. While we have worked to structure our arrangements to comply with applicable laws,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influence the ordering of and use our products to be in violation of applicable laws.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Responding to investigations can be time- 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the commercialization of any tablet vaccine candidates we may develop.</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tablet vaccine candidates in human clinical trials and will face an even greater risk if we commercially sell any products that we may develop after approval. For instance, since our norovirus tablet challenge study is being conducted in healthy human volunteers, any adverse reactions could result in claims from these injuries and we could incur substantial liabilities. Regardless of merit or eventual outcome, liability claims may result in:</w:t>
      </w:r>
    </w:p>
    <w:p>
      <w:pPr>
        <w:spacing w:after="0" w:line="180"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tablet vaccine candidates that it may develop;</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we may develop.</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in the amount of up to $10 million per claim and in the aggregate, it may not be adequate to cover all liabilities that we may incur. Additionally, seasonal influenza is a covered vaccine of the National Vaccine Injury Compensation Program, and our participation in that program may require time and resources that impede product uptake, if approved. We anticipate that we will need to increase our insurance coverage as we continue clinical trials and if we successfully commercialize any products. Insurance coverage is increasingly expensive. We may not be able to maintain insurance coverage at a reasonable cost or in an amount adequate to satisfy any liability that may arise.</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product liability claim is successfully brought against us for uninsured liabilities, or such claim exceeds our insurance coverage, we could be forced to pay substantial damage awards that could materially harm our business.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use of any of our existing or future product candidates in clinical trials and the sale of any approved pharmaceutical products may expose us to significant product liability claims. We currently have product liability insurance coverage for our ongoing clinical trials in the amount of up to $10 million. Further, we also require clinical research and manufacturing organizations that assist us in the conduct of our trials or manufacture materials used in these trials to carry product liability insurance against such claims. This insurance coverage may not protect us against any or all of the product liability claims that may be brought against us in the future. We may not be able to acquire or maintain adequate product liability insurance coverage at a commercially reasonable cost or in sufficient amounts or scope to protect ourselves against potential losses. In the event a product liability claim is brought against us, we may be required to pay legal and other expenses to defend the claim, as well as uncovered damage awards resulting from a claim brought successfully against us. In the event any of our product candidates are approved for sale by the FDA or similar regulatory authorities in other countries and commercialized, we may need to substantially increase the amount of our product liability coverage. Defending any product liability claim or claims could require us to expend significant financial and managerial resources, which could have an adverse effect on our business.</w:t>
      </w:r>
    </w:p>
    <w:p>
      <w:pPr>
        <w:spacing w:after="0" w:line="19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tablet vaccine candidates, if approved.</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do not have any infrastructure for the sales, marketing or distribution of our tablet vaccine candidates, and the cost of establishing and maintaining such an organization may exceed the cost-effectiveness of doing so. In order to market any tablet vaccine candidates that may be approved, we must build our sales, distribution, marketing, managerial and other non-technical capabilities or make arrangements with third parties to perform these services. To achieve commercial success for any tablet vaccine candidates for which we have obtained marketing approval, we will need a sales and marketing organization. While we expect to partner our tablet vaccine for seasonal influenza, we may build a focused sales, distribution and marketing infrastructure to market our other tablet vaccine candidates in the U.S.,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tablet vaccine candidate launch, which would adversely impact commercialization.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tablet vaccine candidates on our own include:</w:t>
      </w:r>
    </w:p>
    <w:p>
      <w:pPr>
        <w:spacing w:after="0" w:line="225"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attain adequate numbers of physicians to administer our tablet vaccines;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pursue collaborative arrangements regarding the sale and marketing of our tablet vaccine candidates, if approved, for certain international markets; however, we may not be able to establish or maintain such collaborative arrangements and, if able to do so, our collaborators may not have effective sales. To the extent that we depend on third parties for marketing and distribution, any revenues we receive will depend upon the efforts of such third parties, and we cannot assure you that such efforts will be successful.</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build our own sales force in the U.S. or negotiate a collaborative relationship for the commercialization of our tablet vaccine candidates outside the U.S., we may be forced to delay the potential commercialization or reduce the scope of our sales and marketing activities. We could have to enter into arrangements with third parties at an earlier stage than we would otherwise choose and we may be required to relinquish rights to our intellectual property or otherwise agree to terms unfavorable to us, any of which may have an adverse effect on our business, operating results and prospects.</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may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tablet vaccine candidates outside of the United States, a variety of risks associated with international operations could harm our business.</w:t>
      </w:r>
    </w:p>
    <w:p>
      <w:pPr>
        <w:spacing w:after="0" w:line="15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our tablet vaccine candidates are approved for commercialization, we intend to enter into agreements with third parties to market them in certain jurisdictions outside the U.S. We expect that we will be subject to additional risks related to international operations or entering into international business relationships, including:</w:t>
      </w:r>
    </w:p>
    <w:p>
      <w:pPr>
        <w:spacing w:after="0" w:line="176"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and rules governing drug commercialization in foreign countries;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w:t>
      </w:r>
    </w:p>
    <w:p>
      <w:pPr>
        <w:spacing w:after="0" w:line="225" w:lineRule="exact"/>
        <w:rPr>
          <w:rFonts w:ascii="Times New Roman" w:cs="Times New Roman" w:eastAsia="Times New Roman" w:hAnsi="Times New Roman"/>
          <w:sz w:val="18"/>
          <w:szCs w:val="18"/>
          <w:color w:val="auto"/>
        </w:rPr>
      </w:pPr>
    </w:p>
    <w:p>
      <w:pPr>
        <w:ind w:left="180" w:right="100" w:hanging="172"/>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5" w:lineRule="exact"/>
        <w:rPr>
          <w:rFonts w:ascii="Times New Roman" w:cs="Times New Roman" w:eastAsia="Times New Roman" w:hAnsi="Times New Roman"/>
          <w:sz w:val="18"/>
          <w:szCs w:val="18"/>
          <w:color w:val="auto"/>
        </w:rPr>
      </w:pPr>
    </w:p>
    <w:p>
      <w:pPr>
        <w:ind w:left="180" w:right="420" w:hanging="172"/>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with the U.S. Foreign Corrupt Practices Act, the U.K. Bribery Act 2010 and similar anti-bribery and anticorruption laws in other jurisdictions;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tablet vaccination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180" w:right="220" w:hanging="172"/>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both the European Union and many of the individual countries in Europe with which we will need to comply.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involvement may limit the commercial success of our tablet vaccine candidates.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Various government entities, including the U.S. government, are offering incentives, grants and contracts to encourage additional investment by commercial organizations into preventative and therapeutic agents against coronavirus and influenza, which may have the effect of increasing the number of competitors and/or providing advantages to known competitors. Accordingly, there can be no assurance that we will be able to successfully establish a competitive market share for our coronavirus or influenza vaccines.</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current influenza vaccines are generally trivalent (containing three strains) or quadrivalent (containing four strains). If the FDA requires or recommends changes in influenza vaccines, for example, for a monovalent vaccine or for use of a strain that is not currently circulating in the human population, it is uncertain whether we will be able to produce or manufacture such a vaccine at commercially reasonable rates.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target indications, in particular influenza, and competition from new products may cause unpredictable royalty revenues from Inavir and significant fluctuations in our operating results.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Influenza is seasonal in nature with sales of current vaccines occurring primarily in the first and fourth quarters of the calendar year. In addition, outbreaks of norovirus typically occur in the winter season. This seasonal concentration of product sales could cause quarter-to-quarter operating results to vary widely and can exaggerate the consequences of revenues of any manufacturing or supply delays, any sudden loss of inventory, any inability to satisfy product demand, the inability to estimate the effect of returns and rebates, normal or unusual fluctuations in customer buying patterns, or of any unsuccessful sales or marketing strategies during the sales seasons.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earn royalty revenue from the net sales of Inavir, which is marketed by our licensee. Although the royalty rates paid to us by our licensees are fixed at a proportion of the licensee’s net sales of these products, our periodic and annual revenues from these royalties have historically been variable and subject to fluctuation based on the seasonal incidence and severity of influenza. It is the seasonality of influenza, which occurs mainly in the winter months, that causes our royalty revenue to be low in the second and third fiscal quarters, since our agreement with HealthCare Royalty Partners III, L.P. (see Note 6 to our Consolidated Financial Statements) has no impact on total revenue recognized, it only impacts our net cash flow in the quarter following revenue recognition. We cannot predict with any certainty what our royalty revenues are likely to be in any given year.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addition, our licensee may encounter competition from new products entering the market, including generic copies of Inavir, which could adversely affect our royalty income. The last patent related to Inavir is set to expire in August 2036 in Japan, at which time royalty revenue will cease. However, the patent covering the laninamivir octanoate compound expired in 2024, at which time generic competition may enter the market, potentially decreasing or eliminating the royalties received. On February 23, 2018, Osaka-based drug maker Shionogi &amp; Co., Ltd. gained marketing approval for Xofluza, a new drug to treat influenza in Japan. The drug was approved for use against type A and B influenza viruses and requires only a single dose regardless of age. Xofluza has gained significant market share from Inavir in Japan, substantially reducing the sales of Inavir. This will significantly decrease the royalty payments we receive from Daiichi Sankyo Company, Limited.</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largely upon our ability to advance our product candidates through the various stages of drug development. If we are unable to successfully advance or develop our product candidates, our business will be materially harmed.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Even though we generate royalty revenue from a commercialized influenza product, all of our remaining product candidates are in early stages of development and their commercial viability remains subject to the successful outcome of future preclinical studies, clinical trials, manufacturing processes, regulatory approvals and the risks generally inherent in the development of pharmaceutical product candidates. Failure to advance the development of one or more of our product candidates may have a material adverse effect on our business. For example, the Phase 2 trial of teslexivir, a product acquired through the merger with Aviragen, was costly and diverted resources from our other product candidates and did not achieve the primary efficacy endpoint, resulting in abandonment of development activities. The long-term success of our business ultimately depends upon our ability to advance the development of our product candidates through preclinical studies and clinical trials, appropriately formulate and consistently manufacture them in accordance with strict specifications and regulations, obtain approval of our product candidates for sale by the FDA or similar regulatory authorities in other countries, and ultimately have our product candidates successfully commercialized, either by us or by a strategic partner or licensee. We cannot be sure that the results of our ongoing or future research, preclinical studies or clinical trials will support or justify the continued development of our product candidates, or that we will ultimately receive approval from the FDA, or similar regulatory authorities in other countries, to advance the development of our product candidates.</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product candidates must satisfy rigorous regulatory standards of safety, efficacy and manufacturing before we can advance or complete their development and before they can be approved for sale by the FDA or similar regulatory authorities in other countries. To satisfy these standards, we must engage in expensive and lengthy studies and clinical trials, develop acceptable and cost-effective manufacturing processes, and obtain regulatory approval of our product candidates. Despite these efforts, our product candidates may not:</w:t>
      </w:r>
    </w:p>
    <w:p>
      <w:pPr>
        <w:spacing w:after="0" w:line="180" w:lineRule="exact"/>
        <w:rPr>
          <w:sz w:val="20"/>
          <w:szCs w:val="20"/>
          <w:color w:val="auto"/>
        </w:rPr>
      </w:pPr>
    </w:p>
    <w:p>
      <w:pPr>
        <w:ind w:left="180" w:right="240" w:hanging="172"/>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clinically meaningful therapeutic or other medical benefits as compared to a patient receiving no treatment or over existing drugs or other product candidates in development to treat the same patient population;</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shown to be safe and effective in future preclinical studies or clinical trials;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desired therapeutic or medical effects;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tolerable or free from undesirable or unexpected side effects;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applicable regulatory standards;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capable of being appropriately formulated and manufactured in commercially suitable quantities or scale and at an acceptable cost; or</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successfully commercialized, either by us or by our licensees or collaborators.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Even if we demonstrate favorable results in preclinical studies and early-stage clinical trials, we cannot be sure that the results of late-stage clinical trials will be sufficient to support the continued development of our product candidates. Many, if not most, companies in the pharmaceutical and biopharmaceutical industries have experienced significant delays, setbacks and failures in all stages of development, including late-stage clinical trials, even after achieving promising results in preclinical testing or early-stage clinical trials. Accordingly, results from completed preclinical studies and early-stage clinical trials of our product candidates may not be predictive of the results we may obtain in future late-stage trials. Furthermore, even if the data collected from preclinical studies and clinical trials involving any of our product candidates demonstrate a satisfactory safety, tolerability and efficacy profile, such results may not be sufficient to obtain regulatory approval from the FDA in the U.S., or other similar regulatory agencies in other jurisdictions, which is required to market and sell the product.</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actual or perceived therapeutic benefits, or the safety or tolerability profile of any of our product candidates are not equal to or superior to other competing treatments approved for sale or in clinical development, we may terminate the development of any of our product candidates at any time, and our business prospects and potential profitability could be harmed.</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aware of a number of companies marketing or developing various classes of anti-infective product candidates or products for the treatment of patients infected with HPV that are either approved for sale or further advanced in clinical development than ours, such that their time to approval and commercialization may be shorter than that for our product candidates.</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at any time we believe that any of our product candidates may not provide meaningful or differentiated therapeutic benefits, perceived or real, equal to or better than our competitors’ products or product candidates, or we believe that our product candidates may not have as favorable a safety or tolerability profile as potentially competitive compounds, we may delay or terminate the future development of any of our product candidates. We cannot provide any assurance that the future development of any of our product candidates will demonstrate any meaningful therapeutic benefits over potentially competitive compounds currently approved for sale or in development, or an acceptable safety or tolerability profile sufficient to justify their continued development.</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exhibit undesirable side effects when used alone or in combination with other approved pharmaceutical products, which may delay or preclude their development or regulatory approval or limit their use if ever approved.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Throughout the drug development process, we must continually demonstrate the activity, safety and tolerability of our product candidates in order to obtain regulatory approval to further advance their clinical development, or to eventually market them. Even if our product candidates demonstrate adequate biologic activity and clear clinical benefit, any unacceptable side effects or adverse events, when administered alone or in the presence of other pharmaceutical products, may outweigh these potential benefits. We may observe adverse or serious adverse events or drug-drug interactions in preclinical studies or clinical trials of our product candidates, which could result in the delay or termination of their development, prevent regulatory approval, or limit their market acceptance if they are ultimately approved.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results from preclinical studies or clinical trials of our product candidates, including those that are subject to existing or future license or collaboration agreements, are unfavorable, we could be delayed or precluded from the further development or commercialization of our product candidates, which could materially harm our business.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order to further advance the development of, and ultimately receive marketing approval to sell, our product candidates, we must conduct extensive preclinical studies and clinical trials to demonstrate their safety and efficacy to the satisfaction of the FDA or similar regulatory authorities in other countries, as the case may be. Preclinical studies and clinical trials are expensive, complex, can take many years to complete, and have highly uncertain outcomes. Delays, setbacks, or failures can and do occur at any time, and in any phase of preclinical or clinical testing, and can result from concerns about safety, tolerability, toxicity, a lack of demonstrated biologic activity or improved efficacy over similar products that have been approved for sale or are in more advanced stages of development, poor study or trial design, and issues related to the formulation or manufacturing process of the materials used to conduct the trials. The results of prior preclinical studies or early-stage clinical trials are not predictive of the results we may observe in late-stage clinical trials. In many cases, product candidates in clinical development may fail to show the desired tolerability, safety and efficacy characteristics, despite having favorably demonstrated such characteristics in preclinical studies or early-stage clinical trials.</w:t>
      </w:r>
    </w:p>
    <w:p>
      <w:pPr>
        <w:spacing w:after="0" w:line="18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experience numerous unforeseen events during, or as a result of, preclinical studies and the clinical trial process, which could delay or impede our ability to advance the development of, receive marketing approval for, or commercialize our product candidates, including, but not limited to:</w:t>
      </w:r>
    </w:p>
    <w:p>
      <w:pPr>
        <w:spacing w:after="0" w:line="176" w:lineRule="exact"/>
        <w:rPr>
          <w:sz w:val="20"/>
          <w:szCs w:val="20"/>
          <w:color w:val="auto"/>
        </w:rPr>
      </w:pPr>
    </w:p>
    <w:p>
      <w:pPr>
        <w:ind w:left="180" w:right="360" w:hanging="172"/>
        <w:spacing w:after="0" w:line="266"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the FDA, or similar regulatory authorities in different countries, regarding the scope or design of a trial or trials, or placing the development of a product candidate on clinical hold or delaying the next phase of development until questions or issues are satisfactorily resolved, including performing additional studies to answer their queries;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IRBs not authorizing us to commence or conduct a clinical trial at a prospective trial site;</w:t>
      </w:r>
    </w:p>
    <w:p>
      <w:pPr>
        <w:spacing w:after="0" w:line="225" w:lineRule="exact"/>
        <w:rPr>
          <w:rFonts w:ascii="Times New Roman" w:cs="Times New Roman" w:eastAsia="Times New Roman" w:hAnsi="Times New Roman"/>
          <w:sz w:val="18"/>
          <w:szCs w:val="18"/>
          <w:color w:val="auto"/>
        </w:rPr>
      </w:pPr>
    </w:p>
    <w:p>
      <w:pPr>
        <w:ind w:left="180" w:right="360" w:hanging="172"/>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being delayed, or proceeding at a slower pace than we expected, because we have difficulty recruiting participants or participants drop out of our clinical trials at a higher rate than we anticipated;</w:t>
      </w:r>
    </w:p>
    <w:p>
      <w:pPr>
        <w:spacing w:after="0" w:line="161" w:lineRule="exact"/>
        <w:rPr>
          <w:rFonts w:ascii="Times New Roman" w:cs="Times New Roman" w:eastAsia="Times New Roman" w:hAnsi="Times New Roman"/>
          <w:sz w:val="18"/>
          <w:szCs w:val="18"/>
          <w:color w:val="auto"/>
        </w:rPr>
      </w:pPr>
    </w:p>
    <w:p>
      <w:pPr>
        <w:ind w:left="180" w:right="140" w:hanging="172"/>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upon whom we rely to conduct preclinical studies, clinical trials and the manufacturing of our clinical trial materials, failing to comply with regulatory requirements or meet their contractual obligations to us in a timely manner;</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suspend or ultimately terminate a clinical trial if participants are being exposed to unacceptable health or safety risks;</w:t>
      </w:r>
    </w:p>
    <w:p>
      <w:pPr>
        <w:spacing w:after="0" w:line="225" w:lineRule="exact"/>
        <w:rPr>
          <w:rFonts w:ascii="Times New Roman" w:cs="Times New Roman" w:eastAsia="Times New Roman" w:hAnsi="Times New Roman"/>
          <w:sz w:val="18"/>
          <w:szCs w:val="18"/>
          <w:color w:val="auto"/>
        </w:rPr>
      </w:pPr>
    </w:p>
    <w:p>
      <w:pPr>
        <w:ind w:left="180" w:right="200" w:hanging="172"/>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IRBs requiring that we hold, suspend or terminate our preclinical studies and clinical trials for various reasons, including non-compliance with regulatory requirements;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 necessary to conduct our preclinical studies or clinical trials being insufficient, inadequate or unavailable.</w:t>
      </w:r>
    </w:p>
    <w:p>
      <w:pPr>
        <w:spacing w:after="0" w:line="200" w:lineRule="exact"/>
        <w:rPr>
          <w:sz w:val="20"/>
          <w:szCs w:val="20"/>
          <w:color w:val="auto"/>
        </w:rPr>
      </w:pPr>
    </w:p>
    <w:p>
      <w:pPr>
        <w:spacing w:after="0" w:line="241"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Even if the data collected from preclinical studies or clinical trials involving our product candidates demonstrate a satisfactory tolerability, safety and efficacy profile, such results may not be sufficient to support the submission of a BLA or NDA to obtain regulatory approval from the FDA in the U.S., or other similar regulatory authorities in other foreign jurisdictions, which is required for us to market and sell our product candidates.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capacity for managing clinical trials, which could delay or impair our ability to initiate or complete clinical trials of our product candidates on a timely basis and materially harm our business.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 limited capacity to recruit and manage all of the clinical trials necessary to obtain approval for our product candidates by the FDA or similar regulatory authorities in other countries. By contrast, larger pharmaceutical and biopharmaceutical companies often have substantial staff or departments with extensive experience in conducting clinical trials with multiple product candidates across multiple indications and obtaining regulatory approval in various countries. In addition, these companies may have greater financial resources to compete for the same clinical investigators, sites and patients that we are attempting to recruit for our clinical trials. As a result, we may be at a competitive disadvantage that could delay the initiation, recruitment, timing and completion of our clinical trials and obtaining of marketing approvals, if achieved at all, for our product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subject to rapid technological changes. As a result, we may be unable to compete successfully or develop innovative or differentiated products, which could harm our business.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industry is highly competitive and characterized by rapid technological change. Key competitive factors in our industry include, among others, the ability to successfully advance the development of a product candidate through preclinical and clinical trials; the efficacy, toxicology, tolerability, safety, resistance or cross-resistance, interaction or dosing profile of a product or product candidate; the timing and scope of marketing approvals, if ever achieved; reimbursement rates for and the average selling price of competing products and pharmaceutical products in general; the availability of raw materials and qualified contract manufacturing and manufacturing capacity to produce our product candidates; relative manufacturing costs; establishing, maintaining and protecting our intellectual property and patent rights; and sales and marketing capabilities.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 candidates is a highly competitive, expensive and risky activity with a long business cycle. Many organizations, including the large pharmaceutical and biopharmaceutical companies that have existing products on the market or in clinical development that may compete with our product candidates, have substantially more resources than us, as well as much greater capabilities and experience than we have in research and discovery, designing and conducting preclinical studies and clinical trials, operating in a highly regulated environment, formulating and manufacturing drug substances, products and devices, and marketing and sales. Our competitors may be more successful than us in obtaining regulatory approvals for their product candidates and achieving broad market acceptance once they are approved. Our competitors’ products or product candidates may be more effective, have fewer adverse effects, be more convenient to administer, have a more favorable resistance profile, or be more effectively marketed and sold than any product that we, or our potential future licensees or collaborators, may develop or commercialize. New drugs or classes of drugs from competitors may render our product candidates obsolete or non-competitive before we are able to successfully develop them or, if approved, before we can recover the expenses of developing and commercializing them. We anticipate that we, or our potential future licensees or collaborators, will face intense and increasing competition as new drugs and drug classes enter the market and advanced technologies or new drug targets become available. If our product candidates do not demonstrate any meaningful competitive advantages over existing products, or new products or product candidates, we may terminate the development or commercialization of our product candidates at any time.</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competitors, either alone or with their collaborators, may succeed in developing product candidates or products that are more effective, safer, less expensive or easier to administer than ours. Accordingly, our competitors may succeed in obtaining regulatory approval for their product candidates more rapidly than we can. Companies that can complete clinical trials, obtain required marketing approvals and commercialize their products before their competitors do so may achieve a significant competitive advantage, including certain patent and marketing exclusivity rights that could delay the ability of competitors to market certain products.</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We also face, and expect that we will continue to face, intense competition from other companies in a number of other areas, including (i) attracting larger pharmaceutical and biopharmaceutical companies to enter into collaborative arrangements with us to acquire, license or co-develop our product candidates, (ii) identifying and obtaining additional clinical-stage development programs to bolster our pipeline, (iii) attracting investigators and clinical sites capable of conducting our clinical trials, and (iv) recruiting patients to participate in our clinical trials. There can be no assurance that product candidates resulting from our research and development efforts, or from joint efforts with our potential future licensees or collaborators, will be able to compete successfully with our competitors’ existing products or product candidates in development.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 product candidate that is the subject of an existing or future license agreement or collaboration if our licensee or collaborator does not perform or fulfill its contractual obligations, delays the development of our product candidate, or terminates the agreement.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expect to continue to enter into and rely on license and collaboration agreements in the future, or other similar business arrangements with third parties, to further develop and/or commercialize some or all of our existing and future product candidates. Such licensees or collaborators may not perform as agreed upon or anticipated, may fail to comply with strict regulations, or may elect to delay or terminate their efforts in developing or commercializing our product candidates even though we have met our obligations under the arrangement.</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majority of the potential revenue from existing and any future licenses and collaborations we may enter into will likely consist of contingent milestone payments, such as payments received for achieving development or regulatory milestones, and royalties payable on the sales of approved products. Milestone and royalty revenues that we may receive under these licenses and collaborations will depend primarily upon our licensees’ or collaborators’ ability to successfully develop and commercialize our product candidates. In addition, our licensees or collaborators may decide to enter into arrangements with third parties to commercialize products developed under our existing or future collaborations using our technologies, which could reduce the milestone and royalty revenue that we may receive, if any. In many cases, we will not be directly or closely involved in the development or commercialization of our product candidates that are subject to licenses or collaborations and, accordingly, we will depend largely on our licensees or collaborators to develop or commercialize our product candidates. Our licensees may encounter competition from new products entering the market, which could adversely affect our royalty income. Our licensees or collaborators may fail to develop or effectively commercialize our product candidates because they:</w:t>
      </w:r>
    </w:p>
    <w:p>
      <w:pPr>
        <w:spacing w:after="0" w:line="194" w:lineRule="exact"/>
        <w:rPr>
          <w:sz w:val="20"/>
          <w:szCs w:val="20"/>
          <w:color w:val="auto"/>
        </w:rPr>
      </w:pPr>
    </w:p>
    <w:p>
      <w:pPr>
        <w:jc w:val="both"/>
        <w:ind w:left="180" w:right="580" w:hanging="172"/>
        <w:spacing w:after="0" w:line="26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allocate the necessary resources due to internal constraints, such as limited personnel with the requisite scientific expertise, limited capital resources, or the belief that other product candidates or internal programs may have a higher likelihood of obtaining regulatory approval, or may potentially generate a greater return on investment;</w:t>
      </w:r>
    </w:p>
    <w:p>
      <w:pPr>
        <w:spacing w:after="0" w:line="175" w:lineRule="exact"/>
        <w:rPr>
          <w:rFonts w:ascii="Times New Roman" w:cs="Times New Roman" w:eastAsia="Times New Roman" w:hAnsi="Times New Roman"/>
          <w:sz w:val="18"/>
          <w:szCs w:val="18"/>
          <w:color w:val="auto"/>
        </w:rPr>
      </w:pPr>
    </w:p>
    <w:p>
      <w:pPr>
        <w:ind w:left="180" w:right="1280" w:hanging="172"/>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sufficient resources necessary to fully support the product candidate through clinical development, regulatory approval and commercialization;</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unable to obtain the necessary regulatory approvals; or</w:t>
      </w:r>
    </w:p>
    <w:p>
      <w:pPr>
        <w:spacing w:after="0" w:line="225" w:lineRule="exact"/>
        <w:rPr>
          <w:rFonts w:ascii="Times New Roman" w:cs="Times New Roman" w:eastAsia="Times New Roman" w:hAnsi="Times New Roman"/>
          <w:sz w:val="18"/>
          <w:szCs w:val="18"/>
          <w:color w:val="auto"/>
        </w:rPr>
      </w:pPr>
    </w:p>
    <w:p>
      <w:pPr>
        <w:ind w:left="180" w:right="500" w:hanging="172"/>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other programs or otherwise diminish their support for developing and/or marketing our product candidate or product due to a change in management, business operations or strategy.</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Should any of these events occur, we may not realize the full potential or intended benefit of our license or collaboration arrangements, and our results of operations may be adversely affected. In addition, a licensee or collaborator may decide to pursue the development of a competitive product candidate developed outside of our agreement with them. Conflicts may also arise if there is a dispute about the progress of, or other activities related to, the clinical development or commercialization of a product candidate, the achievement and payment of a milestone amount, the ownership of intellectual property that is developed during the course of the arrangement, or other license agreement terms. If a licensee or collaborator fails to develop or effectively commercialize our product candidates for any of these reasons, we may not be able to replace them with another third party willing to develop and commercialize our product candidates under similar terms, if at all. Similarly, we may disagree with a licensee or collaborator as to which party owns newly or jointly-developed intellectual property. Should an agreement be revised or terminated as a result of a dispute and before we have realized the anticipated benefits of the arrangement, we may not be able to obtain certain development support or revenues that we anticipated receiving. We may also be unable to obtain, on terms acceptable to us, a license from such collaboration partner to any of its intellectual property that may be necessary or useful for us to continue to develop and commercialize the product candidate. There can be no assurance that any product candidates will emerge from any existing or future license or collaboration agreements we may enter into for any of our product candidates.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third-party payers fail to provide adequate reimbursement or coverage for our products or those that are developed through licenses or collaborations, our revenues and potential for profitability may be harmed.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U.S. and most foreign markets, product revenues or related royalty revenue, and therefore the inherent value of our products, will depend largely upon the reimbursement rates established by third-party payers for such products. Third-party payers include government health administration authorities, managed-care organizations, private health insurers and other similar organizations. Third-party payers are increasingly examining the cost effectiveness of medical products, services and pharmaceutical drugs and challenging the price of these products and services. In addition, significant uncertainty exists as to the reimbursement status, if any, of newly approved pharmaceutical products. Further, the comparative effectiveness of new products over existing therapies and the assessment of other non-clinical outcomes are increasingly being considered in the decision by payers to establish reimbursement rates. We, or our licensees or collaborators if applicable, may also be required to conduct post-marketing clinical trials in order to demonstrate the cost-effectiveness of our products. Such studies may require us to commit a significant amount of management time and financial resources. There can be no assurance that any products that we or our licensees or collaborators may successfully develop will be reimbursed in part, or at all, by any third-party payers in any country.</w:t>
      </w:r>
    </w:p>
    <w:p>
      <w:pPr>
        <w:spacing w:after="0" w:line="194"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Many governments continue to propose legislation designed to expand the coverage, yet reduce the cost, of healthcare, including pharmaceutical products. In many foreign markets, governmental agencies control the pricing of prescription drugs. In the U.S., significant changes in federal health care policy were approved over the past several years and continue to evolve and will likely result in reduced reimbursement rates for many pharmaceutical products in the future. We expect that there will continue to be federal and state proposals to implement increased government control over reimbursement rates of pharmaceutical products. In addition, we expect that increasing emphasis on managed care and government intervention in the U.S. healthcare system will continue to put downward pressure on the pricing of pharmaceutical products there. Recent events have resulted in increased public and governmental scrutiny of the cost of drugs, especially in connection with price increases following companies’ acquisitions of the rights to certain drug products. In particular, U.S. federal prosecutors recently issued subpoenas to a pharmaceutical company seeking information about its drug pricing practices, among other issues, and members of the U.S. Congress have sought information from certain pharmaceutical companies relating to post-acquisition drug-price increases. Our revenue and future profitability could be negatively affected if these inquiries were to result in legislative or regulatory proposals that limit our ability to increase the prices of our products that may be approved for sale in the future. Legislation and regulations affecting the pricing of pharmaceutical products may change before our product candidates are approved for sale, which could further limit or eliminate their reimbursement rates. Further, social and patient activist groups, whose goal it is to reduce the cost of healthcare, and in particular the price of pharmaceutical products, may also place downward pressure on the price of these products, which could result in decreases in the price of our products.</w:t>
      </w:r>
    </w:p>
    <w:p>
      <w:pPr>
        <w:spacing w:after="0" w:line="1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candidates that we develop independently, or through licensees or collaborators if applicable, are approved but do not gain meaningful acceptance in their intended markets, we are not likely to generate significant revenues.</w:t>
      </w:r>
    </w:p>
    <w:p>
      <w:pPr>
        <w:spacing w:after="0" w:line="15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Even if our product candidates are successfully developed and we or a licensee or collaborator obtains the requisite regulatory approvals to market them in the future, they may not gain market acceptance or broad utilization among physicians, patients or third-party payers. The degree of market acceptance that any of our products may achieve will depend on a number of factors, including:</w:t>
      </w:r>
    </w:p>
    <w:p>
      <w:pPr>
        <w:spacing w:after="0" w:line="176"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or perceived clinical benefit of the product, if any, relative to existing therapies;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approval and the existing market for competitive drugs, including the presence of generic drugs;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provided by third-party payers to cover the cost of the product to patients;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cost of the product to the user or third-party payer;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of the product;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potential advantages over existing or alternative therapies;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safety of similar classes of products;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existence, incidence and severity of adverse effects;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capabilities;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product label approved by the FDA or similar regulatory agencies in other jurisdictions.</w:t>
      </w:r>
    </w:p>
    <w:p>
      <w:pPr>
        <w:spacing w:after="0" w:line="22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physicians will choose to prescribe or administer our products, if approved, to the intended patient population. If our products do not achieve meaningful market acceptance, or if the market for our products proves to be smaller than anticipated, we may never generate significant revenues.</w:t>
      </w:r>
    </w:p>
    <w:p>
      <w:pPr>
        <w:spacing w:after="0" w:line="1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75"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20, 2025, President Trump signed an executive order creating an advisory commission, the “Department of Government Efficiency,” to reform federal government processes and reduce expenditures. Pressures on and uncertainty surrounding the U.S. federal government’s budget, and potential changes in budgetary priorities and spending levels, could adversely affect staffing levels and the funding for the FDA. Disruptions at the FDA and other agencies due to these policies may slow the time necessary for new drugs to be reviewed and/or approved by necessary government agencies, which would adversely affect our business. For example, over the past decade, the U.S. government has shut down, at least partially,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could delay or prevent the development, approval, manufacturing, or any eventual commercialization of our product candidates.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depend on third-party collaborators, service providers, and others in the research, development, manufacturing, and any eventual commercialization of our product candidates. We rely heavily on these parties for multiple aspects of our drug development and manufacturing activities and anticipate that we will rely on third parties for commercialization activities including testing of our product candidates. We have very limited control over many aspects of those activities. Failure by one or more of the third-party collaborators, service providers, or others to complete activities on schedule or in accordance with our expectations or to meet their contractual or other obligations to us; failure of one or more of these parties to comply with applicable laws or regulations; or any disruption in the relationships between us and these parties, could delay or prevent the development, approval, manufacturing, or any eventual commercialization of our product candidates, expose us to suboptimal quality of service delivery or deliverables, result in repercussions such as missed deadlines or other timeliness issues, erroneous data and supply disruptions, and could also result in non-compliance with legal or regulatory requirements or industry standards or subject us to reputational harm, all with potential negative implications for our product pipeline and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contract manufacturers for certain portions of our manufacturing process. If third-party contract manufacturers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pacing w:after="0" w:line="15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we rely on third-party contract manufacturers, which in some cases may be sole sourced, we are exposed to a number of risks, any of which could delay or prevent the completion of our preclinical studies or clinical trials, or the regulatory approval or commercialization of our product candidates, result in higher costs, or deprive us of potential product revenues in the future. Some of these risks include, but are not limited to:</w:t>
      </w:r>
    </w:p>
    <w:p>
      <w:pPr>
        <w:spacing w:after="0" w:line="176" w:lineRule="exact"/>
        <w:rPr>
          <w:sz w:val="20"/>
          <w:szCs w:val="20"/>
          <w:color w:val="auto"/>
        </w:rPr>
      </w:pPr>
    </w:p>
    <w:p>
      <w:pPr>
        <w:ind w:left="180" w:right="60" w:hanging="172"/>
        <w:spacing w:after="0" w:line="282"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develop an acceptable formulation to support late-stage clinical trials for, or the commercialization of, our product candidates;</w:t>
      </w:r>
    </w:p>
    <w:p>
      <w:pPr>
        <w:spacing w:after="0" w:line="161" w:lineRule="exact"/>
        <w:rPr>
          <w:rFonts w:ascii="Times New Roman" w:cs="Times New Roman" w:eastAsia="Times New Roman" w:hAnsi="Times New Roman"/>
          <w:sz w:val="18"/>
          <w:szCs w:val="18"/>
          <w:color w:val="auto"/>
        </w:rPr>
      </w:pPr>
    </w:p>
    <w:p>
      <w:pPr>
        <w:ind w:left="180" w:right="240" w:hanging="172"/>
        <w:spacing w:after="0" w:line="266"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manufacture our product candidates according to their own standards, our specifications, cGMP, or regulatory guidelines, or otherwise manufacturing material that we or regulatory authorities deem to be unsuitable for our clinical trials or commercial use;</w:t>
      </w:r>
    </w:p>
    <w:p>
      <w:pPr>
        <w:spacing w:after="0" w:line="175" w:lineRule="exact"/>
        <w:rPr>
          <w:rFonts w:ascii="Times New Roman" w:cs="Times New Roman" w:eastAsia="Times New Roman" w:hAnsi="Times New Roman"/>
          <w:sz w:val="18"/>
          <w:szCs w:val="18"/>
          <w:color w:val="auto"/>
        </w:rPr>
      </w:pPr>
    </w:p>
    <w:p>
      <w:pPr>
        <w:ind w:left="180" w:right="140" w:hanging="172"/>
        <w:spacing w:after="0" w:line="261"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being unable to increase the scale of or the capacity for, or reformulate the form of, our product candidates, which may cause us to experience a shortage in supply or cause the cost to manufacture our product candidates to increase. There can be no assurance that our potential contract manufacturers will be able to manufacture our product candidates at a suitable commercial scale, or that we will be able to find alternative manufacturers acceptable to us that can do so;</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placing a priority on the manufacture of other customers’ or their own products, rather than our products;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perform as agreed or exiting from the contract manufacturing business;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plants being closed as a result of regulatory sanctions or a natural disaster.</w:t>
      </w:r>
    </w:p>
    <w:p>
      <w:pPr>
        <w:spacing w:after="0" w:line="200" w:lineRule="exact"/>
        <w:rPr>
          <w:sz w:val="20"/>
          <w:szCs w:val="20"/>
          <w:color w:val="auto"/>
        </w:rPr>
      </w:pPr>
    </w:p>
    <w:p>
      <w:pPr>
        <w:spacing w:after="0" w:line="24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Manufacturers of pharmaceutical drug products are subject to ongoing periodic inspections by the FDA, the U.S. Drug Enforcement Administration, or DEA, and corresponding state and other foreign agencies to ensure strict compliance with FDA-mandated cGMP, other government regulations and corresponding foreign standards. We do not have control over our third-party contract manufacturers’ compliance with these regulations and standards and accordingly, failure by our third-party manufacturers, or us, to comply with applicable regulations could result in sanctions being imposed on us or our manufacturers, which could significantly and adversely affect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need to change a third-party contract manufacturer, our preclinical studies or our clinical trials, and the commercialization of our product candidates could be delayed, adversely affected or terminated, or such a change may result in the need for us to incur significantly higher costs, which could materially harm our business.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cGMPs,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time-consuming, which could result in our inability to manufacture our product candidates for an extended period of time and a delay, as well as an increase in costs, in the development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manufacture our product candidates in sufficient quantities to commercialize them.</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order to receive FDA approval of our product candidates, we will need to manufacture such product candidates in larger quantities. We may not be able to successfully increase the manufacturing capacity for our product candidates in a timely or economic manner, or at all. In the event FDA approval is received, we will need to increase production of our product candidates. Significant scale-up of manufacturing may require additional validation studies, which the FDA must review and approve. If we are unable to successfully increase the manufacturing capacity for our product candidates, the clinical trials, the regulatory approval and the commercial launch of our product candidates may be delayed, or there may be a shortage in supply. Our product candidates require precise, high-quality manufacturing. Failure to achieve and maintain high-quality manufacturing, including the incidence of manufacturing errors, could result in patient injury or death, delays or failures in testing or delivery, cost overruns or other problems that could harm our business, financial condition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 compliance with cGMP regulations requires significant expertise and capital investment, including the development of advanced manufacturing techniques and process controls.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Manufacturers of pharmaceutical products often encounter difficulties in production, including difficulties with production costs and yields, quality control, including stability of the product candidates and quality assurance testing, or shortages of qualified personnel. If we were to encounter any of these difficulties or otherwise fail to comply with our obligations under applicable regulations, our ability to provide study materials in our clinical trials would be jeopardized. Any delay or interruption in the supply of clinical trial materials could delay the completion of our clinical trials, increase the costs associated with maintaining our clinical trial programs and, depending upon the period of delay, require us to commence new trials at significant additional expense or to terminate the studies and trials completely.</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must comply with cGMP requirements enforced by the FDA through its facilities inspection program. These requirements include, among other things, quality control, quality assurance and the maintenance of records and documentation. Manufacturers of our component materials may be unable to comply with these cGMP requirements and with other FDA, state and foreign regulatory requirements. The FDA or similar foreign regulatory agencies at any time may also implement new standards, or change their interpretation and enforcement of existing standards, for manufacture, packaging or testing of products.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product supplied is compromised due to our failure, or that our third-party manufacturers, to adhere to applicable laws or for other reasons, we may not be able to obtain regulatory approval for or successfully commercialize our products, and we may be held liable for any injuries sustained as a result. Any of these factors could cause a delay of clinical trials, regulatory submissions, approvals or commercialization of any product candidates we may develop or acquire in the future, or entail higher costs, or impair our reputation.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vendors for key tablet vaccine components and certain strains needed in our tablet vaccine candidates, which could impair our ability to manufacture and supply our tablet vaccine candidates.</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currently depend on single source vendors for certain raw materials used in the manufacture of our tablet vaccine candidates. Any production shortfall that impairs the supply of the relevant raw materials could have a material adverse effect on our business, financial condition and results of operations. An inability to continue to source product from these suppliers, which could be due to regulatory actions or requirements affecting the supplier, adverse financial or other strategic developments experienced by a supplier, labor disputes or shortages, unexpected demands or quality issues, could materially adversely affect our operating results or our ability to conduct clinical trials, either of which could significantly harm our business.</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and we expect to have limited influence over their actual performance.</w:t>
      </w:r>
    </w:p>
    <w:p>
      <w:pPr>
        <w:spacing w:after="0" w:line="16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We also rely 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our reliance on the CROs does not relieve us of these regulatory responsibilities.</w:t>
      </w:r>
    </w:p>
    <w:p>
      <w:pPr>
        <w:spacing w:after="0" w:line="15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and our CROs are required to comply with the Good Laboratory Practice and GCP, which are regulations and guidelines enforced by the FDA and are also required by the Competent Authorities of the Member States of the European Economic Area and comparable foreign regulatory authorities in the form of International Conference on Harmonization guidelines for any of our product candidates that are in preclinical and clinical development. The Regulatory authorities enforce GCP through periodic inspections of trial sponsors, principal investigators and clinical trial sites. If we or our CROs fail to comply with GCPs, the clinical data generated in our clinical trials may be deemed unreliable and the FDA or comparable foreign regulatory authorities may require us to perform additional clinical trials before approving our marketing applications. Accordingly, if our CROs fail to comply with these regulations or fail to recruit enough subjects, we may be required to repeat clinical trials, which would delay the regulatory approval process.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we cannot control whether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significant revenues could be delayed.</w:t>
      </w:r>
    </w:p>
    <w:p>
      <w:pPr>
        <w:spacing w:after="0" w:line="18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Switching or adding additional CROs involves substantial costs and requires management time and focus. In addition, there is a natural transition period when a new CRO commences work. As a result, delays occur, which can materially impact our ability to meet our desired clinical development timelines. While we endeavor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selectively establish collaborations and, if we are unable to establish them on commercially reasonable terms, we may have to alter our development and commercialization plans.</w:t>
      </w:r>
    </w:p>
    <w:p>
      <w:pPr>
        <w:spacing w:after="0" w:line="15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including our seasonable influenza tablet, we may decide to collaborate with governmental entities or additional pharmaceutical and biotechnology companies for the development and potential commercialization of those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w:t>
      </w:r>
    </w:p>
    <w:p>
      <w:pPr>
        <w:spacing w:after="0" w:line="18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spacing w:after="0" w:line="183" w:lineRule="exact"/>
        <w:rPr>
          <w:sz w:val="20"/>
          <w:szCs w:val="20"/>
          <w:color w:val="auto"/>
        </w:rPr>
      </w:pPr>
    </w:p>
    <w:p>
      <w:pPr>
        <w:ind w:left="180" w:right="140" w:hanging="172"/>
        <w:spacing w:after="0" w:line="289" w:lineRule="auto"/>
        <w:tabs>
          <w:tab w:leader="none" w:pos="1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57" w:lineRule="exact"/>
        <w:rPr>
          <w:rFonts w:ascii="Times New Roman" w:cs="Times New Roman" w:eastAsia="Times New Roman" w:hAnsi="Times New Roman"/>
          <w:sz w:val="17"/>
          <w:szCs w:val="17"/>
          <w:color w:val="auto"/>
        </w:rPr>
      </w:pPr>
    </w:p>
    <w:p>
      <w:pPr>
        <w:ind w:left="180" w:right="280" w:hanging="172"/>
        <w:spacing w:after="0" w:line="266"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FCA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5" w:lineRule="exact"/>
        <w:rPr>
          <w:rFonts w:ascii="Times New Roman" w:cs="Times New Roman" w:eastAsia="Times New Roman" w:hAnsi="Times New Roman"/>
          <w:sz w:val="18"/>
          <w:szCs w:val="18"/>
          <w:color w:val="auto"/>
        </w:rPr>
      </w:pPr>
    </w:p>
    <w:p>
      <w:pPr>
        <w:ind w:left="180" w:right="360" w:hanging="172"/>
        <w:spacing w:after="0" w:line="266"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as amended by the Health Information Technology for Economic and Clinical Health Act, imposes criminal and civil liability for executing a scheme to defraud any healthcare benefit program and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180" w:right="120" w:hanging="172"/>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1" w:lineRule="exact"/>
        <w:rPr>
          <w:rFonts w:ascii="Times New Roman" w:cs="Times New Roman" w:eastAsia="Times New Roman" w:hAnsi="Times New Roman"/>
          <w:sz w:val="18"/>
          <w:szCs w:val="18"/>
          <w:color w:val="auto"/>
        </w:rPr>
      </w:pPr>
    </w:p>
    <w:p>
      <w:pPr>
        <w:ind w:left="180" w:hanging="172"/>
        <w:spacing w:after="0" w:line="266"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right="80" w:hanging="172"/>
        <w:spacing w:after="0" w:line="258"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vaccine manufacturers to report information related to payments to physicians and other health care providers or marketing expenditures.</w:t>
      </w:r>
    </w:p>
    <w:p>
      <w:pPr>
        <w:spacing w:after="0" w:line="39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additional strategic partnerships, which could adversely affect our ability to develop and commercialize products, negatively impacting our operating results.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continue to strategically evaluate our partnerships and, as appropriate, we expect to enter into additional strategic partnerships in the future, including potentially with major biotechnology or biopharmaceutical companies. 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 Even if we are successful in our efforts to establish strategic partnerships, the terms that we agree upon may not be favorable to us, and we may not be able to maintain such strategic partnerships if, for example, development or approval of a product candidate is delayed or sales of an approved product are disappointing. Any delay in entering into strategic partnership agreements related to our product candidates could delay the development and commercialization of such candidates and reduce their competitiveness even if they reach the market. If we are not able to generate revenue under our strategic partnerships when and in accordance with our expectations or the expectations of industry analysts, this failure could harm our business and have an immediate adverse effect on the trading price of our common stock.</w:t>
      </w:r>
    </w:p>
    <w:p>
      <w:pPr>
        <w:spacing w:after="0" w:line="19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we fail to establish and maintain additional strategic partnerships related to our unpartnered product candidates, we will bear all the risks and costs related to the development of any such product candidate, and we may need to seek additional financing, hire additional employees and otherwise develop expertise, such as regulatory expertise, for which we have not budgeted. If we were not successful in seeking additional financing, hiring additional employees or developing additional expertise, our cash burn rate would increase or we would need to take steps to reduce our rate of product candidate development. This could negatively affect the development of any unpartnered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 or acquisitions we have made or may make could turn out to be unsuccessful.</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strategy, we monitor and analyze strategic partnership or acquisition opportunities that we believe will create value for our stockholders. We may acquire companies, businesses, products and technologies that complement or augment our existing business; however, such acquisitions could involve numerous risks that may prevent us from fully realizing the benefits that we anticipated as a result of such transactions.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integrate any acquired business successfully or operate any acquired business profitably. In addition, integrating any newly acquired business could be expensive and time-consuming, place a significant strain on managerial, operational and financial resources and could prove to be more difficult or expensive than we predict. The diversion of our management's attention and any delay or difficulties encountered in connection with any future acquisitions we may consummate could result in the disruption of our ongoing business or inconsistencies in standards and controls that could negatively affect our ability to maintain third-party relationships.</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may fail to derive any commercial value from the acquired technology, products and intellectual property, including as a result of the failure to obtain regulatory approval or to monetize products once approved, as well as risks from lengthy product development and high upfront development costs without guarantee of successful results. Patents and other intellectual property rights covering acquired technology and/or intellectual property may not be obtained, and if obtained, may not be sufficient to fully protect the technology or intellectual property. We may also be subject to liabilities, including unanticipated litigation costs, that are not covered by indemnification protection we may obtain. As we pursue strategic transactions, we may value the acquired company or partner incorrectly, fail to successfully manage our operations as our asset diversity increases, expend unforeseen costs during the acquisition or integration process, or encounter other unanticipated risks or challenges. We may fail to value a partnership or acquisition accurately, properly account for it in our consolidated financial statements, or successfully divest it or otherwise realize the value which we originally anticipated or have subsequently reflected in our consolidated financial statements.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Moreover, we may need to raise additional funds through public or private debt or equity financing, or issue additional shares, to acquire any businesses or products, which may result in dilution for stockholders or the incurrence of indebtedness.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Any failure by us to effectively limit such risks as we implement our strategic partnership or acquisitions could have a material adverse effect on our business, financial condition or results of operations and may negatively impact our net income and cause the price of our securities to fall.</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a third-party contract manufacturer cannot timely supply sufficient bulk vaccine to allow us to manufacture our vaccine tablets, our preclinical studies or our clinical trial</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the commercialization of our product candidates could be delayed, adversely affected or terminated, or may result in the need for us to incur significantly higher costs, which could materially harm our business.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time-consuming, which could result in our inability to manufacture our product candidates for an extended period and a delay in the development of our product candidates. Further, in order to maintain our development timelines in the event of a change in a third-party contract manufacturer, we may incur significantly higher costs to manufacture our product candidates.</w:t>
      </w:r>
    </w:p>
    <w:p>
      <w:pPr>
        <w:spacing w:after="0" w:line="18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third-party vendors, upon whom we rely to conduct our preclinical studies or clinical trials, do not perform or fail to comply with strict regulations, these studies or trials may be delayed, terminated, or fail, or we could incur significant additional expenses, which could materially harm our business.</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limited resources dedicated to designing, conducting and managing our preclinical studies and clinical trials. We have historically relied on, and intend to continue to rely on, third parties, including clinical research organizations, consultants and principal investigators, to assist us in designing, managing, conducting, monitoring and analyzing the data from our preclinical studies and clinical trials. We rely on these vendors and individuals to perform many facets of the clinical development process on our behalf, including conducting preclinical studies, the recruitment of sites and patients for participation in our clinical trials, maintenance of good relations with the clinical sites, and ensuring that these sites are conducting our trials in compliance with the trial protocol and applicable regulations. If these third parties fail to perform satisfactorily, or do not adequately fulfill their obligations under the terms of our agreements with them, we may not be able to enter into alternative arrangements without undue delay or additional expenditures, and therefore the preclinical studies and clinical trials of our product candidates may be delayed or prove unsuccessful.</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Further, the FDA, or similar regulatory authorities in other countries, may inspect some of the clinical sites participating in our clinical trials or our third-party vendors’ sites to determine if our clinical trials are being conducted according to GCP or similar regulations. If we, or a regulatory authority, determine that our third-party vendors are not in compliance with, or have not conducted our clinical trials according to, applicable regulations, we may be forced to exclude certain data from the results of the trial, or delay, repeat or terminate such clinical trials.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59"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We seek to protect our proprietary position by filing patent applications in the U.S. and abroad related to our development programs and product candidates. The patent prosecution process is expensive and time-consuming, and we may not be able to file and prosecute all necessary or desirable patent applications, or maintain and enforce any patents that may issue from such patent applications, at a reasonable cost or in a timely manner.</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The patent applications that we own may fail to result in issued patents with claims that cover any of our product candidates in the U.S. or in other countries. There is no assurance that the entire potentially relevant prior art relating to our patents and patent applications has been found, which can invalidate a patent or prevent a patent from issuing from a pending patent application. Even if patents do successfully issue,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and companion diagnostic under patent protection could be reduced.</w:t>
      </w:r>
    </w:p>
    <w:p>
      <w:pPr>
        <w:spacing w:after="0" w:line="1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If the patent applications we hold with respect to our platform technology and product candidates fail to issue, if their breadth or strength of protection is threatened, or if they fail to provide meaningful exclusivity for our product candidates, it could dissuade companies from collaborating with us to develop product candidates and threaten our ability to commercialize future drugs. Any such outcome could harm our business.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U.S. For example, European patent law restricts the patentability of methods of treatment of the human body more than U.S. law does.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vaccines.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 Changes in either the patent laws or interpretation of the patent laws in the U.S. and other countries may diminish the value of our patents or narrow the scope of our patent protection.</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several significant changes to U.S. patent law. These include provisions that affect the way patent applications are prosecuted and may also affect patent litigation. The U.S. Patent Office recently developed new regulations and procedures to govern administration of the Leahy-Smith Act, and many of the substantive changes to patent law associated with the Leahy-Smith Act, notably,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an adverse effect on our business and financial condition.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 Patent and Trademark Office (“USPTO”) or become involved in derivation, reexamination, inter partes review, post-grant review or interference proceedings challenging our patent rights or the patent rights of others. In other countries, we may be subject to or become involved in opposition proceedings challenging our patent rights or the patent rights of others. An adverse determination in any such submission or proceeding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tablet vaccines, or limit the duration of the patent protection of our technology and product candidates. Moreover, patents have a limited lifespan. In the U.S. and other countries, the natural expiration of a patent is generally 20 years after it is filed. Various extensions may be available, however, the life of a patent, and the protection it affords, is limited. Without patent protection for our current or future tablet vaccine candidates, we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such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third-party may also cause the third-party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success will largely depend on our ability to operate without infringing the patents and other proprietary intellectual property rights of third parties. This is generally referred to as having the “freedom to operate.” However, our research, development and commercialization activities may be subject to claims that we infringe or otherwise violate patents or other intellectual property rights owned or controlled by third parties.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current or future product candidates may be subject to claims of infringement of the patent rights of third parties. The biotechnology and pharmaceutical industries are characterized by extensive litigation regarding patents and other intellectual property rights. The defense and prosecution of intellectual property claims, interference proceedings and related legal and administrative proceedings, both in the U.S. and internationally, involve complex legal and factual questions. As a result, such proceedings are lengthy, costly and time-consuming, and their outcome is highly uncertain. We may become involved in protracted and expensive litigation in order to determine the enforceability, scope and validity of the proprietary rights of others, or to determine whether we have the freedom to operate with respect to the intellectual property rights of others.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 applications in the U.S. are, in most cases, maintained in secrecy until approximately 18 months after the patent application is filed. The publication of discoveries in scientific or patent literature frequently occurs substantially later than the date on which the underlying discoveries were made. Therefore, patent applications relating to product candidates similar to ours may have already been filed by others without our knowledge. In the event that a third party has also filed a patent application covering our product candidate or other claims, we may have to participate in an adversarial proceeding, known as an interference proceeding, in the USPTO, or similar proceedings in other countries, to determine the priority of invention. In the event an infringement claim is brought against us, we may be required to pay substantial legal fees and other expenses to defend such a claim and, should we be unsuccessful in defending the claim, we may be prevented from pursuing the development and commercialization of a product candidate and may be subject to injunctions and/or damage awards.</w:t>
      </w:r>
    </w:p>
    <w:p>
      <w:pPr>
        <w:spacing w:after="0" w:line="19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the future, the USPTO or a foreign patent office may grant patent rights to our product candidates or other claims to third parties. Subject to the issuance of these future patents, the claims of which will be unknown until issued, we may need to obtain a license or sublicense to these rights in order to have the appropriate freedom to further develop or commercialize them. Any required licenses may not be available to us on acceptable terms, if at all. If we need to obtain such licenses or sublicenses, but are unable to do so, we could encounter delays in the development of our product candidates, or be prevented from developing, manufacturing and commercializing our product candidates at all. If it is determined that we have infringed an issued patent and do not have the freedom to operate, we could be subject to injunctions, and/or compelled to pay significant damages, including punitive damages. In cases where we have in-licensed intellectual property, our failure to comply with the terms and conditions of such agreements could harm our business.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It is becoming common for third parties to challenge patent claims on any successfully developed product candidate or approved drug. If we or our licensees or collaborators become involved in any patent litigation, interference or other legal proceedings, we could incur substantial expense, and the efforts and attention of our technical and management personnel could be significantly diverted. A negative outcome of such litigation or proceedings may expose us to the loss of our proprietary position or to significant liabilities or require us to seek licenses that may not be available from third parties on commercially acceptable terms, if at all. We may be restricted or prevented from developing, manufacturing and selling our product candidates in the event of an adverse determination in a judicial or administrative proceeding, or if we fail to obtain necessary licenses.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several procedures, documentary fee payments and other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and our licensors fail to maintain the patents and patent applications covering our product candidates, our competitive position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U.S. has recently enacted and implemented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covering our product candidates throughout the world would be prohibitively expensive. Competitors may use our technologies in jurisdictions where we have not obtained patent protection to develop their own vaccines and, further, may export otherwise infringing vaccines to territories where we may obtain patent protection, but where patent enforcement is not as strong as that in the U.S. These vaccines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other biotechnology or pharmaceutical companies.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it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in part by entering into confidentiality agreements with third parties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ind w:right="360" w:firstLine="32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vaccines and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the appeal of the opposition proceeding of a Vaxart European patent in the European Patent Office is completed, we must now obtain approval of the specification conformed to the new claims and it is possible this will be delayed and would delay revalidation of the patent in various European countries. If revalidation of the application was delayed, we may be delayed in asserting the patent to prevent others in Europe from copying some of our product candidates.</w:t>
      </w:r>
    </w:p>
    <w:p>
      <w:pPr>
        <w:spacing w:after="0" w:line="180"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We recently concluded the appeal portion of an opposition proceeding of one of our European patents in the European Patent Office (“EPO”). European Patent No. 3307239, which had claims directed to vaccine compositions for norovirus and RSV, was opposed in the EPO. The opposition challenged the validity of European Patent No. 3307239 and the EPO maintained the patent with the original independent claim and with cancelation of some subject matter from dependent claims. The opponent appealed this decision and the Board of Appeal upheld the claims to the extent they were directed to norovirus vaccine compositions, but removed claim subject matter as it related to RSV vaccine compositions. The specification was conformed to the new claims and the Opponents had until March 23, 2026 to object to any of the changes made. This might delay the ultimate reissue of the EP patent and its revalidation in various European states. It is feasible this may delay Vaxart from asserting the patent in Europe until these formalities are resolved.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Sales of a substantial number of shares of our common stock in the public market, or the perception that the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in our operations may impact our effective tax rate and may adversely affect our business, financial condition and operating results.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Changes in tax laws in any jurisdiction in which we operate, or adverse outcomes from any tax audits that we may be subject to in any such jurisdictions, could result in an unfavorable change in our effective tax rate in the future, which could adversely affect our business, financial condition, and operating results.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Delaware law could make an acquisition more difficult and may prevent attempts by our stockholders to replace or remove our management.</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Because we are incorporated in Delaware, we are governed by the provisions of Section 203 of the DGCL, which prohibits stockholders owning in excess of 15% of the outstanding company voting stock from merging or combining with the company. Although we believe these provisions collectively provide for an opportunity to receive higher bids by requiring potential acquirers to negotiate with our board of directors, they would apply even if the offer was considered beneficial by some stockholders. In addition, these provisions may frustrate or prevent any attempts by our stockholders to replace or remove management by making it more difficult for stockholders to replace members of our board of directors, which is responsible for appointing the members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or cybersecurity breaches.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business and operations, including our CROs, as well as the operations and systems of entities whose services are necessary to our operations, rely greatly on information technology systems and are vulnerable to damage in the event of failure, natural disasters, security breaches and attacks, interruptions or other cybersecurity incidents. These events may compromise the stability, integrity, or confidentiality of these systems, and the accuracy and integrity of information stored or processed through these systems, and may significantly interrupt our ability to run the business successfully. Ransomware attacks, which are becoming increasingly common across all industry sectors and have focused in part on businesses operating in health care markets, can disrupt and even halt ongoing business operations completely. Increasing global tensions, including the ongoing military conflict between Russia and Ukraine, among others, are likely to increase the frequency of cybersecurity incidents.</w:t>
      </w:r>
    </w:p>
    <w:p>
      <w:pPr>
        <w:spacing w:after="0" w:line="18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systems, including onsite datacenters and cloud services, continue to increase in size and complexity, making them potentially vulnerable to breakdowns and other disruptions. Disruptions include issues with routine maintenance, upgrades, and patching. These systems continue to become more critical and integrated within our business, especially as we continue to work remotely, and our dependence on them will continue to increase. We rely on the high-availability and redundancies built into our cloud services, but these systems are managed and maintained by the providers and are out of our direct control. Any potential problems and interruptions associated with the implementation, support, security, availability, or maintenance of new or existing systems could disrupt or reduce the efficiency of our operations and materially impact the delivery of development programs.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Cybersecurity incidents, including phishing and spear phishing attacks, distributed denial of service attacks, man-in-the-middle attacks, as well as ransomware and other malware insertions, are becoming more sophisticated and frequent. If these attempts to misappropriate or compromise confidential or proprietary information or infiltrate or sabotage enterprise IT systems were successful, they could result in a loss of or damage to data or applications and even the interruption of basic business operations and financial loss, as well as the risk of legal and regulatory liability. As a result, further development of our product candidates could be substantially delayed. A data breach could risk the exposure of mission critical data or other intellectual property, or expose PII (Personally Identifiable Information) and PHI (Protected Health Information) of company employees or people participating in clinical trials. A successful phishing attempt could lead to further hacking attempts, unauthorized email access or messaging, or other vertical/horizontal cyberattacks. Any of these events could cause substantial reputational injury impacting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changes in inflation and interest rates, changes in trade policy, natural disasters, political crises, geopolitical events, such as the ongoing military conflict between Russia and Ukraine and the war involving Israel, or other macroeconomic conditions, which may in the future negatively impact our business and financial performance.</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changes in inflation and interest rates, and uncertainty about economic stability. For example, during 2022 and 2023, the Federal Reserve raised interest rates multiple times in response to concerns about inflation. Higher interest rates, coupled with reduced government spending and volatility in financial markets may increase economic uncertainty and affect consumer spending. Trade policies and geopolitical disputes and conflicts can result in tariffs, sanctions and other measures that restrict international trade, and may adversely affect our costs of doing business, particularly if these measures occur in regions where our suppliers source components or raw materials. Similarly, the ongoing military conflict between Russia and Ukraine and the war involving Israel have created volatility in the global capital markets and are expected to have further global economic consequences, including disruptions of the global supply chain and energy markets.</w:t>
      </w:r>
    </w:p>
    <w:p>
      <w:pPr>
        <w:spacing w:after="0" w:line="18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occur in regions where drug products are manufactured or raw materials are sourced. With the new presidential administration in the U.S. in 2025, additional and higher tariffs and sanctions may be imposed on goods imported from other countries which could increase the cost of goods needed to commercialize our products and continue development of our product candidates. Further, such actions by the U.S. could result in retaliatory action by those countries which could impact our ability to profitably commercialize our products in those jurisdictions in the future. As a result, our business, operations and financial condition could be materially harmed.</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Any such volatility and disruptions may adversely affect our business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17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incorporate AI solutions into our platform, and these applications may become important in our operations over time. AI presents risks such as inaccuracy, bias, toxicity, intellectual property infringement or misappropriation, data privacy and cybersecurity and data provenance. In addition, AI utilizes machine learning and predictive analytics, which may present flawed, biased, and inaccurate results, and may have errors or inadequacies that are not easily detectable and may also be subject to data herding and interconnectedness (i.e., multiple market participants utilizing the same data), in each case adversely impacting our business. These issues, combined with an uncertain regulatory environment, may further result in reputational harm, liability, or other adverse consequences to our business operations.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detect fraud.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Consequently, investors could lose confidence in our financial reporting and this may negatively impact the trading price of our common stock.</w:t>
      </w:r>
    </w:p>
    <w:p>
      <w:pPr>
        <w:spacing w:after="0" w:line="2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quarterly report by management on, among other things, the effectiveness of our internal control over financial reporting. This assessment needs to include disclosure of any material weaknesses identified by our management in our internal control over financial reporting. We are required to disclose changes made in our internal control over financial reporting on a quarterly basis. We must also provide an auditor’s attestation report on management’s assessment of the effectiveness of our system of internal control over financial reporting pursuant to Section 404(b) of the Sarbanes-Oxley Act.</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must maintain effective disclosure and internal controls to provide reliable financial reports. We have been assessing our controls to identify areas that need improvement. Based on our evaluation as of December 31, 2025, we concluded that our internal controls and procedures were effective as of December 31, 2025, however we have identified material weaknesses in the past and may do so again in the future.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Failure to maintain the improvements in our controls as necessary to maintain an effective system of such controls could harm our ability to accurately report our operating results and cause investors to lose confidence in our reported financial information. Any such loss of confidence would have a negative effect on the trading price of our common stock.</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Most of our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75"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We are vulnerable to damage from catastrophic events, such as power loss, natural disasters, terrorism and similar unforeseen events beyond our control. The majority of our operations are located in the San Francisco Bay Area, which in the past has experienced severe earthquakes and fires.</w:t>
      </w:r>
    </w:p>
    <w:p>
      <w:pPr>
        <w:spacing w:after="0" w:line="14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do not have a disaster recovery and business continuity plan in place. Earthquakes, fires, floods, hurricanes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financial systems or manufacturing facility, or that otherwise disrupted our operations, it may be difficult or, in certain cases, impossible for us to continue business operations for a substantial period of time.</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including those resulting from significant climate change, could adversely affect our business and our third-party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businesses.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Natural disasters, such as hurricanes, tornadoes, floods, wildfire, and drought may impact our operations or our partners’ businesses. Climate change is increasing the frequency, intensity, and duration of these weather events. These natural disasters, including those resulting from significant climate change, could destroy or damage facilities or other properties, disrupt business, increase the probability of power or other outages, or otherwise cause significant economic dislocation in the affected regions. Any of these situations may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risks related to climate change.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long-term effects of global climate change could present both physical risks and transition risks (such as regulatory or technology changes), which are expected to be widespread and unpredictable. Transitional risks include, for example, a disorderly global transition away from fossil fuels that may result in increased energy prices; customer preference for low or no-carbon products; stakeholder pressure to decarbonize assets; or new legal or regulatory requirements that result in new or expanded carbon pricing, taxes, restrictions on greenhouse gas emissions, and increased greenhouse gas disclosure and transparency. These risks could increase operating costs, including the cost of our electricity and energy use, or other compliance costs. Physical risks to our operations include water stress and drought; flooding and storm surge; wildfires; extreme temperatures and storms, which could impact trials, increase costs, or disrupt supply chains. Our supply chain is likely subject to these same transitional and physical risks and would likely pass along any increased costs to us. We do not anticipate that these risks will have a material financial impact to the Company in the near term.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has and will likely continue to result in additional costs and risks and may adversely impact our reputation, employee retention and willingness of customers and suppliers to do business with us.</w:t>
      </w:r>
    </w:p>
    <w:p>
      <w:pPr>
        <w:spacing w:after="0" w:line="159"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There is an increasing focus from certain customers, consumers, employees and other stakeholders concerning environmental, social and governance (“ESG”) matters, including corporate citizenship and sustainability. Additionally, public interest and legislative pressure related to public companies’ ESG practices continues to grow. If our ESG practices fail to meet regulatory requirements or stakeholders’ evolving expectations and standards for responsible corporate citizenship in areas including environmental stewardship, support for local communities, Board of Director and employee inclusion,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trend of increased environmental regulation is not linear and can fluctuate depending on the administration and jurisdiction, even within the same county. For example, on January 20, 2025, President Trump issued Executive Orders seeking to rescind prior Executive Orders and agency actions enacted by the Biden Administration. These include revoking Biden-era Executive Orders withdrawing certain offshore waters within the Outer Continental Shelf available for oil and gas exploration and imposing a temporary prohibition of offshore wind leasing in the Outer Continental Shelf. We cannot foresee the potential impact and unintended consequences that future Executive Orders or the changes in enforcement of existing laws, rules, and orders may have on our business. Additionally, although the Trump Administration initially withdrew the U.S. from the Paris Agreement in November 2020, the U.S. reentered the Paris Agreement in February 2021 under the Biden Administration, but the Trump Administration again withdrew from the Paris Agreement on January 20, 2025. Though we are closely following developments in this area and changes in the regulatory landscape in the United States and other jurisdictions, we cannot predict with precision or quantify how or when challenges may arise and ultimately impact our business.</w:t>
      </w:r>
    </w:p>
    <w:p>
      <w:pPr>
        <w:spacing w:after="0" w:line="18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Additionally, in January 2025, President Trump signed a number of Executive Orders focused on diversity, equity, and inclusion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impact our reputation and constrain our investment opportunities. Such scrutiny of both ESG and DEI related practices could expose us to the risk of litigation, investigations, or challenges by federal or state authorities or result in reputational harm.</w:t>
      </w:r>
    </w:p>
    <w:p>
      <w:pPr>
        <w:spacing w:after="0" w:line="183"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Nevertheless, as we work to align our ESG practices with industry standards, we have expanded and, in the future, will likely continue to expand our disclosures in these areas. From time-to-time, we communicate certain initiatives, including goals, regarding environmental matters, responsible sourcing and social investments. We also expect to incur additional costs and require additional resources to monitor, report and comply with our various ESG practices. The standards for tracking and reporting on ESG matters are relatively new, have not been harmonized and continue to evolve. The disclosure frameworks we choose to align with, if any, may change from time to time and may result in a lack of consistent or meaningful comparative data from period to period. Ensuring there are systems and processes in place to comply with various ESG tracking and reporting obligations will require management time and expense. In addition, our processes and controls may not always comply with evolving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we fail to adopt ESG standards or practices as quickly as stakeholders desire, fail, or be perceived to fail, in our achievement of such initiatives or goals, or fail in fully and accurately reporting our progress on such initiatives and goals, our reputation, business, financial performance and growth may be adversely impacted.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relating to:</w:t>
      </w:r>
    </w:p>
    <w:p>
      <w:pPr>
        <w:spacing w:after="0" w:line="39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product candidates and clinical results and trial data;</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receive royalty payments on the sales of our product candidates including Inavir;</w:t>
      </w:r>
    </w:p>
    <w:p>
      <w:pPr>
        <w:spacing w:after="0" w:line="279"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various synergies envisioned in the Exclusive License and Collaboration Agreement with Dynavax Technologies Corporation;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selected financial results for future time periods;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necessary patent and other intellectual property protection;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partnership opportunities;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future contributions of our management team;</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 team to build out the Company and drive sustainable growth and value creation;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vaccine tablets;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clinical results and trial data;</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effectiveness, safety, or convenience of our norovirus vaccine candidate;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effectiveness, safety, or convenience of any other vaccine candidate;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this offering;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important advantages we believe our oral vaccine platform can offer over injectable alternatives.</w:t>
      </w:r>
    </w:p>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“aims,” “anticipates,” “assumes,” “believes,” “continue,” “could,” “expects,” “estimates,” “intends,” “may,” “plans,” “potential,” “will,” “would,” or the negative of these terms or other similar expressions. These statements reflect our current views with respect to future events and are based on estimates and assumptions and are subject to risks and uncertainties. Given these uncertainties, you should not place undue reliance on these forward-looking statements. We discuss in greater detail many of these risks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prospectus supplement and free writing prospectuses we may authorize for use in connection with this offering, and in our most recent Annual Report on Form 10-K and Quarterly Reports on Form 10-Q, as well as any amendments thereto reflected in subsequent filings with the SEC.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free writing prospectus that we may authorize for use in connection with this offering, completely and with the understanding that our actual future results, levels of activity, performance and achievements may be materially different from what we expect. We qualify all of the forward-looking statements in this prospectus and any documents incorporated by reference herein by these cautionary statements. These cautionary statements qualify all forward-looking statements attributable to us or persons acting on our behalf.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AGREEMENTS WITH LINCOLN PARK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covers the resale by the selling stockholder of up to 32,914,599 shares of our common stock, comprised of: (i) up to 32,467,532 shares of our common stock that we may sell to Lincoln Park under the Purchase Agreement from time to time after the date of this prospectus and (ii) 447,067 Commitment Shares that we have already issued to Lincoln Park as a fee for making its irrevocable commitment to purchase our common stock under the Purchase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16, 2026, we entered into the Purchase Agreement with Lincoln Park, pursuant to which Lincoln Park has agreed to purchase from us up to an aggregate of $25 million of our common stock (subject to certain limitations) from time to time over the term of the Purchase Agreement. Pursuant to the Purchase Agreement we issued to Lincoln Park, as consideration for its irrevocable commitment, 447,067 Commitment Shares (for which Commitment Shares we have not and will not receive any cash consideration).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16, 2026, we entered into a Registration Rights Agreement (the “Registration Rights Agreement”), pursuant to which we filed with the SEC the registration statement that includes this prospectus to register for resale under the Securities Act the shares of our common stock that have been or may be issued to Lincoln Park under the Purchase Agreement, for which we have not and will not receive any cash consideration.</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do not have the right to commence any sales of our common stock to Lincoln Park under the Purchase Agreement until all of the conditions set forth in the Purchase Agreement have been satisfied, including that the SEC has declared effective the registration statement that includes this prospectus and the final form of this prospectus has been filed with the SEC, which we refer to in this prospectus as the “Commencement,” and the date on which the Commencement occurs we refer to as the “Commencement Date.” From and after the Commencement, we may, from time to time and at our sole discretion for a period of 24-months, on any business day on which the closing sale price of our common stock is greater than $0.10, direct Lincoln Park to purchase up to 150,000 shares of our common stock, which maximum share limitation may be increased to up to 175,000 shares if the closing sale price is not below $0.50, up to 225,000 shares if the closing sale price is not below $0.75, and up to 275,000 shares if the closing sale price is not below $1.00, in each case subject to a maximum commitment of $500,000 per purchase, which we refer to in this prospectus as “Regular Purchases.” The foregoing share amounts and per share prices will be adjusted for any reorganization, recapitalization, non-cash dividend, stock split, reverse stock split or other similar transaction occurring after the date of the Purchase Agreement. In addition to Regular Purchases, if we direct Lincoln Park to purchase the maximum number of shares of our common stock that we may sell in a Regular Purchase on the applicable business day we initiate such Regular Purchase, then, in addition to such Regular Purchase, we may also direct Lincoln Park to purchase certain additional amounts of our common stock as “Accelerated Purchases” and as “Additional Accelerated Purchases.”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control the timing and amount of any sales of our common stock to Lincoln Park. The purchase price of the shares of our common stock that may be sold to Lincoln Park in Regular Purchases, Accelerated Purchases, and Additional Accelerated Purchases under the Purchase Agreement will be based on the market price of our common stock at or prior to the time of sale as computed under the Purchase Agreement. The purchase price per share will be equitably adjusted as provided in the Purchase Agreement for any reorganization, recapitalization, non-cash dividend, stock split, or other similar transaction as set forth in the Purchase Agreement. We may at any time in our sole discretion terminate the Purchase Agreement without fee, penalty or cost upon one business day notice. Actual sales of shares of our common stock to Lincoln Park under the Purchase Agreement will depend on a variety of factors to be determined by us from time to time, including, among others, market conditions, the trading price of our common stock and determinations by us as to the appropriate sources of funding for our operations.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May 1, 2026, there were 241,973,011 shares of our common stock outstanding, which include the Commitment Shares. Although the Purchase Agreement provides that we may sell up to an aggregate of $25 million of our common stock to Lincoln Park, 32,914,599 shares of our common stock are being registered under the Securities Act for resale by Lincoln Park under the registration statement that includes this prospectus, which represents the 447,067 Commitment Shares that we issued to Lincoln Park on April 16, 2026 as a fee for making its irrevocable commitment to purchase our common stock at our direction under the Purchase Agreement and an additional 32,467,532 shares of our common stock that we may issue and sell to Lincoln Park as Purchase Shares from and after the Commencement under the Purchase Agreement, if and when we elect to sell shares of our common stock to Lincoln Park under the Purchase Agreement. Depending on the market prices of our common stock at the time we elect to issue and sell shares of our common stock to Lincoln Park under the Purchase Agreement, we may need to register under the Securities Act for resale by Lincoln Park additional shares of our common stock in order to receive aggregate gross proceeds equal to the $25 million total commitment available to us under the Purchase Agreement. If, in addition to the 447,067 Commitment Shares that we have issued or will issue to Lincoln Park, all of the 32,467,532 shares of our common stock that we may elect to issue and sell to Lincoln Park in the future as Purchase Shares that are being registered under the Securities Act for resale by Lincoln Park in the registration statement that includes this prospectus were issued and outstanding (without taking into account the Beneficial Ownership Cap limitations described below), such shares of our common stock, together with the 447,067 Commitment Shares would represent approximately 11.99% of the total number of shares of our common stock outstanding as of May 1, 2026 including all of the shares potentially issued to Lincoln Park under this Purchase Agreement. If we elect to issue and sell to Lincoln Park under the Purchase Agreement more than the 32,467,532 shares of our common stock that we may elect to issue and sell to Lincoln Park in the future as Purchase Shares that are being registered under the Securities Act for resale by Lincoln Park in the registration statement that includes this prospectus, which we have the right, but not the obligation, to do, we must first register under the Securities Act for resale by Lincoln Park any such additional shares of our common stock, which could cause additional substantial dilution to our stockholders. The number of shares of our common stock ultimately offered for resale by Lincoln Park is dependent upon the number of shares of our common stock we ultimately decide to sell to Lincoln Park under the Purchase Agreement.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Purchase Agreement also prohibits us from directing Lincoln Park to purchase any shares of our common stock if those shares of our common stock, when aggregated with all other shares of our common stock then beneficially owned by Lincoln Park and its affiliates, would result in Lincoln Park having beneficial ownership, at any single point in time, of more than 4.99% of the then total outstanding shares of our common stock, as calculated pursuant to Section 13(d) of the Exchange Act and Rule 13d-3 thereunder, which limitation we refer to as the Beneficial Ownership Cap.</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 of shares of our common stock to Lincoln Park under the Purchase Agreement. There are substantial risks to our stockholders as a result of the sale and issuance of common stock to Lincoln Park under the Purchase Agreement. See “Risk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Shares of our Common Stock Under the Purchase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Regular Purchases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and after the Commencement Date, provided the last closing sale price of our common stock on the applicable “regular purchase date” (as defined in the Purchase Agreement) is greater than $0.10 (and provided all shares of common stock subject to all prior Regular Purchases have been properly delivered to Lincoln Park in accordance with the Purchase Agreement), we may, by written notice delivered by us to Lincoln Park within the time periods on such Regular Purchase Date, direct Lincoln Park to purchase up to 150,000 shares of our common stock in a Regular Purchase; provided that this amount shall be increased to (i) up to 175,000 shares of our common stock, if the closing sale price of our common stock on the applicable Regular Purchase Date is not below $0.50, (ii) up to 225,000 shares of our common stock, if the closing sale price of our common stock on the applicable Regular Purchase Date is not below $0.75, and (iii) up to 275,000 shares of our common stock, if the closing sale price of our common stock on the applicable Regular Purchase Date is not below $1.00 (all of which share and dollar amounts shall be appropriately proportionately adjusted for any reorganization, recapitalization, non-cash dividend, stock split or other similar transaction) (such share amount limitation, the “Regular Purchase Share Limit”). In no event will Lincoln Park’s committed obligation under any single Regular Purchase exceed $500,000.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per share for each Regular Purchase will be 97.0% of the lower of:</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sale price for our common stock on the applicable Regular Purchase Date for such shares of our common stock; and</w:t>
      </w:r>
    </w:p>
    <w:p>
      <w:pPr>
        <w:spacing w:after="0" w:line="3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three lowest closing sale prices of our common stock during the 10-business day period immediately preceding the applicable Regular Purchase Date for such shares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Purchases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Regular Purchases described above, we may also direct Lincoln Park, on any Regular Purchase Date on which we have properly submitted a Regular Purchase notice directing Lincoln Park to purchase the maximum number of shares of our common stock that we are then permitted to include in a single Regular Purchase notice (and provided all shares of common stock subject to all prior Regular Purchases, Accelerated Purchases and Additional Accelerated Purchases effected prior to such Regular Purchase Date have been properly delivered to Lincoln Park in accordance with the Purchase Agreement), to purchase an additional amount of our common stock, which we refer to as an “Accelerated Purchase”, on the business day immediately following the applicable Regular Purchase Date for such corresponding Regular Purchase, which we refer to as the “Accelerated Purchase Date,” not to exceed the lesser of:</w:t>
      </w:r>
    </w:p>
    <w:p>
      <w:pPr>
        <w:spacing w:after="0" w:line="189" w:lineRule="exact"/>
        <w:rPr>
          <w:sz w:val="20"/>
          <w:szCs w:val="20"/>
          <w:color w:val="auto"/>
        </w:rPr>
      </w:pPr>
    </w:p>
    <w:p>
      <w:pPr>
        <w:ind w:right="180" w:firstLine="8"/>
        <w:spacing w:after="0" w:line="261" w:lineRule="auto"/>
        <w:tabs>
          <w:tab w:leader="none" w:pos="2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aggregate number of shares of our common stock traded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herein as the “Accelerated Purchase Period”; and</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of the number of purchase shares purchased pursuant to the corresponding Regular Purchase.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per share for the shares subject to an Accelerated Purchase will be equal to 97% of the lower of:</w:t>
      </w:r>
    </w:p>
    <w:p>
      <w:pPr>
        <w:spacing w:after="0" w:line="225" w:lineRule="exact"/>
        <w:rPr>
          <w:sz w:val="20"/>
          <w:szCs w:val="20"/>
          <w:color w:val="auto"/>
        </w:rPr>
      </w:pPr>
    </w:p>
    <w:p>
      <w:pPr>
        <w:ind w:left="300" w:hanging="292"/>
        <w:spacing w:after="0"/>
        <w:tabs>
          <w:tab w:leader="none" w:pos="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price of our common stock during the Accelerated Purchase Period on the applicable Accelerated Purchase Date; and</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applicable Accelerated Purchase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Accelerated Purchases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also direct Lincoln Park, by written notice delivered to Lincoln Park, not later than 1:00 p.m., eastern time, on the same Accelerated Purchase Date on which an Accelerated Purchase Period for an Accelerated Purchase has ended prior to such time (and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 to purchase an additional amount of our common stock on such same Accelerated Purchase Date, which we refer to as an Additional Accelerated Purchase, of up to the lesser of:</w:t>
      </w:r>
    </w:p>
    <w:p>
      <w:pPr>
        <w:spacing w:after="0" w:line="187" w:lineRule="exact"/>
        <w:rPr>
          <w:sz w:val="20"/>
          <w:szCs w:val="20"/>
          <w:color w:val="auto"/>
        </w:rPr>
      </w:pPr>
    </w:p>
    <w:p>
      <w:pPr>
        <w:ind w:firstLine="8"/>
        <w:spacing w:after="0" w:line="266" w:lineRule="auto"/>
        <w:tabs>
          <w:tab w:leader="none" w:pos="2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aggregate number of shares of our common stock traded during the portion of the normal trading hours on the applicable Accelerated Purchase Date determined in accordance with the Purchase Agreement, which period of time on the applicable Accelerated Purchase Date we refer to as the Additional Accelerated Purchase Period; and</w:t>
      </w:r>
    </w:p>
    <w:p>
      <w:pPr>
        <w:spacing w:after="0" w:line="175" w:lineRule="exact"/>
        <w:rPr>
          <w:rFonts w:ascii="Times New Roman" w:cs="Times New Roman" w:eastAsia="Times New Roman" w:hAnsi="Times New Roman"/>
          <w:sz w:val="18"/>
          <w:szCs w:val="18"/>
          <w:color w:val="auto"/>
        </w:rPr>
      </w:pPr>
    </w:p>
    <w:p>
      <w:pPr>
        <w:ind w:right="140" w:firstLine="8"/>
        <w:spacing w:after="0" w:line="282" w:lineRule="auto"/>
        <w:tabs>
          <w:tab w:leader="none" w:pos="2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of the number of purchase shares purchased pursuant to the Regular Purchase corresponding to the Accelerated Purchase effected on such same Accelerated Purchase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per share for the shares subject to an Additional Accelerated Purchase will be equal to 97% of the lower of:</w:t>
      </w:r>
    </w:p>
    <w:p>
      <w:pPr>
        <w:spacing w:after="0" w:line="225" w:lineRule="exact"/>
        <w:rPr>
          <w:sz w:val="20"/>
          <w:szCs w:val="20"/>
          <w:color w:val="auto"/>
        </w:rPr>
      </w:pPr>
    </w:p>
    <w:p>
      <w:pPr>
        <w:ind w:right="660" w:firstLine="8"/>
        <w:spacing w:after="0" w:line="282" w:lineRule="auto"/>
        <w:tabs>
          <w:tab w:leader="none" w:pos="3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price of our common stock during the applicable Additional Accelerated Purchase Measurement Period for such Additional Accelerated Purchase;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applicable same Accelerated Purchase Date.</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in our sole discretion, submit multiple Additional Accelerated Purchase notices to Lincoln Park prior to 1:00 p.m., eastern time, on a single Accelerated Purchase Date, again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 No Purchase Notices may be delivered at any time when the closing sale price is below $0.10.</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Other than as described above, there are no trading volume requirements or restrictions under the Purchase Agreement, and we will control the timing and amount of any sales of our common stock to Lincoln Park.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Suspension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Suspension events under the Purchase Agreement include the following:</w:t>
      </w:r>
    </w:p>
    <w:p>
      <w:pPr>
        <w:spacing w:after="0" w:line="225" w:lineRule="exact"/>
        <w:rPr>
          <w:sz w:val="20"/>
          <w:szCs w:val="20"/>
          <w:color w:val="auto"/>
        </w:rPr>
      </w:pPr>
    </w:p>
    <w:p>
      <w:pPr>
        <w:ind w:right="40" w:firstLine="8"/>
        <w:spacing w:after="0" w:line="261" w:lineRule="auto"/>
        <w:tabs>
          <w:tab w:leader="none" w:pos="2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w:t>
      </w:r>
    </w:p>
    <w:p>
      <w:pPr>
        <w:spacing w:after="0" w:line="17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by our principal market of our common stock from trading for a period of one business day;</w:t>
      </w:r>
    </w:p>
    <w:p>
      <w:pPr>
        <w:spacing w:after="0" w:line="225" w:lineRule="exact"/>
        <w:rPr>
          <w:rFonts w:ascii="Times New Roman" w:cs="Times New Roman" w:eastAsia="Times New Roman" w:hAnsi="Times New Roman"/>
          <w:sz w:val="18"/>
          <w:szCs w:val="18"/>
          <w:color w:val="auto"/>
        </w:rPr>
      </w:pPr>
    </w:p>
    <w:p>
      <w:pPr>
        <w:ind w:right="240" w:firstLine="8"/>
        <w:spacing w:after="0" w:line="266" w:lineRule="auto"/>
        <w:tabs>
          <w:tab w:leader="none" w:pos="2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common stock from the OTCQX operated by OTC Markets Group, Inc., our principal market, provided our common stock is not immediately thereafter trading on The Nasdaq Capital Market, The Nasdaq Global Market, The Nasdaq Global Select Market, the New York Stock Exchange, the NYSE American, the NYSE Arca, or the OTCQB (or any nationally recognized successor to any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540" w:firstLine="8"/>
        <w:spacing w:after="0" w:line="282" w:lineRule="auto"/>
        <w:tabs>
          <w:tab w:leader="none" w:pos="2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transfer agent to issue to Lincoln Park shares of our common stock within two business days after the applicable date on which Lincoln Park is entitled to receive such shares of our common stock;</w:t>
      </w:r>
    </w:p>
    <w:p>
      <w:pPr>
        <w:spacing w:after="0" w:line="161" w:lineRule="exact"/>
        <w:rPr>
          <w:rFonts w:ascii="Times New Roman" w:cs="Times New Roman" w:eastAsia="Times New Roman" w:hAnsi="Times New Roman"/>
          <w:sz w:val="18"/>
          <w:szCs w:val="18"/>
          <w:color w:val="auto"/>
        </w:rPr>
      </w:pPr>
    </w:p>
    <w:p>
      <w:pPr>
        <w:ind w:right="160" w:firstLine="8"/>
        <w:spacing w:after="0" w:line="282" w:lineRule="auto"/>
        <w:tabs>
          <w:tab w:leader="none" w:pos="2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representations or warranties or covenants contained in the Purchase Agreement or Registration Rights Agreement that has or could have a material adverse effect on us and, in the case of a breach of a covenant that is reasonably curable, that is not cured within five business days;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or involuntary participation or threatened participation in insolvency or bankruptcy proceedings by or against us;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eligible to transfer our common stock electronically; or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Lincoln Park’s broker is unable to accept shares of our common stock for deposit for reasons not within Lincoln Park’s control.</w:t>
      </w:r>
    </w:p>
    <w:p>
      <w:pPr>
        <w:spacing w:after="0" w:line="22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Following the Commencement Date, Lincoln Park does not have the right to terminate the Purchase Agreement upon any of the suspension events set forth above, although the Purchase Agreement would automatically terminate in the event of any voluntary or involuntary participation or threatened participation in insolvency or bankruptcy proceedings by or against us that are not discharged within 90 days. So long as a suspension event has occurred and is continuing, or if any event which, after notice and/or lapse of time, would reasonably be expected to become a suspension event has occurred and is continuing, we may not direct Lincoln Park to purchase any shares of our common stock under the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Termination Rights</w:t>
      </w:r>
    </w:p>
    <w:p>
      <w:pPr>
        <w:spacing w:after="0" w:line="22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have the unconditional right, at any time, for any reason and without any payment or liability to us, to terminate the Purchase Agreement following the Commencement Date upon one business day’s prior written notice to Lincoln Park. In the event of any voluntary or involuntary bankruptcy proceedings by or against us that are not discharged within 90 days, the Purchase Agreement would automatically terminate without any action by us or Lincoln Park.</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No termination of the Purchase Agreement will be effective during the pendency of any Regular Purchase, Accelerated Purchase or Additional Accelerated Purchase that has not then fully settled in accordance with the Purchase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Short-Selling or Hedging by Lincoln Park</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Lincoln Park has represented to us that at no time prior to the time of execution of the Purchase Agreement has Lincoln Park or its agents, representatives or affiliates engaged in or effected, in any manner whatsoever, directly or indirectly, any short sale (as such term is defined in Rule 200 of Regulation SHO under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Certain Substantially Similar Transactions</w:t>
      </w:r>
    </w:p>
    <w:p>
      <w:pPr>
        <w:spacing w:after="0" w:line="22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Purchase Agreement or Registration Rights Agreement, except we are prohibited (with certain specified exceptions set forth in the Purchase Agreement) from effecting or entering into an agreement to effect an “equity line of credit” or other substantially similar offering whereby an investor is irrevocably bound to purchase securities over a period of time from us at a price based on the market price of our common stock at the time of each such purchase.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Performance of the Purchase Agreement on Our Stockholders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All of the shares of our common stock being registered for resale hereunder which have been or may be issued or sold by us to Lincoln Park under the Purchase Agreement are expected to be freely tradable. It is anticipated that shares registered in this offering will be sold from time to time over a period of up to 24-months commencing on the date that the registration statement of which this prospectus forms a part becomes effective, provided that all other conditions set forth in the Purchase Agreement have been satisfied. The sale by Lincoln Park of a significant number of shares of our common stock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additional shares of our common stock to Lincoln Park, after Lincoln Park has acquired the shares of our common stock, Lincoln Park may resell all, some or none of those shares of our common stock at any time or from time to time in its discretion. Therefore, sales to Lincoln Park by us under the Purchase Agreement may result in substantial dilution to the interests of other holders of our common stock. In addition, if we sell a substantial number of shares of our common stock to Lincoln Park under the Purchase Agreement, or if investors expect that we will do so, the actual sales of shares of our common stock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common stock to Lincoln Park and the Purchase Agreement may be terminated by us at any time at our discretion without any cost to us.</w:t>
      </w:r>
    </w:p>
    <w:p>
      <w:pPr>
        <w:spacing w:after="0" w:line="19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from and after Commencement, we have the right, but not the obligation, from time to time to direct Lincoln Park to purchase up to $25 million of our common stock. Depending on the price per share at which we sell our common stock to Lincoln Park pursuant to the Purchase Agreement, we may need to sell to Lincoln Park under the Purchase Agreement more shares of our common stock than are being offered under this prospectus in order to receive aggregate gross proceeds equal to the $25 million total commitment available to us under the Purchase Agreement. If we choose to do so, we must first register for resale under the Securities Act such additional shares of our common stock, which could cause additional substantial dilution to our stockholders. The number of shares of our common stock ultimately offered for resale by Lincoln Park under this prospectus is dependent upon the number of shares of our common stock we direct Lincoln Park to purchase under the Purchase Agreement.</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Lincoln Park from our sale of common stock to Lincoln Park under the Purchase Agreement at varying purchase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our</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Registered</w:t>
            </w: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Proceeds from the</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 of our</w:t>
            </w: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After</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 of Shares of our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Common Stock to be</w:t>
            </w: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Giving Effect to</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 Stock to Lincoln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Issued if Full</w:t>
            </w: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Issuance to</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Park Under the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Purchase </w:t>
            </w:r>
            <w:r>
              <w:rPr>
                <w:rFonts w:ascii="Times New Roman" w:cs="Times New Roman" w:eastAsia="Times New Roman" w:hAnsi="Times New Roman"/>
                <w:sz w:val="29"/>
                <w:szCs w:val="29"/>
                <w:b w:val="1"/>
                <w:bCs w:val="1"/>
                <w:color w:val="auto"/>
                <w:vertAlign w:val="superscript"/>
              </w:rPr>
              <w:t>(1)</w:t>
            </w: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Lincoln Park </w:t>
            </w:r>
            <w:r>
              <w:rPr>
                <w:rFonts w:ascii="Times New Roman" w:cs="Times New Roman" w:eastAsia="Times New Roman" w:hAnsi="Times New Roman"/>
                <w:sz w:val="29"/>
                <w:szCs w:val="29"/>
                <w:b w:val="1"/>
                <w:bCs w:val="1"/>
                <w:color w:val="auto"/>
                <w:vertAlign w:val="superscript"/>
              </w:rPr>
              <w:t>(2)</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Purchase Agreement </w:t>
            </w:r>
            <w:r>
              <w:rPr>
                <w:rFonts w:ascii="Times New Roman" w:cs="Times New Roman" w:eastAsia="Times New Roman" w:hAnsi="Times New Roman"/>
                <w:sz w:val="29"/>
                <w:szCs w:val="29"/>
                <w:b w:val="1"/>
                <w:bCs w:val="1"/>
                <w:color w:val="auto"/>
                <w:vertAlign w:val="superscript"/>
              </w:rPr>
              <w:t>(1)</w:t>
            </w:r>
          </w:p>
        </w:tc>
      </w:tr>
      <w:tr>
        <w:trPr>
          <w:trHeight w:val="66"/>
        </w:trPr>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r>
      <w:tr>
        <w:trPr>
          <w:trHeight w:val="21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0.25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32,467,532</w:t>
            </w: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11.83%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8,116,883</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0.50</w:t>
            </w:r>
          </w:p>
        </w:tc>
        <w:tc>
          <w:tcPr>
            <w:tcW w:w="2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32,467,532</w:t>
            </w:r>
          </w:p>
        </w:tc>
        <w:tc>
          <w:tcPr>
            <w:tcW w:w="20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11.83%</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16,233,766</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0.77</w:t>
            </w:r>
            <w:r>
              <w:rPr>
                <w:rFonts w:ascii="Times New Roman" w:cs="Times New Roman" w:eastAsia="Times New Roman" w:hAnsi="Times New Roman"/>
                <w:sz w:val="25"/>
                <w:szCs w:val="25"/>
                <w:color w:val="auto"/>
                <w:vertAlign w:val="superscript"/>
              </w:rPr>
              <w:t>(3)</w:t>
            </w:r>
          </w:p>
        </w:tc>
        <w:tc>
          <w:tcPr>
            <w:tcW w:w="2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32,467,532</w:t>
            </w:r>
          </w:p>
        </w:tc>
        <w:tc>
          <w:tcPr>
            <w:tcW w:w="20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11.83%</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w:t>
            </w:r>
          </w:p>
        </w:tc>
        <w:tc>
          <w:tcPr>
            <w:tcW w:w="2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25,000,000</w:t>
            </w:r>
          </w:p>
        </w:tc>
        <w:tc>
          <w:tcPr>
            <w:tcW w:w="20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9.36%</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2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20,000,000</w:t>
            </w:r>
          </w:p>
        </w:tc>
        <w:tc>
          <w:tcPr>
            <w:tcW w:w="20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7.63%</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25,000,000</w:t>
            </w:r>
          </w:p>
        </w:tc>
      </w:tr>
    </w:tbl>
    <w:p>
      <w:pPr>
        <w:spacing w:after="0" w:line="198" w:lineRule="exact"/>
        <w:rPr>
          <w:sz w:val="20"/>
          <w:szCs w:val="20"/>
          <w:color w:val="auto"/>
        </w:rPr>
      </w:pPr>
    </w:p>
    <w:p>
      <w:pPr>
        <w:ind w:left="980" w:hanging="324"/>
        <w:spacing w:after="0" w:line="253"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Purchase Agreement provides that we may sell up to $25 million of our common stock to Lincoln Park, we are registering 32,914,599 shares of our common stock for resale under this prospectus, including 447,067 Commitment Shares that we have issued or will issue to Lincoln Park as a fee for making its irrevocable commitment to purchase our common stock under the Purchase Agreement (for which we have not and will not receive any cash consideration), which may or may not cover all the shares of our common stock we ultimately sell to Lincoln Park under the Purchase Agreement, depending on the purchase price per share. Accordingly, the gross proceeds reflected in the rightmost column are calculated by multiplying only the shares of common stock in the second column in from the left that may be issued and sold by us to Lincoln Park in the future as Purchase Shares under the Purchase Agreement that are being registered under the Securities Act for resale by Lincoln Park in the registration statement that includes this prospectus, by the assumed average price per share set forth in the first column on the left, because we have not and will not receive any cash consideration for the 447,067 shares of common stock that we issued or will issue to Lincoln Park as Commitment Shares. The number of registered shares of common stock to be issued reflected in the table does not give effect to the limitations on the amount of shares we may be permitted to issue to Lincoln Park from time to time under the Purchase Agreement as a result of the Beneficial Ownership Cap.</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line="25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will be based on 241,973,011 shares of our common stock outstanding as of May 1, 2026 (including the 447,067 Commitment Shares), adjusted to include the shares of our common stock listed in the second column from the left that we would have sold to Lincoln Park as Purchase Shares pursuant to the Purchase Agreement, assuming such Purchase Shares are sold to Lincoln Park at the assumed average purchase price per share set forth in the first column on the left. The numerator will be based on the number of shares of our common stock issuable under the Purchase Agreement at the corresponding assumed average purchase price per share set forth in the first column on the left, without giving effect to the Beneficial Ownership Cap.</w:t>
      </w:r>
    </w:p>
    <w:p>
      <w:pPr>
        <w:spacing w:after="0" w:line="21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per share of our common stock on May 1, 2026</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80" w:firstLine="360"/>
        <w:spacing w:after="0" w:line="266"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and sold from time to time by Lincoln Park. See “Plan of Distribution” elsewhere in this prospectus for more information. We are not selling any securities under this prospectus and we will not receive any proceeds from the sale of shares by Lincoln Park under this prospectus.</w:t>
      </w:r>
    </w:p>
    <w:p>
      <w:pPr>
        <w:spacing w:after="0" w:line="176"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We may receive up to $25 million in aggregate gross proceeds from sales of shares of our common stock we make to Lincoln Park under the Purchase Agreement. We may choose to sell fewer than $25 million in shares of our common stock, or, due to the Beneficial Ownership Cap, we may not be able to sell all $25 million in shares of our common stock under the Purchase Agreement, in which case we would raise less than $25 million in aggregate gross proceeds under the Purchase Agreement. It is also possible that we do not sell any shares under the Purchase Agreement.</w:t>
      </w:r>
    </w:p>
    <w:p>
      <w:pPr>
        <w:spacing w:after="0" w:line="180"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We will have broad discretion in the use of the net proceeds from any sale of shares of our common stock to Lincoln Park under the Purchase Agreement. Based upon our current plans and business conditions, we intend to use net proceeds from such sales for working capital and general corporate purposes, which include, but are not limited to, research and development expenses and general and administrative expenses. We have not determined the amount of net proceeds to be used specifically for such purposes. The amounts and timing of our actual expenditures may vary significantly and will depend on numerous factors, including market conditions, cash generated or used by our operations, business developments and opportunities that may arise. We may find it necessary or advisable to use portions of the proceeds we receive from our sale of shares of common stock to Lincoln Park under the Purchase Agreement for other purposes. Pending the use of any net proceeds, we expect to invest the net proceeds in interest-bearing, marketable securities.</w:t>
      </w:r>
    </w:p>
    <w:p>
      <w:pPr>
        <w:spacing w:after="0" w:line="189" w:lineRule="exact"/>
        <w:rPr>
          <w:sz w:val="20"/>
          <w:szCs w:val="20"/>
          <w:color w:val="auto"/>
        </w:rPr>
      </w:pPr>
    </w:p>
    <w:p>
      <w:pPr>
        <w:jc w:val="both"/>
        <w:ind w:right="520" w:firstLine="360"/>
        <w:spacing w:after="0" w:line="266" w:lineRule="auto"/>
        <w:rPr>
          <w:sz w:val="20"/>
          <w:szCs w:val="20"/>
          <w:color w:val="auto"/>
        </w:rPr>
      </w:pPr>
      <w:r>
        <w:rPr>
          <w:rFonts w:ascii="Times New Roman" w:cs="Times New Roman" w:eastAsia="Times New Roman" w:hAnsi="Times New Roman"/>
          <w:sz w:val="18"/>
          <w:szCs w:val="18"/>
          <w:color w:val="auto"/>
        </w:rPr>
        <w:t>We will bear all of the costs, fees and expenses incurred in effecting the registration of the shares covered by this prospectus, including, without limitation, the registration and filing fees, printing fees, and fees and expenses of our counsel and our accountants, but all selling and other expenses incurred by the selling stockholder will be paid by the selling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MARKET FOR COMMON STOCK AND DIVIDEND POLICY</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OTCQX under the symbol “VXRT.” The last reported sale price of our common stock on May 7, 2026 on the OTCQX was $0.74 per share. As of May 1, 2026, there were 1,355 stockholders of record of our common stock, one of which was Cede &amp; Co., a nominee for Depository Trust Company (“DTC”). The actual number of stockholders is greater than this number of holders of record and includes stockholders who are beneficial owners, but whose shares are held in “street name” by brokerage firms, banks and other financial institutions or nominees.</w:t>
      </w:r>
    </w:p>
    <w:p>
      <w:pPr>
        <w:spacing w:after="0" w:line="180"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intend to retain any future earnings and do not expect to pay dividends in the foreseeable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under the name West Coast Biologicals, Inc. in March 2004 and changed its name to Vaxart, Inc. (“Private Vaxart”) in July 2007, when it reincorporated in the state of Delaware.</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primarily focused on the development of oral recombinant vaccines based on our Vector-Adjuvant-Antigen Standardized Technology (“VAAST”) proprietary oral vaccine platform.</w:t>
      </w:r>
    </w:p>
    <w:p>
      <w:pPr>
        <w:spacing w:after="0" w:line="162" w:lineRule="exact"/>
        <w:rPr>
          <w:sz w:val="20"/>
          <w:szCs w:val="20"/>
          <w:color w:val="auto"/>
        </w:rPr>
      </w:pPr>
    </w:p>
    <w:p>
      <w:pPr>
        <w:ind w:right="160" w:firstLine="324"/>
        <w:spacing w:after="0" w:line="289" w:lineRule="auto"/>
        <w:rPr>
          <w:sz w:val="20"/>
          <w:szCs w:val="20"/>
          <w:color w:val="auto"/>
        </w:rPr>
      </w:pPr>
      <w:r>
        <w:rPr>
          <w:rFonts w:ascii="Times New Roman" w:cs="Times New Roman" w:eastAsia="Times New Roman" w:hAnsi="Times New Roman"/>
          <w:sz w:val="17"/>
          <w:szCs w:val="17"/>
          <w:color w:val="auto"/>
        </w:rPr>
        <w:t>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oral tablet vaccine candidates offer important advantages:</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First, they are designed to generate broad and durable immune responses, including systemic, mucosal and T cell responses, which may enhance protection against certain infectious diseases, such as norovirus, COVID-19 and influenza, and may have potential clinical benefit for certain cancers and chronic viral infections, such as those caused by HPV.</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Second, our tablet vaccine candidates are designed to provide a more efficient and convenient method of administration, enhance patient acceptance and reduce distribution bottlenecks, which we believe will improve the effectiveness of vaccination campaigns.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Tablet Vaccine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Components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platform technology employs a vector-based approach and consists of the following components:</w:t>
      </w:r>
    </w:p>
    <w:p>
      <w:pPr>
        <w:spacing w:after="0" w:line="225" w:lineRule="exact"/>
        <w:rPr>
          <w:sz w:val="20"/>
          <w:szCs w:val="20"/>
          <w:color w:val="auto"/>
        </w:rPr>
      </w:pPr>
    </w:p>
    <w:p>
      <w:pPr>
        <w:ind w:left="660" w:right="20" w:hanging="328"/>
        <w:spacing w:after="0" w:line="25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vector, which is a virus used as a carrier to deliver DNA coding for vaccine antigens and an adjuvant selected to activate the immune system. Specifically, we use non-replicating adenovirus type 5 (“Ad5”), which delivers the DNA encoding both the antigen and adjuvant to the cells of the small intestine, where the antigen and adjuvant are co-expressed. Over 200 clinical trials conducted by others have used Ad5 for a wide range of applications, and we believe that using the same adenovirus in our tablet vaccine candidates may reduce regulatory risk because it is known to regulatory authorities.</w:t>
      </w:r>
    </w:p>
    <w:p>
      <w:pPr>
        <w:spacing w:after="0" w:line="18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antigen, which is a viral or bacterial protein that stimulates an immune response to the targeted pathogen. Our antigens are encoded in the Ad5 DNA rather than being directly included in the vaccine. We use a different antigen for each of our clinical vaccine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adjuvant, which is a substance that enhances the immune-stimulating properties of the vaccine. We use a short section of double-stranded RNA (“dsRNA”) encoded in the Ad5 DNA as an adjuvant. dsRNA is a Toll-like receptor 3 (“TLR3”) agonist and is recognized by the innate immune system as a signal of a viral infection and thereby triggering it to mount an immune response in defense.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enteric-coated tablet, which is designed to deliver the Ad5 vector to the small intestine.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Our Tablet Vaccine Candidates Work</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tablets are designed to deliver vaccines to the small intestine. The tablets are covered with a protective coating that remains intact in the low-pH environment of the stomach and protects the active ingredient contained in the tablet core from degradation in the stomach. The coating is designed to dissolve in the neutral-pH environment of the small intestine. The tablets disintegrate, and the vaccine is released into the small intestine where it can reach and enter the mucosal cells lining the intestine. Once inside the mucosal cells, the Ad5 vector instructs the cells to manufacture antigen protein and adjuvant. The adjuvant is always produced within the exact same intestinal cells that also produce the antigen, so that no excess adjuvant is produced, resulting in enhanced safety. Importantly, the production of antigens in our approach closely mimics the process of actual infection by a pathogenic virus. In addition, we believe that delivering the replication-incompetent Ad5-vectored vaccine via tablet directly to the gut avoids neutralization by systemic immunity.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Significance of Mucosal Immunity and T Cell Responses</w:t>
      </w:r>
    </w:p>
    <w:p>
      <w:pPr>
        <w:spacing w:after="0" w:line="22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The immune system has developed defenses against pathogens by creating special classes of immune effectors, such as mucosal antibodies directed to wet surfaces and killer T cells that can kill pathogen-infected cells. Most vaccines available today have been developed primarily to elicit blood circulating, or systemic B cell responses, such as serum antibodies. However, there remain many infections, such as norovirus, for which no approved or marketed vaccines exist. These infections and other pathogens may need greater immune responses outside of serum antibodies. These infections largely evade the serum antibody immune response because the pathogen can infect cells that line the mucosal membranes without coming into direct contact with blood.</w:t>
      </w:r>
    </w:p>
    <w:p>
      <w:pPr>
        <w:spacing w:after="0" w:line="1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One of the key benefits of our technology is delivery to the gastrointestinal tract, enabling the vaccine to directly enter the mucosal surface of the intestine and activate the immune system of the gut. Mucosal vaccine delivery is believed to enhance protection against mucosal pathogens by generating immunity at the surface where such pathogens invade. Our tablet vaccine candidates target the mucosal immune cells with a vector-based approach and are designed to create a more potent cytotoxic T cell response and mucosal antibody response, which may provide more effective immunity for certain diseases. Further, we have demonstrated that our vaccine delivered to the intestine can produce mucosal responses at sites distal to the intestine such as the nose and the mouth.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Non-Replicating Ad5 Vector is Designed to Circumvent Anti-Vector Issues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Injected Ad5 vectored vaccines generate strong anti-Ad5 responses, with up to a 100-fold increase in the anti-Ad5 neutralizing antibody titers. In contrast, our oral Ad5 vectored vaccine is designed to circumvent the complications related to anti-Ad5 immunity, allowing the platform to be used for multiple vaccines and repeat annual and booster vaccinations.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status of our oral vaccine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154305</wp:posOffset>
            </wp:positionV>
            <wp:extent cx="5340350" cy="2297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035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Our Norovirus Program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Norovirus is the leading cause of vomiting and diarrhea from acute gastroenteritis among people of all ages in the U.S. Each year, on average, norovirus causes 19 to 21 million cases of acute gastroenteritis and contributes to 109,000 hospitalizations and 900 deaths, mostly among young children and older adults. In the U.S., we believe a norovirus vaccine would be beneficial for high-risk groups such as infants and children up to five years old, older adults and the elderly, as well as for workers in the food and travel industries, for healthcare, childcare and elder care workers, first responders, the military, and travelers. In a study published by Johns Hopkins University and the Centers for Disease Control and Prevention (“CDC”) in 2016, the total global annual economic burden of norovirus was estimated at $60 billion. In a more recent health economic study published in the Journal of Infectious Diseases in July 2020, the economic impact to the U.S. was estimated to be $10.6 billion annually. There are currently no approved vaccines or therapies to prevent or treat norovirus infection.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Norovirus Vaccine Candidate</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We are developing a VP1-based bivalent oral tablet vaccine candidate that would protect against norovirus GI and norovirus GII, the two major norovirus genogroups affecting humans, by targeting the norovirus GI.1 Norwalk strain and the norovirus GII.4 Sydney strain. Because norovirus is an enteric pathogen that infects epithelial cells of the small intestine, we believe that a vaccine that produces antibodies against norovirus locally in the intestine, such as our tablet vaccine candidate which is delivered directly to the gut, may induce optimal protection against infection.</w:t>
      </w:r>
    </w:p>
    <w:p>
      <w:pPr>
        <w:spacing w:after="0" w:line="180"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In September 2023, we announced that our Phase 2 GI.1 norovirus challenge study evaluating the safety, immunogenicity, and clinical efficacy of the GI.1 component of our first-generation bivalent norovirus vaccine candidate met five of six primary endpoints based on preliminary topline data. The study achieved its primary endpoints of a statistically significant 29% relative reduction in the rate of norovirus infection between the vaccinated and placebo arms, a strong induction of norovirus-specific immunoglobulin A (IgA) and immunoglobulin G (IgG) antibodies, and other immune response endpoints.</w:t>
      </w:r>
    </w:p>
    <w:p>
      <w:pPr>
        <w:spacing w:after="0" w:line="16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Vaccination also led to a 21% relative reduction in norovirus acute gastroenteritis in the vaccine arm compared to placebo, but this was not statistically significant. In prespecified analyses, the study also showed an 85% relative decrease in viral shedding in the vaccine arm compared with placebo and no statistically significant difference in disease severity in the vaccinated cohort compared with placebo. The vaccine candidate was also safe and well tolerated with no vaccine-related serious adverse events.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Based on our norovirus clinical data findings to date, our norovirus oral vaccination induces mucosal and systemic immune responses. Norovirus oral vaccination reduced shedding and infection in a rigorous human challenge model. Based on our machine learning and evaluation of more than 13 different immune parameters, norovirus vaccination protection most tightly associates with making a functional antibody response to norovirus in the serum (“NBAA”) and norovirus specific fecal IgA antibodies. Because of the strong induction of mucosal IgA due to the oral vaccination and potential read through into the serum, we believe that this likely means that a functional fecal IgA response is probably critical for protection against norovirus infection.</w:t>
      </w:r>
    </w:p>
    <w:p>
      <w:pPr>
        <w:spacing w:after="0" w:line="183" w:lineRule="exact"/>
        <w:rPr>
          <w:sz w:val="20"/>
          <w:szCs w:val="20"/>
          <w:color w:val="auto"/>
        </w:rPr>
      </w:pPr>
    </w:p>
    <w:p>
      <w:pPr>
        <w:jc w:val="both"/>
        <w:ind w:right="640" w:firstLine="324"/>
        <w:spacing w:after="0" w:line="266" w:lineRule="auto"/>
        <w:rPr>
          <w:sz w:val="20"/>
          <w:szCs w:val="20"/>
          <w:color w:val="auto"/>
        </w:rPr>
      </w:pPr>
      <w:r>
        <w:rPr>
          <w:rFonts w:ascii="Times New Roman" w:cs="Times New Roman" w:eastAsia="Times New Roman" w:hAnsi="Times New Roman"/>
          <w:sz w:val="18"/>
          <w:szCs w:val="18"/>
          <w:color w:val="auto"/>
        </w:rPr>
        <w:t>In the second half of 2024, we received constructive feedback from the U.S. Food and Drug Administration (“FDA”) on our data for potential correlates of protection and next steps for our norovirus program. While we believe we have identified a functional antibody response that may be associated with protection for norovirus, the FDA requested new clinical data before proceeding with further review of our potential correlate.</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2024, we also created new, second-generation norovirus GI.1 and GII.4 constructs. In preclinical studies, the second-generation norovirus GI.1 and GII.4 constructs appear to be more potent than the first-generation norovirus constructs we previously evaluated in clinical trials. Our expectation is that these second-generation norovirus constructs would also be more potent in humans.</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With advice from advisors and infectious disease experts, we decided to proceed with a Phase 1, open label, dose ranging clinical trial evaluating our second-generation oral norovirus vaccine constructs head-to-head against our first-generation constructs. The trial measured safety and immunogenicity, including immune parameters that have correlated to protection in our Phase 2 GI.1 norovirus challenge study.</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June 2025, we reported positive topline results from the Phase 1 clinical trial (Study VXA-109) evaluating our second-generation bivalent norovirus vaccine constructs head-to-head against our first-generation bivalent norovirus vaccine constructs. The open-label, Phase 1 trial was conducted in 60 healthy volunteers who were randomized to receive the first-generation vaccine constructs, an equivalent dose of the second-generation GI.1 and GII.4 vaccine constructs, or a lower dose of the second-generation vaccine constructs (n=20 for each group). The primary immunological endpoint was norovirus blocking antibody assay (NBAA) titer at Day 0 and Day 28. In a Phase 2 challenge study of the first-generation vaccine constructs, these functional NBAA titers were identified as correlates of protection against norovirus infection. Although the study was not powered to determine superiority by statistical methods, the increase in NBAA titers with the second-generation vaccine candidates was sufficiently large (141% for the GI.1 vaccine candidate and 94% for the GII.4 vaccine candidate) to demonstrate statistical significance at the equivalent dose. Further support for the second-generation bivalent norovirus vaccine was provided by the fecal IgA data from the VXA-109 Study. The data showed a 25-fold increase in the GII.4 fecal IgA response and a 10-fold increase in the GI.1 fecal IgA response over baseline with the high dose of the second-generation vaccine candidates after a single tablet administration for each strain. The data also showed an 8-fold increase in the GII.4 fecal IgA response and a 7-fold increase in the GI.1 fecal IgA response over baseline with the low dose of the second-generation vaccine candidates after a single tablet administration for each strain. While the Phase 1 study was not powered to determine superiority by statistical methods, the fecal IgA increases observed with the second-generation constructs compared favorably to the increases observed with the first-generation constructs at the same high dose level and in the same study (13-fold GII.4 and 6-fold GI.1 over baseline).</w:t>
      </w:r>
    </w:p>
    <w:p>
      <w:pPr>
        <w:spacing w:after="0" w:line="19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Following the successful outcome of the VXA-109 trial, the next step, pending a partnership or other funding, would be to advance the program to the next stage of clinical development in 2026.</w:t>
      </w:r>
    </w:p>
    <w:p>
      <w:pPr>
        <w:spacing w:after="0" w:line="15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Pediatric Population</w:t>
      </w:r>
      <w:r>
        <w:rPr>
          <w:rFonts w:ascii="Times New Roman" w:cs="Times New Roman" w:eastAsia="Times New Roman" w:hAnsi="Times New Roman"/>
          <w:sz w:val="18"/>
          <w:szCs w:val="18"/>
          <w:color w:val="auto"/>
        </w:rPr>
        <w:t>. Our current tablet vaccine formulation is designed for delivery to the gut in solid dosage form using an enteric-coated tablet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believe is the optimal vaccine delivery system for the adult population and children eight years and older. For children six months to seven years in age, we plan to develop minitablet formulations that can deliver the vectored vaccine intact to the gut. Development of our norovirus vaccine in the pediatric population will proceed with a stepdown approach through progressively younger age segments (i.e. 8 to 5 years, 4 to 2 years, 2 years to 6 months).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firstLine="324"/>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Breastfeeding Mothers. </w:t>
      </w:r>
      <w:r>
        <w:rPr>
          <w:rFonts w:ascii="Times New Roman" w:cs="Times New Roman" w:eastAsia="Times New Roman" w:hAnsi="Times New Roman"/>
          <w:sz w:val="18"/>
          <w:szCs w:val="18"/>
          <w:color w:val="auto"/>
        </w:rPr>
        <w:t>In December 2024, we completed a Phase 1 norovirus bivalent vaccine candidate study in partnership with the Bill &amp; Melinda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Gates Foundation. The study enrolled 76 healthy, lactating post-partum, women volunteers, to determine the impact of our norovirus vaccine on breast milk norovirus-specific IgA and its potential presence, post-breastfeeding, within infant fecal samples. The study was a randomized, double-blinded, and placebo controlled study to evaluate the safety, tolerability, and immunogenicity of the placebo cohorts and two vaccine cohorts: medium dose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and high dose (2×10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Passive transfer of antibodies from mother to infant that are induced in milk may protect breastfeeding infants from infectious pathogens. We initiated this study in the fourth quarter of 2023 and announced positive top line results in April 2024. Top line results showed antibodies rose in lactating mothers who received the high dose of our bivalent vaccine candidate. Specifically, serum antibodies to norovirus rose on average 5.6 fold in response to the GI.1 virus strain and 4.4 fold in response to the GII.4 virus strain and breast milk antibodies to norovirus rose on average 4.0 fold in response to the GI.1 virus strain and 6.0 fold in response to the GII.4 virus strain. The vaccine was well tolerated with no vaccine-related serious adverse events and no dose-limiting pharmacotoxicity. Infant stool samples contained antibodies to norovirus that correlated with levels in the paired mother’s breast milk, suggesting efficient passive transfer occurred. As a grant recipient from the Bill &amp; Melinda Gates Foundation, Vaxart has agreed to a global access commitment for use of its bivalent norovirus vaccine candidate, if proven effective and approved, in breastfeeding mothers from low- and middle-income countries.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COVID-19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Coronaviruses comprise a group of respiratory viruses, encompassing SARS-CoV-1, SARS-CoV-2, and Middle East respiratory syndrome coronavirus (MERS-CoV), among various others. SARS-CoV-2, the virus responsible for COVID-19, induces a severe respiratory tract infection and stands as a significant cause of hospitalization and mortality globally. Currently approved COVID-19 vaccines seem to have varying levels of efficacy to emerging strains of SARS-CoV-2.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COVID-19 Vaccine Candidates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spent significant effort developing COVID-19 vaccine candidates over the past few years. One of our first COVID-19 vaccine candidates (rAd-S, known as Vaxart clinical candidate VXA-CoV2-1.1-S) expressed only the spike (“S”) protein from the SARS-CoV-2 Wuhan strain. In September 2022, we announced the results from the first part of a two-part Phase 2 clinical study evaluating the safety and immunogenicity of VXA-CoV2-1.1-S met both its primary and secondary endpoints based on topline data. VXA-CoV2-1.1-S was able to boost the serum antibody responses for volunteers that previously received an mRNA vaccine (either Pfizer/BioNTech or Moderna). Serum neutralizing antibody responses to SARS-CoV-2 (Wuhan), a recognized correlate of protection, were boosted in this population from a geometric mean of 481 to 778, a fold rise of 1.6. Volunteers that had lower starting titers had larger increases than subjects that had higher titers. There were also substantial increases in the neutralizing antibody responses to the SARS-CoV-2 Omicron BA4/5 in these volunteers as measured by sVNT assay. Increases in the mucosal IgA antibody responses (antibodies in the nose and mouth) were observed in approximately 50% of subjects. Subjects that had an increase in the mucosal IgA response to SARS-CoV-2 Wuhan S had an increase in IgA responses to other coronaviruses including SARS-CoV-2 Omicron BA4/5, SARS-CoV-1, and MERS-CoV, demonstrating the cross-reactive nature of these immune readouts. We are not proceeding with the second part of the study.</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also made a COVID-19 vaccine candidate that expresses only the S protein from the SARS-CoV-2 XBB strain as well as a COVID-19 vaccine candidate that expresses the S protein from the SARS-CoV-2 KP.2 strain. Based on preclinical data, our XBB COVID-19 vaccine candidate is more potent than our prior COVID-19 vaccine constructs.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January 2024, we were awarded a contract by the U.S. Biomedical Advanced Research and Development Authority (“BARDA”), a division of the Administration for Strategic Preparedness and Response (“ASPR”) within the U.S. Department of Health and Human Services (“HHS”), for $9.3 million to fund preparation for a Phase 2b clinical study involving 10,000 patients. Vaxart executed on the deliverables and received all $9.3 million of cash payments related to this contract in 2024. BARDA and Vaxart have closed out this contract.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June 2024, we entered into an agreement (as modified or amended from time to time, the “2024 ATI-RRPV Contract”) with Advanced Technology International (“ATI”), the Rapid Response Partnership Vehicle’s Consortium Management Firm funded by BARDA. Under the 2024 ATI-RRPV Contract, we may receive up to $460.7 million to conduct the Phase 2b study, manufacture a COVID-19 vaccine candidate targeting the KP.2 strain, and acquire an approved mRNA vaccine targeting the KP.2 strain. However, funding has been released incrementally based on modifications to the 2024 ATI-RRPV Contract as certain milestones are attained. Pursuant to Modification No. 6 to the 2024 ATI-RRPV Contract, dated March 10, 2026, the total amount of funding available for payment under the 2024 ATI-RRPV Contract is approximately $316.0 million.</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Phase 2b study is a double-blind, multi-center, randomized, comparator-controlled study to determine the relative efficacy, safety, and immunogenicity of Vaxart’s oral pill COVID-19 vaccine candidate against an approved mRNA COVID-19 injectable vaccine in adults previously immunized against COVID-19 infection. The study design anticipates enrolling approximately 10,400 healthy adults 18 years and older in the U.S. with approximately 5,200 receiving our COVID-19 vaccine candidate and approximately 5,200 receiving an approved mRNA comparator. The study strives to enroll participants in line with U.S. demographics, as well as including at least 25% over the age of 65.</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Phase 2b study will measure comparative efficacy for symptomatic and asymptomatic disease, systemic and mucosal immune induction, and the incidence of adverse events. The primary endpoint is relative efficacy of Vaxart’s COVID-19 vaccine candidate compared to an approved mRNA comparator for the prevention of symptomatic disease. Primary efficacy analysis will be performed when all participants have either discontinued or completed a study visit 12 months post-vaccination.</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second half of 2024, we initiated and completed enrollment of the sentinel cohort of the Phase 2b study consisting of 400 participants comparing our XBB COVID-19 vaccine candidate against an approved mRNA XBB comparator. In January 2025, an independent data safety monitoring board (“DSMB”) recommended the study to proceed without modifications based on initial safety assessment of 30-day data from the sentinel cohort. Additional data regarding the 12-month follow-up for these 400 individuals is anticipated to be shared in the first half of 2026.</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2025, we received written notification from ATI in the form of a stop work order (the “February 2025 SWO”) directing the Company to stop work on the 2024 ATI-RRPV Contract, with the exception that we could continue efforts associated with the per protocol follow-up for the 400-participant sentinel cohort. The February 2025 SWO was to be in effect for a period of 90 days. Subsequently, in April 2025, the Company received written notification from ATI in the form of a stop work order lift (the “Lift Notice”) that the February 2025 SWO had been lifted and that the Company may resume incurring costs, participating in meetings, and communicating with the Government and ATI concerning the project award.</w:t>
      </w:r>
    </w:p>
    <w:p>
      <w:pPr>
        <w:spacing w:after="0" w:line="183"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May 2025, following additional discussion between the Company and HHS BARDA regarding costs, timelines, and regulatory pathway, we received approval from HHS BARDA to initiate dosing. We subsequently proceeded to dose patients in the 10,000-participant portion of the Phase 2b clinical study.</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August 2025, the Company received written notification from ATI in the form of a second stop work order (the “August 2025 SWO”) directing the Company to stop work on screening and enrollment for the 10,000-person cohort of the Phase 2b clinical study. The Company was, however, permitted to continue efforts associated with the per protocol follow-up to the extent study participants were already dosed. As of the notification date, the Company had enrolled approximately half of the targeted number of participants for the study.</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October 8, 2025, the Company received another notice (the “Follow-Up Notice”) from ATI, clarifying the scope of the August 2025 SWO and therefore the 2024 ATI-RRPV Contract. The Follow-Up Notice definitively confirmed that BARDA intends to stop all ongoing enrollment under the 2024 ATI-RRPV Contract but allows efforts in support of participants already enrolled in the study, who will continue to be followed, including planned analyses of the sentinel cohort as well as the enrolled main study population.</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2026, the Company entered into Modification No. 6 to the 2024 ATI-RRPV Contract. Pursuant to Modification No. 6 to the 2024 ATI-RRPV Contract, pursuant to which the total amount of funding available for payment under the 2024 ATI-RRPV Contract was increased to $316.0 million. The Company anticipates a further modification to the 2024 ATI-RRPV Contract that will reflect the reduced scope of work and corresponding reduction in funding that resulted from previously issued stop work orders.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the filing date of this prospectus, we anticipate that the Phase 2b study, which enrolled healthy adults 18 years and older in the U.S. with 400 participants from the sentinel cohort and approximately 5,000 participants enrolled from the main cohort as of our receipt of the August 2025 SWO, will continue to collect participant data over a 12 month period post-vaccination and will continue to be funded under the 2024 ATI-RRPV Contract. Out of the approximately 5,400 total participants, we expect approximately 2,700 to have received our COVID-19 vaccine candidate and approximately 2,700 to have received an approved strain-matched mRNA comparator. Primary efficacy analysis will be performed when all participants have either discontinued or completed a study visit 12 months post-vaccination.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Influenza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Influenza is one of the most common global infectious diseases, causing mild to life-threatening illness with symptoms such as sore throat, nasal discharge, fever, and even death. It is estimated that there are around one billion cases of seasonal influenza annually worldwide, of which 3 million to 5 million cases are considered severe, causing 290,000 to 650,000 deaths per year globally. Very young children and the elderly are at greatest risk from death. In the U.S., between 9,000,000 and 41,000,000 people catch influenza annually, between 140,000 and 710,000 people are hospitalized with complications of influenza, and between 12,000 and 52,000 people die from influenza and its complications each year.</w:t>
      </w:r>
    </w:p>
    <w:p>
      <w:pPr>
        <w:spacing w:after="0" w:line="18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CDC generally recommends that individuals six months and older be vaccinated annually against influenza. In the U.S., this means an influenza vaccination is recommended for more than 300 million people.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Seasonal Influenza Vaccine Candidate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developing a tablet vaccine candidate for the immunization of healthy adults against seasonal influenza. Commercial seasonal influenza vaccines today are composed of either three (trivalent) or four (quadrivalent) strains, either one influenza B and two influenza A strains, or two of each. Our seasonal influenza vaccine candidate is a trivalent seasonal influenza vaccine consisting of two circulating influenza A lineage viruses (H1N1 and H3N2) as well as one circulating influenza B lineage virus (B/Victoria lineage), matching the seasonally updated recommendations by the World Health Organization. We envision formulating our tablet vaccine candidate as one tablet per strain, or three tablets in total for the trivalent vaccine. We believe this modularity will allow for enhanced flexibility. For instance, in the event of a late season strain change, the tablet containing the obsolete strain could be easily replaced without having to discard the two correctly matched vaccine tablets. We will also consider formulating all three strains into a single tablet. This format would be the simplest to administer but would take away some of the flexibility advantages that separate tablets would afford. We will assess the final formulation of our tablet vaccine candidates after conducting market studies to evaluate market acceptance closer to commercialization.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Influenza Clinical Trials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To date, we have completed two Phase 1 trials and have conducted the active portion of a Phase 2 challenge trial of our H1N1 influenza vaccine candidate. We have also completed a Phase 1 trial of an influenza B vaccine candidate (B Yamagata lineage).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H1N1 Influenza Phase 2 Challenge Study Funded by HHS BARDA</w:t>
      </w:r>
    </w:p>
    <w:p>
      <w:pPr>
        <w:spacing w:after="0" w:line="229"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18"/>
          <w:szCs w:val="18"/>
          <w:color w:val="auto"/>
        </w:rPr>
        <w:t>In 2015, we were awarded a $13.9 million contract by BARDA, part of the HHS. This two-year contract was awarded under a Broad Agency Announcement issued to support the advanced development of more effective influenza vaccines to improve seasonal and pandemic influenza preparedness. The contract primarily funded a Phase 2 challenge study in human volunteers, designed to evaluate whether our H1N1 tablet vaccine candidate offers broader and more durable protection than currently marketed injectable vaccines. The contract with HHS BARDA was subsequently increased to $15.7 million and the term was extended until September 2018.</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this Phase 2 study, volunteers were randomized into three groups. One group received our oral H1N1 influenza tablet vaccine candidate, a second group received a commercially licensed inactivated influenza vaccine by intramuscular injection, and a third group received placebo. Three months following immunization, volunteers were challenged (deliberate experimental administration) with live H1N1 (A/H1N1 pdm09) influenza virus by intranasal administration. The placebo group served as the control group to determine how many unvaccinated volunteers became infected and how severe their influenza symptoms became. Data from our vaccine candidate group and the commercially licensed inactivated vaccine group were compared to placebo to determine each vaccine’s efficacy in this challenge study. Importantly, the two vaccines were also compared head-to-head. The goal of the study was to compare the efficacy of our vaccine to protect volunteers from illness caused by H1N1 influenza challenge, compared to both the injectable vaccine and placebo three months after immunization.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VXA-CHAL-201</w:t>
      </w:r>
    </w:p>
    <w:p>
      <w:pPr>
        <w:spacing w:after="0" w:line="229" w:lineRule="exact"/>
        <w:rPr>
          <w:sz w:val="20"/>
          <w:szCs w:val="20"/>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auto"/>
        </w:rPr>
        <w:t>The Phase 2 challenge study was enrolled during 2016 and 2017. During this time, 179 subjects that cleared the screening requirements were randomized to receive a single dose of our tablet vaccine, the commercial injectable vaccine, or placebo. Of these 179 subjects, 143 subjects were subsequently challenged with live H1N1 influenza virus 90 to 120 days after dosing.</w:t>
      </w:r>
    </w:p>
    <w:p>
      <w:pPr>
        <w:spacing w:after="0" w:line="172" w:lineRule="exact"/>
        <w:rPr>
          <w:sz w:val="20"/>
          <w:szCs w:val="20"/>
          <w:color w:val="auto"/>
        </w:rPr>
      </w:pPr>
    </w:p>
    <w:p>
      <w:pPr>
        <w:ind w:left="660" w:right="140" w:hanging="328"/>
        <w:spacing w:after="0" w:line="259"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Safety. </w:t>
      </w:r>
      <w:r>
        <w:rPr>
          <w:rFonts w:ascii="Times New Roman" w:cs="Times New Roman" w:eastAsia="Times New Roman" w:hAnsi="Times New Roman"/>
          <w:sz w:val="18"/>
          <w:szCs w:val="18"/>
          <w:color w:val="auto"/>
        </w:rPr>
        <w:t>The side effects of the vaccines and placebo in the first seven days following administration were generally mild. In the first seven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administration, the solicited adverse events reported in the vaccine and placebo groups were mostly grade 1 in severity, and none were above grade 2. The most frequent solicited adverse event was headache in our tablet vaccine group (7%), injection site tenderness in the commercially licensed inactivated vaccine group (26%) and headache in the placebo group (19%). There were no serious adverse events and no new onsets of chronic illnesses related to our vaccine adjuvant recorded during the follow up period of the study.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Efficacy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Reduction of PCR Confirmed Influenza Illness.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primary efficacy objective was to determine vaccine efficacy of our tablet vaccine following the challenge with the wild-type influenza A H1 virus strain (A/H1N1 pdm09). The primary efficacy endpoint was illness. The illness rate was 29% for our tablet vaccine, 35% for the commercial inactivated influenza vaccine, and 48% for subjects in the placebo group. Our tablet vaccine had a lower rate of illness than the commercial vaccine (-6% difference in illness rate in favor of our vaccine), although given the small size of the study, these differences were not statistically significant. Similarly, the difference in illness rates between our tablet vaccine and placebo (-19.1%) and the commercial injected vaccine and placebo (-13.2%) trended toward protection but were not statistically significant. These results suggest that our vaccine is no worse, and trended better than the commercial vaccine for protection. These results are summarized in Table 2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2. </w:t>
      </w:r>
      <w:r>
        <w:rPr>
          <w:rFonts w:ascii="Times New Roman" w:cs="Times New Roman" w:eastAsia="Times New Roman" w:hAnsi="Times New Roman"/>
          <w:sz w:val="18"/>
          <w:szCs w:val="18"/>
          <w:color w:val="auto"/>
        </w:rPr>
        <w:t>H1 Influenza Phase 2 Challenge Study: Illness Rates*.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3"/>
              </w:rPr>
              <w:t>VAXART-</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6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VAXART</w:t>
            </w:r>
          </w:p>
        </w:tc>
        <w:tc>
          <w:tcPr>
            <w:tcW w:w="760" w:type="dxa"/>
            <w:vAlign w:val="bottom"/>
          </w:tcPr>
          <w:p>
            <w:pPr>
              <w:spacing w:after="0"/>
              <w:rPr>
                <w:sz w:val="20"/>
                <w:szCs w:val="20"/>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3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640" w:type="dxa"/>
            <w:vAlign w:val="bottom"/>
          </w:tcPr>
          <w:p>
            <w:pPr>
              <w:spacing w:after="0"/>
              <w:rPr>
                <w:sz w:val="20"/>
                <w:szCs w:val="20"/>
                <w:color w:val="auto"/>
              </w:rPr>
            </w:pPr>
          </w:p>
        </w:tc>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Placebo</w:t>
            </w:r>
          </w:p>
        </w:tc>
      </w:tr>
      <w:tr>
        <w:trPr>
          <w:trHeight w:val="216"/>
        </w:trPr>
        <w:tc>
          <w:tcPr>
            <w:tcW w:w="6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 CI)</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 CI)</w:t>
            </w:r>
          </w:p>
        </w:tc>
        <w:tc>
          <w:tcPr>
            <w:tcW w:w="23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Rate Difference (95% CI)</w:t>
            </w:r>
          </w:p>
        </w:tc>
        <w:tc>
          <w:tcPr>
            <w:tcW w:w="6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 CI)</w:t>
            </w:r>
          </w:p>
        </w:tc>
      </w:tr>
      <w:tr>
        <w:trPr>
          <w:trHeight w:val="234"/>
        </w:trPr>
        <w:tc>
          <w:tcPr>
            <w:tcW w:w="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(18.1, 42.7)</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(22.7, 49.4)</w:t>
            </w:r>
          </w:p>
        </w:tc>
        <w:tc>
          <w:tcPr>
            <w:tcW w:w="23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-5.9 (-24.3, 12.5)</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(30.2, 66.9)</w:t>
            </w:r>
          </w:p>
        </w:tc>
      </w:tr>
    </w:tbl>
    <w:p>
      <w:pPr>
        <w:spacing w:after="0" w:line="177" w:lineRule="exact"/>
        <w:rPr>
          <w:sz w:val="20"/>
          <w:szCs w:val="20"/>
          <w:color w:val="auto"/>
        </w:rPr>
      </w:pPr>
    </w:p>
    <w:p>
      <w:pPr>
        <w:ind w:right="520"/>
        <w:spacing w:after="0" w:line="200" w:lineRule="auto"/>
        <w:rPr>
          <w:sz w:val="20"/>
          <w:szCs w:val="20"/>
          <w:color w:val="auto"/>
        </w:rPr>
      </w:pPr>
      <w:r>
        <w:rPr>
          <w:rFonts w:ascii="Times New Roman" w:cs="Times New Roman" w:eastAsia="Times New Roman" w:hAnsi="Times New Roman"/>
          <w:sz w:val="18"/>
          <w:szCs w:val="18"/>
          <w:i w:val="1"/>
          <w:iCs w:val="1"/>
          <w:color w:val="auto"/>
        </w:rPr>
        <w:t>*Illness was defined as a combination of symptoms reported on a patient reported outcome tool (Flu-PRO</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and quantitative reverse transcriptase polymerase chain reaction (qRT-PCR) detectable shed influenza virus.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Efficacy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Shedding</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Shedding represents influenza virus that is detected in nasal swabs post infection and is representative of viral infection and replication. In the study, 44.8% of subjects in VXA-A1.1 had at least one day positive for shedding, versus the commercial injected vaccine where 53.7% were positive for shedding and where 71.0% of placebo subjects were positive for shedding. There were no statistically significant differences observed between our tablet vaccine and the commercial inactivated influenza vaccine for viral shedding area under the curve (“AUC”). However, AUC was calculated using a standard logarithmic trapezoidal method and included only detectable shedding during the first five days of the duration of shedding, with subjects removed from the analysis that didn’t shed influenza for five days (a zero value cannot be used in log calculations and integrated). This may have led to an underestimate of the effect on viral shedding for the two vaccines relative to placebo. Therefore, in order to better determine the effect of the vaccines on shedding, an alternative method was used in which volunteers were defined as infected if they had detectable viral shedding at any time 36 hours after challenge. This approach eliminated possible issues related to calculations (log calculations of zero values) and of large doses of challenge virus (first 36 hours might be pass through rather than replicating influenza). In a Bayesian analysis, both vaccines significantly reduced the probability of shedding relative to placebo (Bayesian posterior p=0.001 for our tablet vaccine and p=0.009 for the commercial inactivated influenza vaccine). There is also trend toward greater efficacy for our vaccine with a posterior probability of approximately 80% (</w:t>
      </w:r>
      <w:r>
        <w:rPr>
          <w:rFonts w:ascii="Times New Roman" w:cs="Times New Roman" w:eastAsia="Times New Roman" w:hAnsi="Times New Roman"/>
          <w:sz w:val="18"/>
          <w:szCs w:val="18"/>
          <w:b w:val="1"/>
          <w:bCs w:val="1"/>
          <w:color w:val="auto"/>
        </w:rPr>
        <w:t>Table 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3. </w:t>
      </w:r>
      <w:r>
        <w:rPr>
          <w:rFonts w:ascii="Times New Roman" w:cs="Times New Roman" w:eastAsia="Times New Roman" w:hAnsi="Times New Roman"/>
          <w:sz w:val="18"/>
          <w:szCs w:val="18"/>
          <w:color w:val="auto"/>
        </w:rPr>
        <w:t>H1 Influenza Phase 2 Challenge Study: Infection Rates*.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Treatment Arm</w:t>
            </w:r>
          </w:p>
        </w:tc>
        <w:tc>
          <w:tcPr>
            <w:tcW w:w="1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w:t>
            </w:r>
          </w:p>
        </w:tc>
        <w:tc>
          <w:tcPr>
            <w:tcW w:w="2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Number Infected</w:t>
            </w: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Percent (95% CI)</w:t>
            </w:r>
          </w:p>
        </w:tc>
        <w:tc>
          <w:tcPr>
            <w:tcW w:w="21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Posterior P</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Placebo</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3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71% (55-85%)</w:t>
            </w:r>
          </w:p>
        </w:tc>
        <w:tc>
          <w:tcPr>
            <w:tcW w:w="21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44% (32-58%)</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0.009</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Vaxart Vaccine</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58</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3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36% (24-49%)</w:t>
            </w:r>
          </w:p>
        </w:tc>
        <w:tc>
          <w:tcPr>
            <w:tcW w:w="21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0.001</w:t>
            </w:r>
          </w:p>
        </w:tc>
      </w:tr>
    </w:tbl>
    <w:p>
      <w:pPr>
        <w:spacing w:after="0" w:line="196"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*Infection was defined as any positive quantitative reverse transcriptase polymerase chain reaction (qRT-PCR) detectable shed influenza virus on any day after 36 hours from viral challenge. In a Bayesian analysis, both vaccines provide a statistically significant protection against infection. There is also trend toward greater efficacy for our vaccine with a posterior probability of approximately 80%.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Trial. Influenza B (Yamagata lineage)</w:t>
      </w:r>
    </w:p>
    <w:p>
      <w:pPr>
        <w:spacing w:after="0" w:line="229"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7"/>
          <w:szCs w:val="17"/>
          <w:color w:val="auto"/>
        </w:rPr>
        <w:t>In 2015 and 2016, we conducted a randomized, double-blind, placebo-controlled Phase 1 trial to test the safety and immunogenicity of an influenza B tablet vaccine. A total of 54 healthy adults aged 18 to 49 were enrolled, with 38 receiving the vaccine and 16 receiving placebo. To participate in this trial, subjects were required to have an initial HAI measure of no greater than 1:20. The active phase of the trial was through day 28, with the follow-up phase for monitoring safety to continue for one year. All subjects who received the vaccine received a single dose of either 1 x 10</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color w:val="auto"/>
        </w:rPr>
        <w:t xml:space="preserve"> IU or 1 x 10</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17"/>
          <w:szCs w:val="17"/>
          <w:color w:val="auto"/>
        </w:rPr>
        <w:t xml:space="preserve"> IU on Day 0.</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The side effects of the vaccine or placebo in the first seven days following administration were generally mild with no serious adverse events.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notable differences between the active dose groups and placebo in safety and tolerability.</w:t>
      </w:r>
    </w:p>
    <w:p>
      <w:pPr>
        <w:spacing w:after="0" w:line="203" w:lineRule="exact"/>
        <w:rPr>
          <w:sz w:val="20"/>
          <w:szCs w:val="20"/>
          <w:color w:val="auto"/>
        </w:rPr>
      </w:pPr>
    </w:p>
    <w:p>
      <w:pPr>
        <w:ind w:right="460" w:firstLine="324"/>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HAI</w:t>
      </w:r>
      <w:r>
        <w:rPr>
          <w:rFonts w:ascii="Times New Roman" w:cs="Times New Roman" w:eastAsia="Times New Roman" w:hAnsi="Times New Roman"/>
          <w:sz w:val="18"/>
          <w:szCs w:val="18"/>
          <w:color w:val="auto"/>
        </w:rPr>
        <w:t>. In the placebo group, HAI GMT remained essentially unchanged (1:33) at day 28 post dosing. The GMFR of HAI titers both active treated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groups at day 28 post dosing was about 2-fold, and independent of dose. For the vaccinated groups receiving either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or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seroconversion was observed in 5/19 subjects (26.3%) and 3/19 subjects (15.8%), respectively. There were no seroconversions in the placebo group.</w:t>
      </w:r>
    </w:p>
    <w:p>
      <w:pPr>
        <w:spacing w:after="0" w:line="194" w:lineRule="exact"/>
        <w:rPr>
          <w:sz w:val="20"/>
          <w:szCs w:val="20"/>
          <w:color w:val="auto"/>
        </w:rPr>
      </w:pPr>
    </w:p>
    <w:p>
      <w:pPr>
        <w:ind w:right="120" w:firstLine="324"/>
        <w:spacing w:after="0" w:line="20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Antibody Secreting Cells (ASCs). </w:t>
      </w:r>
      <w:r>
        <w:rPr>
          <w:rFonts w:ascii="Times New Roman" w:cs="Times New Roman" w:eastAsia="Times New Roman" w:hAnsi="Times New Roman"/>
          <w:sz w:val="18"/>
          <w:szCs w:val="18"/>
          <w:color w:val="auto"/>
        </w:rPr>
        <w:t>In order to measure total antibody responses to HA, the numbers of circulating B cells that recognize influenza HA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peripheral blood were measured by ASC assay on days 0 and 7 after immunization. Results show that ASCs could be reliably measured on day 7 in the vaccine-treated groups. Background ASCs were generally negligible on day 0. By IgG ASC, 68% of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dose subjects responded, and 84% of subjects in the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dose group responded. For the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dose vaccine treated group, an average of 21 IgA ASCs (95% CI: 7 – 35) and 73 IgG ASCs (95% CI: 35 – 111) each per 1×10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peripheral blood mononuclear cell (PBMC) were found at day 7. For the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dose vaccine treated group, an average of 16 IgA ASCs (95% CI: 2 – 29) and 44 IgG ASCs (95% CI: 21 – 66) were found at day 7. The placebo group had no responders, and negligible average number of spots (1 or less) on Day 7 (95% CI: -0.6 – -2).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continue to advance our avian influenza program. We previously published data demonstrating protection in a preclinical model against avian influenza after oral immunization (Clin Vaccine Immunol 2013). In 2025, we completed a preclinical study with a newly created avian influenza vaccine candidate to cover the latest clade 2.3.4.4b H5N1 avian influenza strain. This vaccine candidate was 100% protective against death in a robust ferret clade 2.3.4.4b challenge model, compared with 0% survival in placebo-treated animals. Vaxart intends to publish the results of this preclinical study in a peer-reviewed publication.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The Company intends to work with governments around the world to create pandemic monovalent influenza vaccines for emergency use or stockpiling, if requested. We are also continuing development of our preclinical seasonal influenza vaccine candidate.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HPV Therapeutic Vaccine Program</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HPV is a family of more than 120 viruses which are extremely common globally. At least 13 HPV types are cancer-causing. HPV is primarily transmitted through sexual contact and infection is very prevalent following the onset of sexual activity. Nearly all cases of cervical cancer are attributable to HPV infection, with two HPV types – HPV-16 and HPV-18 – responsible for 70% of cervical cancers and precancerous cervical lesions. Cervical cancer is the fourth most common cancer in women worldwide, and about 13,000 new cases are diagnosed annually in the U.S. according to the National Cervical Cancer Coalition. Studies have indicated a high lifetime probability of any HPV infection by both men and women in the U.S., with some estimates indicating at least 80% of women and men acquire HPV by age 45. The CDC estimates 80 million U.S. citizens are currently infected with HPV, representing 25% of the population, with about 14 million new infections per year.</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women, many HPV infections of the cervix will spontaneously resolve and clear within two to three years, but women who have a persistent infection are at high risk of developing cellular abnormalities known as cervical intraepithelial neoplasia (“CIN”), which can progress to invasive cancer over time. More than 400,000 women are diagnosed with CIN annually in the U.S., with an annual incidence estimate for CIN1 and CIN2/3 at 1.6 and 1.2 per 1,000 women, respectively.</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are currently no approved therapeutic vaccines to treat HPV infection or cancer. Current treatment options for women infected with HPV include monitoring CIN status, surgical procedures to remove affected tissue, and chemotherapeutic or radiation therapies to treat localized or metastatic cervical cancer. Therefore, a medical need remains for a therapeutic vaccine to treat women with HPV-associated CIN and/or cervical cancer.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HPV Therapeutic Vaccine Candidate</w:t>
      </w:r>
    </w:p>
    <w:p>
      <w:pPr>
        <w:spacing w:after="0" w:line="22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We are in the early stages of developing a bivalent HPV vaccine against HPV-16 and HPV-18, the strains responsible for approximately 70% of cases of cervical cancer. We plan to target the E6 and E7 gene products of each strain, which are the primary oncogenic proteins responsible for progression through the stages of CIN to invasive cervical cancer. In pre-clinical studies, we have demonstrated immunogenicity for both our HPV-16 and our HPV-18 vaccine candidates. Specifically, mice given our HPV-16 or HPV-18 vaccines induced T cell responses to HPV as measured by IFN gamma ELISPOT. In addition, our HPV-16 vaccine has demonstrated tumor growth suppression as well as increased survival in a robust HPV tumor model in mice.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will need to make a regulatory filing to proceed with clinical trials for an HPV vaccine candidate. Our clinical plan is to test the vaccine candidate in subjects with cervical dysplasia related to HPV-16 or HPV-18, and to evaluate the ability of the vaccine candidate to clear HPV infection, reduce the cervical dysplasia score, and induce T cells known to be important in the clearance of HPV. The primary endpoint will be safety and the secondary endpoint will be immunogenicity by examining T cell responses. Although clinical responses will be tracked, it is expected that the first study may not be powered to obtain statistically significant efficacy readouts.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Anti-Virals</w:t>
      </w:r>
    </w:p>
    <w:p>
      <w:pPr>
        <w:spacing w:after="0" w:line="229" w:lineRule="exact"/>
        <w:rPr>
          <w:sz w:val="20"/>
          <w:szCs w:val="20"/>
          <w:color w:val="auto"/>
        </w:rPr>
      </w:pPr>
    </w:p>
    <w:p>
      <w:pPr>
        <w:ind w:left="340" w:right="60" w:hanging="170"/>
        <w:spacing w:after="0" w:line="255"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2018 Merger with Aviragen, we acquired two royalty earning products, Relenza and Inavir. We also acquired three Phase 2 clinical stage antiviral compounds, of which we have discontinued independent clinical development. However, for one of these, Vapendavir, we have entered into an exclusive worldwide license agreement with Altesa Biosciences, Inc. (“Altesa”) in July 2021, permitting Altesa to develop and commercialize this capsid-binding broad-spectrum antiviral. In May 2025, Altesa announced positive top line results from its Phase 2 placebo-controlled study examining the effects of Vapendavir in COPD patients challenged with rhinovirus. Altesa subsequently communicated their intention to run a randomized placebo-controlled Phase 2b trial that will enroll 900 COPD patients to examine the safety and efficacy of Vapendavir to treat rhinovirus infections in patients with COPD. In February 2026, Altesa announced a $75 million Series B funding round to support the Phase 2b study.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right="60" w:hanging="170"/>
        <w:spacing w:after="0" w:line="25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Relenza and Inavir are antivirals for the treatment of influenza, marketed by GlaxoSmithKline, plc (“GSK”) and Daiichi Sankyo Company, Limited (“Daiichi Sankyo”), respectively. We have earned royalties on the net sales of Relenza and Inavir in Japan. The last patent for Relenza expired in July 2019 and based on information provided by Daiichi Sankyo, the last patent for Inavir expires in August 2036. Sales of these antivirals vary significantly by quarter, because influenza virus activity displays strong seasonal cycles, and by year depending on the intensity and duration of the flu season, the impact COVID-19 has had, and may continue to have, on seasonal influenza, and competition from other antivirals such as Tamiflu and Xofluza.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Manufacturing our oral tablet vaccines consists of two main stages, the production of bulk vaccine (drug substance), and the formulation and tableting thereof (drug product). Drug substance manufacturing consists primarily of the production and purification of the active ingredient. Bulk drug substance is then lyophilized, formulated and subsequently tableted and coated using a proprietary formulation and tableting process that we developed.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Bulk Vaccine Manufacturing (Drug Substance)</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From inception, we relied on a combination of third-party contract manufacturers and in-house facilities to manufacture clinical cGMP bulk drug substance for our tablet vaccine candidates. Starting in 2017, we invested in developing our own bulk vaccine manufacturing process with the aim to establish a small cGMP bulk manufacturing facility at our corporate headquarters in California for manufacturing cGMP product for our Phase 1 and small Phase 2 trials. We expanded in November 2021 by subleasing another GMP manufacturing facility which we use to perform the same bulk manufacturing processes in-house.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 Tablet Manufacturing (Drug Product)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From inception we contracted with third-party contract manufacturers for the manufacture, labeling, packaging, storage, and distribution of our drug product. In 2016, we established drug product manufacturing capabilities at our corporate headquarters. Our facility is licensed by the State of California Department of Public Health Food and Drug Branch to manufacture drug product for clinical trials. We have also built a new GMP facility in California for tableting, coating and packaging of our vaccine candidates.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limited experience with process development, and the manufacture, testing, quality release, storage and distribution of drug substance and drug product according to cGMP and regulatory filings. The cGMP regulations include requirements relating to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Our facilities, and our third-party manufacturers, are subject to periodic inspections by FDA and local authorities, which include, but are not limited to procedures and operations used in the testing and manufacture of our vaccine candidates to assess our compliance with applicable regulations. If we or our third-part manufacturers fail to comply with statutory and regulatory requirements we and they could be subject to possible legal or regulatory action, including warning letters, the seizure or recall of products, injunctions, consent decrees placing significant restrictions on or suspending manufacturing operations and civil and criminal penalties. These actions could have a material adverse impact on the availability of our tablet vaccine candidates. Similar to contract manufacturers, we have in the past encountered difficulties involving production yields, quality control and quality assurance, and if we are not able to produce drug product or drug substance in sufficient quantities our ability to conduct our clinical trials and commercialize our tablet vaccine candidates, if approved, will be impaired.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third parties, such as clinical research organizations, medical institutions, clinical investigators and contract laboratories, to conduct our clinical trials and aspects of our research and preclinical testing. These third parties provide project management and monitoring services and regulatory consulting and investigative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pharmaceutical and vaccine industries are characterized by intense competition to develop new technologies and proprietary products. In general, competition among pharmaceutical products is based in part on product efficacy, safety, reliability, availability, price and patent position.</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While we believe that our proprietary tablet vaccine candidates provide competitive advantages, we face competition from many different sources, including biotechnology and pharmaceutical companies, and we may also face competition from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can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face competition from smaller companies who, like us, rely on investors to fund research and development and compete for co-development and licensing opportunities from large and established pharmaceutical companies. We may also face significant competition in pursuing partnership opportunities and strategic acquisitions from other companies, financial investors and enterprises whose cost of capital may be lower than ours. Competition for future partnerships or asset acquisition opportunities in our markets is intense and we may be forced to increase the price we pay for such assets.</w:t>
      </w:r>
    </w:p>
    <w:p>
      <w:pPr>
        <w:spacing w:after="0" w:line="183"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also depend upon our ability to attract and retain qualified personnel, obtain patent protection or otherwise develop proprietary products or processes and secure sufficient capital resources for the development and commercialization of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Norovirus Vaccine Candidate</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January 2026, there are no vaccines approved by the FDA or other global regulatory agencies for the prevention of norovirus. We are aware that Moderna, Inc. and Merck, Inc. are developing norovirus vaccines that would be delivered by injection. Other companies reporting development of a norovirus vaccine candidate are Anhui Zhifei Longcom Biopharmaceutical Co. Ltd., Chongqing Zhifei Biological Products Co., Ltd., and the National Vaccine and Serum Institute of China. In addition, we are aware of Cocrystal Pharma, Inc. reporting development of an oral antiviral for norovirus. There may be other development programs that we are not aware of.</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Vaccine Candidate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There is significant competition in the COVID-19 vaccine market. Pfizer-BioNTech’s COVID-19 vaccine, Moderna’s COVID-19 vaccine, and Novavax’s COVID-19 vaccine have been approved in the U.S. and many countries around the world.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Influenza Vaccine Candidate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our seasonal influenza vaccine candidate would compete directly with approved vaccines in the market, which include non-recombinant and recombinant products that are administered via injection or intranasally. Major players include AstraZeneca plc, CSL Ltd., Emergent BioSolutions Inc., F. Hoffmann-La Roche AG, GSK PLC, Instituto Butantan, Merck &amp; Co., Inc., Pfizer, Inc., Sanofi S.A., and Sinovac Biotech Ltd. Novel influenza programs are being developed by Centivax, Inc., Emergent BioSolutions, GSK plc, and Moderna, Inc. Antiviral programs targeting influenza are in development or marketed by F. Hoffmann-La Roche AG. and Merck &amp; Co.,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HPV Therapeutic Vaccine Candidate</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January 2026, there are no therapeutic vaccines approved by the FDA or other global regulatory agencies for the treatment of HPV; however, a number of vaccine manufacturers, academic institutions and other organizations currently have, or have had, programs to develop such a vaccine. We believe that several companies are in various stages of developing an HPV therapeutic vaccine including Inovio Pharmaceuticals, Inc., Genexine Inc., and several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Inavir</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number of competing anti-influenza antivirals are marketed in Japan, including Xofluza, Tamiflu, Rapiacta, and Relenza. Xofluza is marketed by Shionogi &amp; Co., Ltd. and currently believed to be the market leader in Japan, substantially reducing the sales of Inavir in Japan by Daiichi Sankyo. This has had a significant negative impact on the royalty payments we have received from Daiichi Sankyo and may continue to have a significant negative impact on our future royalty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our proprietary technology, inventions and improvements that are commercially important to our business by seeking, maintaining, and defending patent rights. We also rely on trade secrets relating to our platform and on know-how, continuing technological innovation to develop, strengthen and maintain our proprietary position in the vaccine field. In addition, we rely on regulatory protection afforded through data exclusivity, market exclusivity and patent term extensions where available. We also utilize trademark protection for our company name and expect to do so for products and/or services as they are marketed.</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tablet vaccine candidates may depend on the extent to which we have rights under valid and enforceable patents or trade secrets that cover these activities. With respect to company-owned intellectual property, we cannot be sure that patents will be granted with respect to any of our pending patent applications or with respect to any patent applications we may file in the future, nor can we be sure that any of our existing patents or any patents that may be granted to us in the future will be commercially useful in protecting our commercial products and methods of manufacturing the same.</w:t>
      </w:r>
    </w:p>
    <w:p>
      <w:pPr>
        <w:spacing w:after="0" w:line="18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have developed numerous patents and patent applications and own substantial know-how and trade secrets related to our platform and tablet vaccine candidates.</w:t>
      </w:r>
    </w:p>
    <w:p>
      <w:pPr>
        <w:spacing w:after="0" w:line="158" w:lineRule="exact"/>
        <w:rPr>
          <w:sz w:val="20"/>
          <w:szCs w:val="20"/>
          <w:color w:val="auto"/>
        </w:rPr>
      </w:pPr>
    </w:p>
    <w:p>
      <w:pPr>
        <w:jc w:val="both"/>
        <w:ind w:left="660" w:right="20" w:hanging="328"/>
        <w:spacing w:after="0" w:line="274" w:lineRule="auto"/>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Vaccine Platform Technology</w:t>
      </w:r>
      <w:r>
        <w:rPr>
          <w:rFonts w:ascii="Times New Roman" w:cs="Times New Roman" w:eastAsia="Times New Roman" w:hAnsi="Times New Roman"/>
          <w:sz w:val="17"/>
          <w:szCs w:val="17"/>
          <w:color w:val="auto"/>
        </w:rPr>
        <w:t>. As of December 31, 2025, we held three U.S. patents with claims relating to our platform technology. Two of these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patents include claims related to our seasonal influenza vaccine candidate. These patents will expire in 2027, or later if patent term extension applies. As of December 31, 2025, we held more than 45 issued foreign patents related to our platform technology and/or our vaccine candidates.</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patents will expire in 2027, or later if patent term extension applies.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right="100" w:hanging="328"/>
        <w:spacing w:after="0" w:line="26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Tablet Vaccine Formulation</w:t>
      </w:r>
      <w:r>
        <w:rPr>
          <w:rFonts w:ascii="Times New Roman" w:cs="Times New Roman" w:eastAsia="Times New Roman" w:hAnsi="Times New Roman"/>
          <w:sz w:val="18"/>
          <w:szCs w:val="18"/>
          <w:color w:val="auto"/>
        </w:rPr>
        <w:t>. We own considerable know-how and as of December 31, 2025, held over 25 foreign patents, including in a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European countries, Canada, Japan, China, South Korea, Singapore, Australia, Russia, Israel, Indonesia, Vietnam, the Eurasian Patent Organization and South Africa. We also have one application pending in the U.S. Patents issuing from these applications will expire in 2035, or later if patent term extension applies.</w:t>
      </w:r>
    </w:p>
    <w:p>
      <w:pPr>
        <w:spacing w:after="0" w:line="176" w:lineRule="exact"/>
        <w:rPr>
          <w:rFonts w:ascii="Times New Roman" w:cs="Times New Roman" w:eastAsia="Times New Roman" w:hAnsi="Times New Roman"/>
          <w:sz w:val="18"/>
          <w:szCs w:val="18"/>
          <w:color w:val="auto"/>
        </w:rPr>
      </w:pPr>
    </w:p>
    <w:p>
      <w:pPr>
        <w:ind w:left="660" w:right="340" w:hanging="328"/>
        <w:spacing w:after="0" w:line="268"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COVID-19 Vaccine Candidate</w:t>
      </w:r>
      <w:r>
        <w:rPr>
          <w:rFonts w:ascii="Times New Roman" w:cs="Times New Roman" w:eastAsia="Times New Roman" w:hAnsi="Times New Roman"/>
          <w:sz w:val="18"/>
          <w:szCs w:val="18"/>
          <w:color w:val="auto"/>
        </w:rPr>
        <w:t>. As of December 31, 2025, we have filed a PCT application and have pending applications in the U.S., EPO,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Australia, Canada, China, Japan, South Korea, India, and South Africa relating to our COVID-19 vaccine candidate. Any patents issuing from these pending applications will expire in 2041/2042, or later if patent term extension applies.</w:t>
      </w:r>
    </w:p>
    <w:p>
      <w:pPr>
        <w:spacing w:after="0" w:line="17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Norovirus Vaccine Tablet Candidates</w:t>
      </w:r>
      <w:r>
        <w:rPr>
          <w:rFonts w:ascii="Times New Roman" w:cs="Times New Roman" w:eastAsia="Times New Roman" w:hAnsi="Times New Roman"/>
          <w:sz w:val="18"/>
          <w:szCs w:val="18"/>
          <w:color w:val="auto"/>
        </w:rPr>
        <w:t>. As of December 31, 2025, we have filed a provisional application in the U.S. and held two U.S. patents,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over 20 patents in foreign countries including a number of European countries, Australia, Japan, South Korea, South Africa, The African Regional Intellectual Property Organization (ARIPO), and New Zealand, and have pending applications in the U.S., China, Canada, the EPO, and the Eurasian Patent Organization. Any patents issuing from these applications will expire in 2036, or later if patent term extension applies.</w:t>
      </w:r>
    </w:p>
    <w:p>
      <w:pPr>
        <w:spacing w:after="0" w:line="176"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Influenza Vaccine Candidates</w:t>
      </w:r>
      <w:r>
        <w:rPr>
          <w:rFonts w:ascii="Times New Roman" w:cs="Times New Roman" w:eastAsia="Times New Roman" w:hAnsi="Times New Roman"/>
          <w:sz w:val="18"/>
          <w:szCs w:val="18"/>
          <w:color w:val="auto"/>
        </w:rPr>
        <w:t>. We have been issued 13 foreign patents as of December 31, 2025 relating to our current H1N1 influenza vaccine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 These patents will expire in 2030, or later if patent term extension applies.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PCT applications relating to improved adenoviral vectors and antibodies to norovirus antigens have been filed.</w:t>
      </w:r>
    </w:p>
    <w:p>
      <w:pPr>
        <w:spacing w:after="0" w:line="248" w:lineRule="exact"/>
        <w:rPr>
          <w:rFonts w:ascii="Times New Roman" w:cs="Times New Roman" w:eastAsia="Times New Roman" w:hAnsi="Times New Roman"/>
          <w:sz w:val="18"/>
          <w:szCs w:val="18"/>
          <w:color w:val="auto"/>
        </w:rPr>
      </w:pPr>
    </w:p>
    <w:p>
      <w:pPr>
        <w:ind w:left="660" w:right="240" w:hanging="328"/>
        <w:spacing w:after="0" w:line="26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Inavir</w:t>
      </w:r>
      <w:r>
        <w:rPr>
          <w:rFonts w:ascii="Times New Roman" w:cs="Times New Roman" w:eastAsia="Times New Roman" w:hAnsi="Times New Roman"/>
          <w:sz w:val="18"/>
          <w:szCs w:val="18"/>
          <w:color w:val="auto"/>
        </w:rPr>
        <w:t>. As of December 31, 2025, we own Japanese patents related to Inavir, which is exclusively licensed to Daiichi Sankyo.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provided by Daiichi Sankyo, the last patent related to Inavir in Japan is set to expire in August 2036, at which time royalty revenue will cease. However, the patent covering the laninamivir octanoate compound expired in 2024, opening the market for generic competition, potentially decreasing or eliminating the royalties received.</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date of filing the non-provisional application. In the U.S., a patent’s term may be lengthened by patent term adjustment, which compensates a patentee for administrative delays by the U.S. Patent and Trademark Office in granting a patent, or may be shortened if a patent is terminally disclaimed over an earlier-filed patent.</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may also be eligible for patent term extension, which permits patent term restoration of a U.S. patent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A patent term extension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other foreign jurisdictions to extend the term of a patent that covers an approved drug. When possible, depending upon the length of clinical trials and other factors involved in the filing of a new drug application, or NDA, we expect to apply for patent term extensions for patents covering our vaccine candidates and their methods of use.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rely, in some circumstances, on trade secrets to protect our technology.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procedures,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Federal, state and local government authorities in the U.S.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biological and pharmaceutical products such as those we are developing. Our vaccine candidates must be approved by the FDA before they may be legally marketed in the U.S. and by the appropriate foreign regulatory agency before they may be legally marketed in foreign countries. Generally, our activities in other countries will be subject to regulation that is similar in nature and scope as that imposed in the U.S., even though it may differ in certain respects. The process for obtaining regulatory marketing approvals and the subsequent compliance with appropriate federal, state, local and foreign statutes and regulations require the expenditure of substantial time and financial resources. The rules and regulations that apply to our business are subject to change and it is difficult to foresee whether, how, or when such changes may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Product Development Process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U.S., the FDA regulates pharmaceutical and biological products under the Federal Food, Drug and Cosmetic Act, Public Health Service Act, or PHSA, and implementing regulations.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or biological product may be marketed in the U.S. generally involves the following:</w:t>
      </w:r>
    </w:p>
    <w:p>
      <w:pPr>
        <w:spacing w:after="0" w:line="188" w:lineRule="exact"/>
        <w:rPr>
          <w:sz w:val="20"/>
          <w:szCs w:val="20"/>
          <w:color w:val="auto"/>
        </w:rPr>
      </w:pPr>
    </w:p>
    <w:p>
      <w:pPr>
        <w:ind w:left="660" w:right="30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GLPs, and applicable requirements for the humane use of laboratory animals or other applicable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52"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(“GCP”), and any additional requirements for the protection of human research subjects and their health information, to establish the safety and efficacy of the proposed biological product for its intended use;</w:t>
      </w:r>
    </w:p>
    <w:p>
      <w:pPr>
        <w:spacing w:after="0" w:line="175"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 Biologics License Application (“BLA”) for marketing approval that meets applicable requirements to ensure the continued safety, purity, and potency of the product that is the subject of the BLA based on results of nonclinical testing and clinical trials;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4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that generated the data in support of the BLA;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5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Before testing any biological vaccine candidate, including our tablet vaccine candidates, in humans, the vaccine candidate enters the preclinical testing stage. Preclinical tests, also referred to as nonclinical studies, include laboratory evaluations of product chemistry, toxicity and formulation, as well as toxicological and pharmacological studies in animal species, to assess the potential safety and activity of the vaccine candidate. The conduct of the preclinical tests must comply with federal regulations and requirements including GLPs for certain animal studies and the Animal Welfare Act, which is enforced by the Department of Agriculture.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Any person or entity sponsoring clinical trials in the U.S. to evaluate a product candidate’s safety and effectiveness must submit to the FDA, prior to commencing such trials, an IND application, which provides a basis for the FDA to conclude that there is an adequate basis for testing the product in humans.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are subject to extensive regulation. Clinical trials must be conducted and monitored in accordance with the FDA’s bioresearch monitoring regulations and regulations composing the GCP requirements, including the requirement that all research subjects provide informed consent.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spacing w:after="0" w:line="1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Foreign studies conducted under an IND must meet the same requirements applicable to studies conducted in the U.S. However, if a foreign study is not conducted under an IND, the data may still be submitted to the FDA in support of a product application, if the study was conducted in accordance with GCP and the FDA is able to validate the data.</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05" w:lineRule="exact"/>
        <w:rPr>
          <w:sz w:val="20"/>
          <w:szCs w:val="20"/>
          <w:color w:val="auto"/>
        </w:rPr>
      </w:pPr>
    </w:p>
    <w:p>
      <w:pPr>
        <w:ind w:left="660" w:right="8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biological product is initially introduced into a small number of healthy human subjects and tested for safety and to develop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profiles of its pharmacological and pharmacokinetic actions, determine side effects associated with increasing doses, and if possible, gain early evidence of effectiveness. In the case of some products for severe or life-threatening diseases, especially when the product may be too inherently toxic to ethically administer to healthy volunteers, the initial human testing is often conducted in subjects.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right="240" w:hanging="328"/>
        <w:spacing w:after="0" w:line="315" w:lineRule="auto"/>
        <w:tabs>
          <w:tab w:leader="none" w:pos="6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2</w:t>
      </w:r>
      <w:r>
        <w:rPr>
          <w:rFonts w:ascii="Times New Roman" w:cs="Times New Roman" w:eastAsia="Times New Roman" w:hAnsi="Times New Roman"/>
          <w:sz w:val="17"/>
          <w:szCs w:val="17"/>
          <w:color w:val="auto"/>
        </w:rPr>
        <w:t>. The biological product is evaluated in a limited patient population to identify possible adverse effects and safety risks, to preliminarily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 the efficacy of the product for specific targeted diseases and to determine dosage tolerance, optimal dosage and dosing schedule.</w:t>
      </w:r>
    </w:p>
    <w:p>
      <w:pPr>
        <w:spacing w:after="0" w:line="134" w:lineRule="exact"/>
        <w:rPr>
          <w:rFonts w:ascii="Times New Roman" w:cs="Times New Roman" w:eastAsia="Times New Roman" w:hAnsi="Times New Roman"/>
          <w:sz w:val="17"/>
          <w:szCs w:val="17"/>
          <w:color w:val="auto"/>
        </w:rPr>
      </w:pPr>
    </w:p>
    <w:p>
      <w:pPr>
        <w:ind w:left="660" w:right="300" w:hanging="328"/>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 to benefit profile of the product and provide an adequate basis for product labeling. Phase 3 data often form the core basis on which the FDA evaluates a product candidate’s safety and effectiveness when considering the product application.</w:t>
      </w:r>
    </w:p>
    <w:p>
      <w:pPr>
        <w:spacing w:after="0" w:line="18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subjects.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 The FDA may grant deferrals for submission of data, or full or partial waivers. The testing and approval processes require substantial time and effort and there can be no assurance that the FDA will accept the BLA for filing and, even if filed, that any approval will be granted on a timely basis, if at all.</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FDA performance goals generally provide for action on a BLA within 12 months of submission. That deadline can be extended under certain circumstances, including by the FDA’s requests for additional information.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a BLA without a REMS, if required.</w:t>
      </w:r>
    </w:p>
    <w:p>
      <w:pPr>
        <w:spacing w:after="0" w:line="19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The complete response letter may also request additional information, including additional preclinical or clinical data, for the FDA to reconsider the application. If a complete response letter is issued, the applicant may either resubmit the BLA, addressing all of the deficiencies identified in the letter, or withdraw the application.</w:t>
      </w:r>
    </w:p>
    <w:p>
      <w:pPr>
        <w:spacing w:after="0" w:line="19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8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Obtaining approval can take years, requires substantial resources and depends on a number of factors, including the severity of the targeted disease or condition, the availability of alternative treatments, and the risks and benefits demonstrated in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uses, if the physicians deem to be appropriate in their professional medical judgment, manufacturers may not market or promote such off-label uses. If ongoing regulatory requirements are not met, or if safety problems occur after a product reaches market, the FDA may take actions to change the conditions under which the product is marketed, including limiting, suspending or even withdrawing approval.</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19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tablet vaccine candidates under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the U.S., our activities are potentially subject to regulation by various federal, state and local authorities in addition to the FDA, including but not limited to, the Centers for Medicare and Medicaid Services, or CMS, other divisions of the U.S. Department of Health and Human Services, for instance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physician payment transparency laws, the privacy and security provisions of the Health Insurance Portability and Accountability Act, or HIPAA, as amended by the Health Information Technology and Clinical Health Act, or HITECH, and similar state laws, each as amended.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(“FCA”), as discussed below.</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federal FCA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HITECH Act,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thus complicating compliance efforts.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under the Affordable Care Act,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submit timely, accurately, and completely the required information may result in civil monetary penalties of up to an aggregate of $150,000 per year and up to an aggregate of $1 million per year for “knowing failures”. Certain states also mandate implementation of compliance programs, impose restrictions on pharmaceutical manufacturer marketing practices and/or require the tracking and reporting of gifts, compensation and other remuneration to healthcare providers and entities.</w:t>
      </w:r>
    </w:p>
    <w:p>
      <w:pPr>
        <w:spacing w:after="0" w:line="192"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In order to distribute products commercially, we must also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tablet vaccine candidates for which we obtain regulatory approval. In the U.S. and markets in other countries, sales of any products for which we receive regulatory approval for commercial sale will depend, in part, on the extent to which third-party payors provide coverage, and establish adequate reimbursement levels for such products. In the U.S.,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tablet vaccine candidates, in addition to the costs required to obtain the FDA approvals. Our tablet vaccine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countries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marketability of any tablet vaccine candidates for which it receives regulatory approval for commercial sale may suffer if the government and third-party payors fail to provide adequate coverage and reimbursement. In addition, emphasis on managed care in the U.S. has increased and we expect the pressure on healthcare pricing will continue to increase.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current and future U.S. legislative healthcare reforms may result in additional downward pressure on the price that we receive for any approved product, if covered,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tablet vaccine candidates. In addition, it is possible that there will be further legislation or regulation that could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Privacy and Security</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federal and state laws and regulations that regulate the use, security, and disclosure of certain types of personal data. These include the federal regulations promulgated under the authority of the Health Insurance Portability and Accountability Act of 1996 (“HIPAA”) that require us to provide certain protections to individuals regarding their health information. The HIPAA privacy and security regulations extensively regulate the use and disclosure of protected health information (“PHI”) and require covered entities, which include healthcare providers and health plans, and their business associates to implement and maintain administrative, physical, and technical safeguards to protect the security of such information. Additional security requirements apply to electronic PHI. These regulations also provide individuals with substantive rights with respect to their health information.</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HIPAA privacy and security regulations also require us to enter into written agreements with our covered entity customers and our subcontractors, also known as business associates, to whom we disclose PHI. Covered entities may be subject to penalties as a result of a business associate violating HIPAA, if the business associate is found to be an agent of the covered entity. Business associates are also directly subject to liability under certain HIPAA privacy and security regulations and may be found liable for the violations of their agents.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HIPAA requires covered entities to notify affected individuals of breaches of unsecured PHI without unreasonable delay but no later than 60 days after discovery of the breach. If a business associate is acting as an agent of a covered entity, then the covered entity must provide the required notifications to individuals based on the time when the business associate discovered the breach. Reporting must also be made to the HHS Office for Civil Rights (“OCR”) and, for breaches of unsecured PHI involving more than 500 residents of a state or jurisdiction, to the media.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and the state regulators in the event of a data breach involving personal information without regard to the probability of the information being compromised. State laws and standard practice often provide for shorter data breach reporting timelines than required by HIPAA.</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Violations of the HIPAA privacy and security regulations may result in criminal penalties and in substantial civil penalties per violation. The civil penalties are adjusted annually based on updates to the consumer price index. OCR is required to perform compliance audits and investigates HIPAA compliance in response to complaints and reports of breaches. In addition to enforcement by OCR, state attorneys general are authorized to bring civil actions seeking either injunction or damages in response to violations of HIPAA privacy and security regulations that threaten the privacy of state residents. OCR may resolve HIPAA violations through informal means, such as allowing a covered entity to implement a corrective action plan, but OCR has the discretion to move directly to impose monetary penalties and is required to impose penalties for violations resulting from willful neglect. There can be no assurance that we will not be the subject of an investigation (arising out of a reportable breach incident, audit or otherwise) alleging noncompliance with HIPAA regulations in our maintenance of PHI.</w:t>
      </w:r>
    </w:p>
    <w:p>
      <w:pPr>
        <w:spacing w:after="0" w:line="192"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The Federal Trade Commission Act (“FTCA”) also empowers the Federal Trade Commission to implement rules and regulations protecting personal information, and to take enforcement action when data practices constitute unfair or deceptive acts or practices. The FTC regularly takes enforcement action and has emphasized the protection of medical and other health care information as an enforcement priority. Following the United Stated Supreme Court’s Dobbs decision and state laws that may criminalize certain health care procedures, types of personal information not traditionally thought of as health-related now may reveal personal information about health care decisions, heightening governmental scrutiny of data privacy practices.</w:t>
      </w:r>
    </w:p>
    <w:p>
      <w:pPr>
        <w:spacing w:after="0" w:line="16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to HIPAA and the FTCA, numerous state and federal laws and regulations govern the collection, dissemination, use, privacy, confidentiality, security, availability, integrity, creation, receipt, transmission, storage, and other processing of medical. health care, employment, consumer, and other personal information. Privacy and data security statutes and regulations vary from state to state, and these laws and regulations in many cases are more restrictive than, and generally are not preempted by, the FTCA and HIPAA and their implementing rules. These laws and regulations regulate how personal information is used, sold, and shared; grant individuals substantive rights regarding their data that data processers are obligated to honor; impose rigorous information security and data breach obligations; and in some instances provide private rights of action to individuals affected by alleged violations of the laws in addition to the costs and liabilities arising from government enforcement.</w:t>
      </w:r>
    </w:p>
    <w:p>
      <w:pPr>
        <w:spacing w:after="0" w:line="189"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We also may be subject to international data protection regulations related to the collection, transmission, storage and use of employee data. For example, the General Data Protection Regulation (“GDPR”), which became effective on May 25, 2018, imposes strict compliance obligations on the collection, use, retention, security, processing, transfer and deletion of personal information and creates enhanced rights for individuals, including requirements relating to processing health and other sensitive data, obtaining consent of the individuals to whom the information relates in certain circumstances,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U.S. and the United Kingdom. Entities that fail to comply with the requirements of the GDPR may be subject to very significant penalties, including potential fines of up to the greater of €20 million or 4% of annual global revenue.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Government regulators, privacy advocates and class action attorneys are also increasingly scrutinizing how companies collect, process, use, store, share and transmit other types of personal data. For example, the California Consumer Privacy Act of 2018 (“CCPA”), which went into effect on January 1, 2020, and was significantly modified by the California Privacy Rights Act (“CPRA”), which became fully effective on January 1, 2023, applies broadly to information that identifies or is associated with any California household or individual, and requires that we implement several operational changes, including processes to respond to individuals’ requests regarding their personal information. The CPRA also creates a new enforcement agency to enforce the CCPA and CPRA and imposes additional requirements, including privacy risk assessments, audits and vendor contractual requirements for data sharing, license and access arrangements. The CCPA and CPRA provide for civil penalties for violations and allow private rights of action for data breaches. Virginia, Colorado, Connecticut and Utah have also passed comprehensive privacy legislation that take effect during 2023, and several other states, as well as federal lawmakers, have proposed additional consumer privacy legislation. The complex, dynamic legal landscape regarding privacy, data protection and information security creates significant compliance challenges for us, potentially restricts our ability to collect, use and disclose data, and exposes us to additional expense, and, if we cannot comply with applicable laws in a timely manner or at all, adverse publicity, harm to our reputation, and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Greenhouse Gas Emission Related Policies, Regulation, and Legislation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Governments across the globe have announced and implemented various policies, regulation, and legislation to support the transition from fossil fuels to low-carbon forms of energy and the infrastructure around that transition. The operation of our business and our customers’ use of our products and solutions and services as well as our digital applications are and may in the future be, impacted by these various government actions. In August 2022, the U.S. passed the Inflation Reduction Act (“IRA”), which consists of a number of provisions aimed directly at confronting the climate change crisis. The climate-related provisions of the IRA are projected to cut emissions by up to 40% from 2005 GHG levels in the U.S. by 2030. Among other things, the IRA introduces an ITC for standalone energy storage, which is anticipated to lower capital cost of equipment. The IRA also contains provisions with incentives for grid modernization equipment, including domestic battery cell manufacturing, battery module manufacturing and its components as well as various upstream applications. It is unknown what form any future changes or any law would take under the incoming Trump administration, and how or whether it may affect our business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Our management and scientific teams possess considerable experience in vaccine and anti-infective research, clinical development and regulatory matters. Our research and development team includes Ph.D.-level scientists with expertise in mucosal immunology, T cells, viral vectors and virology. General and administrative includes finance, human resources, administration, business and general management. As of December 31, 2025, we had approximately 65 full-time equivalent employees, excluding interns. Our full-time equivalent employees comprised of approximately 50 in research and development and 15 in general and administrative capacities.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had 9 full-time equivalent contractors as of December 31, 2025.</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do not have collective bargaining agreements with our employees and have not experienced any work stoppages. We consider our relations with our employees to be good.</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training, retaining, and incentivizing our existing and new employees. We maintain an equity incentive plan, the principal purpose of which is to attract, retain and reward personnel through the granting of stock-based compensation awards, in order to increase stockholder value and the success of our company by motivating such individuals to perform to the best of their abilities and achieve our objectives. We offer an employee stock purchase plan, the principal purpose of which is to assist employees in acquiring a share ownership interest in Vaxart and to help such employees provide for their future security and to encourage them to remain in the employment of Vaxart. To facilitate talent attraction and retention, we strive to make Vaxart a safe and rewarding workplace, with opportunities for our employees to grow and develop in their careers, supported by competitive compensation, benefits and health and wellness programs, and by programs that build connections between our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in “Note 7. Commitments and Contingencies—(c) Litigation” to the Condensed Consolidated Financial Statements for the Quarter Ended March 31, 2026 and “Note 8. Commitments and Contingencies, section-(c) Litigation” to the Consolidated Financial Statement for the Year Ended December 31, 2025 are incorporated by reference herein.</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may also from time to time be involved in legal proceedings arising in connection with our business. Based on information currently available, we believe that the amount, or range, of reasonably possible losses in connection with any pending actions against us in excess of established reserves, in the aggregate, is not material to our condensed consolidated financial condition or cash flows. However, any current or future dispute resolution or legal proceeding, regardless of the merits of any such proceeding, could result in substantial costs and a diversion of management’s attention and resources that are needed to run our business successfully, and could have a material adverse impact on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in conjunction with the financial statements which appear beginning on page F-1 of this prospectus and the information included elsewhere in this prospectus. Some of the information contained in this discussion and analysis or set forth elsewhere in this prospectus, including information with respect to our plans and strategy for our business, includes forward-looking statements involving risks and uncertainties as described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elsewhere in this prospectus. You should review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for a discussion of important factors that could cause actual results to differ materially from the results described in or implied by the forward-looking statements and could otherwise affect our intended plans of operations.</w:t>
      </w:r>
    </w:p>
    <w:p>
      <w:pPr>
        <w:spacing w:after="0" w:line="182"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 on Form 10-K filed on March 20, 2025, for discussion and analysis of results of operations for the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primarily focused on the development of oral recombinant vaccines based on our Vector-Adjuvant-Antigen Standardized Technology (“VAAST”)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under the name West Coast Biologicals, Inc. in March 2004 and changed its name to Vaxart, Inc. (“Private Vaxart”) in July 2007, when it reincorporated in the state of Delaware. 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 Related to Sale of Future Royalties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April 2016, Aviragen sold certain royalty rights related to Inavir in the Japanese market for $20.0 million to HealthCare Royalty Partners III,</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L.P. (“HCRP”). Under the terms of our agreement with HCRP, during the first royalty interest period of April 1, 2016 through March 31, 2025, HCRP was entitled to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A shortfall occurs when, during an annual period ending on March 31, for the first royalty interest period of April 1, 2016 through March 31, 2025, royalty payments fall below $3.0 million; and $2.7 million for the second royalty interest period of April 1, 2025 and ending on December 24, 2029, excluding the period of April 1, 2028 through December 24, 2029. In the event there is a remaining cumulative remaining shortfall amount as of December 24, 2029, then, for so long as the Company continues to receive royalties from Daiichi Sankyo Company Limited (“Daiichi Sankyo”), the sum of those royalties will be paid to HCRP until the cumulative remaining shortfall amount has been paid in full..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not obligated to pay HCRP any royalty payment beyond what we are paid by Daiichi Sankyo. The cumulative remaining shortfall amount is the aggregate amount of the shortfall for each annual period, which was $4.4 million as of December 31, 2025 and $6.7 million as of March 31, 2026. Even though we do not currently retain the related royalties under the transaction, as the amounts are remitted to HCRP, we will continue to record revenue related to these royalties until the amount of the associated liability and related interest is fully amortized.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In January 2024, we were awarded the 2024 ASPR-BARDA Contract by HHS BARDA,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Revenue from government contracts recognized on the 2024 ASPR-BARDA Contract was $0.6 million and $8.7 million for the</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years ended December 31, 2025, and 2024, respectively, based on the achievement of certain milestones under the 2024 ASPR-BARDA Contract. No revenue from government contracts was recognized on the 2024 ASPR-BARDA Contract for the three months ended March 31, 2026 and 2025, based on the achievement of certain milestones under the 2024 ASPR-BARDA Contract.</w:t>
      </w:r>
    </w:p>
    <w:p>
      <w:pPr>
        <w:spacing w:after="0" w:line="18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June 2024, we entered into the 2024 ATI-RRPV Contract. In the second half of 2024, the 2024 ATI-RRPV Contract was modified to increase funding and expand the scope to include the manufacture of a vaccine candidate targeting the KP.2 strain and acquire an approved mRNA vaccine targeting the KP.2 strain. Pursuant to the 2024 ATI-RRPV Contract (as modified or amended from time to time), we were to receive overall funding of up to $460.7 million to conduct a Phase 2b comparative study evaluating our oral pill COVID-19 vaccine candidate against an mRNA vaccine comparator approved by the FDA. Funding has been released pursuant to authorized milestones delineated in a series of contract modifications. Pursuant to Modification No. 6 to the 2024 ATI-RRPV Contract, dated March 10, 2026 (the most recent contract modification), the total amount of funding available for payment under the 2024 ATI-RRPV Contract is approximately $316.0 million, including $67.9 million of firm fixed price amounts and the remaining amount for reimbursement of costs incurred in trial preparation and execution activities. The Company anticipates a further modification to the 2024 ATI-RRPV Contract that will reflect the reduced scope of work and corresponding reduction in funding that resulted from the stop work order issued in August 2025 that halted enrollment and therefore reduced the size of the study.</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Revenue from government contracts recognized on the 2024 ATI-RRPV Contract was $36.4 million and $19.3 million for the three months ended March 31, 2026 and 2025, respectively, based on costs incurred and the achievement of firm fixed-price milestones under the 2024 ATI-RRPV Contract. Revenue from government contracts recognized on the 2024 ATI-RRPV Contract was $223.9 million and $16.2 million for the years ended December 31, 2025 and 2024, respectively, based on costs incurred and the achievement of firm fixed-price milestones under the 2024 ATI-RRPV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Dynavax License and Collaboration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November 4, 2025, the Company entered into an Exclusive License and Collaboration Agreement (“2025 License and Collaboration Agreement”) with Dynavax Technologies Corporation, a Sanofi company (“Dynavax”) relating to the Company’s investigational oral vaccine candidate for COVID-19 based on its proprietary oral delivery platform. Pursuant to the 2025 License and Collaboration Agreement, the Company granted Dynavax an exclusive, worldwide license to develop and commercialize the Company’s oral pill COVID-19 vaccine candidate for SARS-CoV-2, SARS coronavirus, or MERS coronavirus, including COVID-19 and all variants thereof. Under the terms of the 2025 License and Collaboration Agreement, Dynavax paid the Company an upfront license fee of $25.0 million and pursuant to the Securities Purchase Agreement (“2025 Securities Purchase Agreement”), purchased 11,111,111 shares of the Company’s common stock for $5.0 million. The common stock was issued at a price above its fair value on the issuance date, and the resulting premium of approximately $0.8 million was determined to represent additional consideration attributable to the 2025 License and Collaboration Agreement. Accordingly, this amount was included in the transaction price and allocated to the identified performance obligations.</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agreement also includes a development collaboration component under which the Company is responsible for completing its ongoing Phase 2b clinical trial and delivering the end-of-Phase 2 data package. Following delivery of the data package and the end-of-Phase 2 meeting with the FDA, Dynavax has the right, in its sole discretion, to assume responsibility for continued development of the vaccine candidate, which would require Dynavax to pay the Company a $50.0 million election payment. The agreement also provides for potential additional regulatory and commercial milestone payments and royalties on future product sales, if any, upon the achievement of specified events.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revenue of $10.8 million from the 2025 License and Collaboration Agreement. As of December 31, 2025, the amount of deferred revenue was $15.0 million, of which $13.0 million was classified as current and $2.0 million as non-current. This amount is expected to be recognized as the performance obligation is satisfied through the completion of the development program.</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timing and amount of future revenue recognition under the agreement will depend on the progress and completion of the Company’s development activities and, if applicable, the achievement of potential milestone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on conducting research, such as developing our tablet vaccine platform, and supporting preclinical and clinical development activities of our tablet vaccine candidates. We recognize all research and development costs as they are incurred. Research and development expenses consist primarily of the following:</w:t>
      </w:r>
    </w:p>
    <w:p>
      <w:pPr>
        <w:spacing w:after="0" w:line="176"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that conduct clinical trials on our behalf;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(“CMOs”), that manufacture product used in the clinical trials;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procuring materials and for analytical and release testing services required to produce vaccine candidates used in clinical trials;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development expenses incurred internally and externally to improve the efficiency and yield of the bulk vaccine and tablet manufacturing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vendor expenses related to preclinical research activities;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expenses for services supporting our clinical, regulatory and manufacturing activities;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allocated overhead expenses.</w:t>
      </w:r>
    </w:p>
    <w:p>
      <w:pPr>
        <w:spacing w:after="0" w:line="25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do not allocate our internal expenses to specific programs. Our employees and other internal resources are not directly tied to any one research program and are typically deployed across multiple projects. Internal research and development expenses are presented as one total.</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have incurred significant external costs for CROs that conduct clinical trials on our behalf. We have captured these external costs for each vaccine program. We do not allocate external costs incurred on preclinical research or process development to specific programs.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shows our period-over-period research and development expenses, identifying external costs that were incurred in each of our vaccine programs and, separately, on preclinical research and process development for the three months ended March 31, 2026 and 2025 (in thousands):</w:t>
      </w:r>
    </w:p>
    <w:p>
      <w:pPr>
        <w:spacing w:after="0" w:line="149"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55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4540" w:type="dxa"/>
            <w:vAlign w:val="bottom"/>
          </w:tcPr>
          <w:p>
            <w:pPr>
              <w:spacing w:after="0"/>
              <w:rPr>
                <w:sz w:val="20"/>
                <w:szCs w:val="20"/>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4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program costs:</w:t>
            </w: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Norovirus program</w:t>
            </w:r>
          </w:p>
        </w:tc>
        <w:tc>
          <w:tcPr>
            <w:tcW w:w="3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COVID-19 program</w:t>
            </w: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20,393</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15,718</w:t>
            </w:r>
          </w:p>
        </w:tc>
      </w:tr>
      <w:tr>
        <w:trPr>
          <w:trHeight w:val="216"/>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programs</w:t>
            </w:r>
          </w:p>
        </w:tc>
        <w:tc>
          <w:tcPr>
            <w:tcW w:w="3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Preclinical research</w:t>
            </w: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Process development</w:t>
            </w:r>
          </w:p>
        </w:tc>
        <w:tc>
          <w:tcPr>
            <w:tcW w:w="32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costs</w:t>
            </w: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20,522</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18,025</w:t>
            </w: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32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8,891</w:t>
            </w:r>
          </w:p>
        </w:tc>
        <w:tc>
          <w:tcPr>
            <w:tcW w:w="4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12,719</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29,413</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30,744</w:t>
            </w: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our period-over-period research and development expenses, identifying external costs that were incurred in each of our vaccine programs and, separately, on preclinical research and process development for years ended December 31 (in thousands):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4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program costs:</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Norovirus program</w:t>
            </w:r>
          </w:p>
        </w:tc>
        <w:tc>
          <w:tcPr>
            <w:tcW w:w="2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3,638</w:t>
            </w:r>
          </w:p>
        </w:tc>
        <w:tc>
          <w:tcPr>
            <w:tcW w:w="10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3,178</w:t>
            </w:r>
          </w:p>
        </w:tc>
      </w:tr>
      <w:tr>
        <w:trPr>
          <w:trHeight w:val="216"/>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COVID-19 program</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155,049</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16,883</w:t>
            </w:r>
          </w:p>
        </w:tc>
      </w:tr>
      <w:tr>
        <w:trPr>
          <w:trHeight w:val="216"/>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programs</w:t>
            </w:r>
          </w:p>
        </w:tc>
        <w:tc>
          <w:tcPr>
            <w:tcW w:w="29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10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Preclinical research</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Process development</w:t>
            </w:r>
          </w:p>
        </w:tc>
        <w:tc>
          <w:tcPr>
            <w:tcW w:w="29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costs</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159,845</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22,273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29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41,731</w:t>
            </w:r>
          </w:p>
        </w:tc>
        <w:tc>
          <w:tcPr>
            <w:tcW w:w="10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51,940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2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201,576</w:t>
            </w:r>
          </w:p>
        </w:tc>
        <w:tc>
          <w:tcPr>
            <w:tcW w:w="10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74,213</w:t>
            </w: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in the remainder of 2026 and beyond as we advance our tablet vaccine candidates into and through clinical trials, pursue regulatory approval of our tablet vaccine candidates and prepare for a possible commercial launch, all of which will also require a significant investment in manufacturing and inventory related costs. To the extent that we enter into licensing, partnering or collaboration agreements, a significant portion of such costs may be borne by third parties.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achieving marketing approval for our tablet vaccine candidates. The probability of successful commercialization of our tablet vaccine candidates may be affected by numerous factors, including clinical data obtained in future trials, competition, manufacturing capability and commercial viability. As a result, we are unable to determine the duration and completion costs of our research and development projects or when and to what extent we will generate revenue from the commercialization and sale of any of our tablet vaccine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insurance, allocated expenses and expenses for outside professional services, including legal, audit, accounting, public relations, market research and other consulting services. Personnel costs consist of salaries, benefits and stock-based compensation. Allocated expenses consist of rent, depreciation and other facilities-related expenses.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we continue to explore commercial opportunities, and plan to work with business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services and other components associated with the development of our tablet vaccines and manufacturing capabilities. We continue to monitor these developments closely to maintain operational efficiency and help mitigate potential future impacts.</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period-over-period changes in selected items in the condensed consolidated statements of operations and comprehensive loss for the three months ended March 31, 2026 and 2025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0" w:type="dxa"/>
            <w:vAlign w:val="bottom"/>
          </w:tcPr>
          <w:p>
            <w:pPr>
              <w:spacing w:after="0"/>
              <w:rPr>
                <w:sz w:val="18"/>
                <w:szCs w:val="18"/>
                <w:color w:val="auto"/>
              </w:rPr>
            </w:pPr>
          </w:p>
        </w:tc>
      </w:tr>
      <w:tr>
        <w:trPr>
          <w:trHeight w:val="238"/>
        </w:trPr>
        <w:tc>
          <w:tcPr>
            <w:tcW w:w="38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39,227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20,876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34,054</w:t>
            </w:r>
          </w:p>
        </w:tc>
        <w:tc>
          <w:tcPr>
            <w:tcW w:w="4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35,811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5,173</w:t>
            </w:r>
          </w:p>
        </w:tc>
        <w:tc>
          <w:tcPr>
            <w:tcW w:w="4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(14,935)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non-operating income (expense)</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(561)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5,208</w:t>
            </w:r>
          </w:p>
        </w:tc>
        <w:tc>
          <w:tcPr>
            <w:tcW w:w="4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(15,496)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(15,591)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period-over-period changes in selected items in the consolidated statements of operations and comprehensive income (loss) for years ended December 31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237,258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28,700</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219,184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94,993</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18,074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(66,293)</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non-operating expense</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(1,271)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16,803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(66,688)</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16,327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320" w:type="dxa"/>
            <w:vAlign w:val="bottom"/>
          </w:tcPr>
          <w:p>
            <w:pPr>
              <w:spacing w:after="0"/>
              <w:rPr>
                <w:sz w:val="18"/>
                <w:szCs w:val="18"/>
                <w:color w:val="auto"/>
              </w:rPr>
            </w:pPr>
          </w:p>
        </w:tc>
      </w:tr>
      <w:tr>
        <w:trPr>
          <w:trHeight w:val="432"/>
        </w:trPr>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96</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and 2025</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revenues for the three months ended March 31, 2026 and 2025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13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1,579</w:t>
            </w:r>
          </w:p>
        </w:tc>
        <w:tc>
          <w:tcPr>
            <w:tcW w:w="140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(97)%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13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36,370</w:t>
            </w:r>
          </w:p>
        </w:tc>
        <w:tc>
          <w:tcPr>
            <w:tcW w:w="420" w:type="dxa"/>
            <w:vAlign w:val="bottom"/>
          </w:tcPr>
          <w:p>
            <w:pPr>
              <w:spacing w:after="0"/>
              <w:rPr>
                <w:sz w:val="18"/>
                <w:szCs w:val="18"/>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19,297</w:t>
            </w:r>
          </w:p>
        </w:tc>
        <w:tc>
          <w:tcPr>
            <w:tcW w:w="14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2,815</w:t>
            </w:r>
          </w:p>
        </w:tc>
        <w:tc>
          <w:tcPr>
            <w:tcW w:w="4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39,227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20,876</w:t>
            </w:r>
          </w:p>
        </w:tc>
        <w:tc>
          <w:tcPr>
            <w:tcW w:w="14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88%</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 Related to Sale of Future Royalties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and 2025, non-cash royalty revenue related to sale of future royalties from Daiichi Sankyo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$42,000 and $1.6 million, respectively. We continue to have non-cash royalty revenue as all royalties received for the three months ended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2025 were required to be paid to HCRP.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and 2025, revenue from government contracts was $36.4 million and $19.3 million, respectively.</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revenue from government contracts consists of the 2024 ASPR-BARDA Contract awarded to us in January 2024 and the 2024 ATI-RRPV Contract awarded to us in June 2024. No revenue was recognized under the 2024 ASPR-BARDA Contract for the three months ended March 31, 2026 and 2025, respectively. Revenue from the 2024 ATI-RRPV Contract was $36.4 million and $19.3 million for the three months ended March 31, 2026 and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227"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collaboration revenue was $2.8 million, compared to zero for both license and collaboration revenue for the three months ended March 31, 2025. The license and collaboration revenue derives from the 2025 License and Collaboration Agreement signed in November 2025. Revenue recognized in 2026 primarily relates to the portion of the upfront consideration allocated to development activities performed during the period.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years ended December 31, 2025 and 2024</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revenue for years ended December 31 (in thousands, except percentages):</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4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1,929</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84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224,516</w:t>
            </w:r>
          </w:p>
        </w:tc>
        <w:tc>
          <w:tcPr>
            <w:tcW w:w="10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803%</w:t>
            </w: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24,858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8,705</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100%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84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2,108</w:t>
            </w:r>
          </w:p>
        </w:tc>
        <w:tc>
          <w:tcPr>
            <w:tcW w:w="10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100%</w:t>
            </w: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237,258</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727%</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 Related to Sale of Future Royalties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2025, non-cash royalty revenue related to the sale of future royalties from Daiichi Sankyo was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$1.9 million, compared to $3.8 million for the year ended December 31, 2024. We continue to have non-cash royalty revenue as all royalties received in the years ended December 31, 2025 and 2024 were required to be paid to HCRP.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2025 and 2024, revenue from government contracts was $224.5 million and $24.9 million, respectively.</w:t>
      </w:r>
    </w:p>
    <w:p>
      <w:pPr>
        <w:spacing w:after="0" w:line="27"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The revenue from government contracts consists of the 2024 ASPR-BARDA Contract awarded to us in January 2024 and the 2024 ATI-RRPV Contract awarded to us in June 2024. Revenue from the 2024 ASPR-BARDA Contract was $0.6 million and $8.7 million for the years ended December 31, 2025 and 2024, respectively. Revenue from the ATI-RRPV Contract was $223.9 million and $16.2 million for the years ended December 31, 2025 and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license revenue was $8.7 million, and collaboration revenue was $2.1 million, compared to zero for the year ended December 31, 2024. The license and collaboration revenue derives from the 2025 License and Collaboration Agreement signed in November 2025. Revenue recognized during 2025 primarily relates to the transfer of the exclusive license and the portion of the upfront consideration allocated to development activities performed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and 2025</w:t>
      </w:r>
    </w:p>
    <w:p>
      <w:pPr>
        <w:spacing w:after="0" w:line="22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operating expenses for the three months ended March 31, 2026 and 2025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920" w:type="dxa"/>
            <w:vAlign w:val="bottom"/>
            <w:gridSpan w:val="4"/>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362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30,744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40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5,067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35,811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research and development expenses decreased by $1.3 million, or 4%, compared to the three months ended March 31, 2025. The net decrease was primarily due to a decrease in personnel, preclinical and manufacturing costs, partially offset by an increase in clinical trial expenses related to our COVID-19 vaccine candidate.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general and administrative expenses decreased by $0.4 million, or 8%, compared to the three months ended March 31, 2025. The net decrease was primarily due to a decrease in personnel, facilities and recruiting costs, partially offset by an increase in professional and legal fees.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years ended December 31, 2025 and 2024</w:t>
      </w:r>
    </w:p>
    <w:p>
      <w:pPr>
        <w:spacing w:after="0" w:line="227"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operating expenses for years ended December 31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201,576</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172%</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74,213</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17,608</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20,780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219,184</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131%</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94,993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research and development expenses were $201.6 million, an increase of $127.4 million, or 172%, compared to $74.2 million for the year ended December 31, 2024. The increase was primarily due to clinical trial expenses related to our COVID-19 vaccine candidate, partially offset by a decrease in expense related to manufacturing, preclinical, personnel costs and facilities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2025, general and administrative expenses were $17.6 million, a decrease of $3.2 million, or 15%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for the year ended December 31, 2024. The decrease was primarily due to personnel costs, legal and professional fees, and facilities expense.</w:t>
      </w:r>
    </w:p>
    <w:p>
      <w:pPr>
        <w:sectPr>
          <w:pgSz w:w="11900" w:h="16838" w:orient="portrait"/>
          <w:cols w:equalWidth="0" w:num="1">
            <w:col w:w="11220"/>
          </w:cols>
          <w:pgMar w:left="320" w:top="121" w:right="35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Non-Operating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non-operating income for the three months ended March 31, 2026 and 2025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0" w:type="dxa"/>
            <w:vAlign w:val="bottom"/>
          </w:tcPr>
          <w:p>
            <w:pPr>
              <w:spacing w:after="0"/>
              <w:rPr>
                <w:sz w:val="18"/>
                <w:szCs w:val="18"/>
                <w:color w:val="auto"/>
              </w:rPr>
            </w:pPr>
          </w:p>
        </w:tc>
      </w:tr>
      <w:tr>
        <w:trPr>
          <w:trHeight w:val="238"/>
        </w:trPr>
        <w:tc>
          <w:tcPr>
            <w:tcW w:w="46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437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1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40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non-operating income (expense)</w:t>
            </w:r>
          </w:p>
        </w:tc>
        <w:tc>
          <w:tcPr>
            <w:tcW w:w="14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(561)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we recorded interest income of $0.6 million, a 26% increase from the $0.4 million interest</w:t>
      </w:r>
    </w:p>
    <w:p>
      <w:pPr>
        <w:spacing w:after="0" w:line="27"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8"/>
          <w:szCs w:val="18"/>
          <w:color w:val="auto"/>
        </w:rPr>
        <w:t>income recorded in the three months ended March 31, 2025. The increase is primarily due to the increase in our cash, cash equivalents and investments balance.</w:t>
      </w:r>
    </w:p>
    <w:p>
      <w:pPr>
        <w:spacing w:after="0" w:line="181"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Non-cash interest expense related to sale of future royalties representing imputed interest on the unamortized portion of the sale of future royalties liability, was $0.5 million for the three months ended March 31, 2026, with $1.0 million for the three months ended March 31, 2025 due to a decrease in non-cash royalty revenue payable to HCRP.</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net non-operating expense for years ended December 31, 2025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4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1,596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14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non-operating expense</w:t>
            </w: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(1,271)</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recorded interest income of $1.6 million, a 37% decrease from the $2.5 million interest income recorded in the year ended December 31, 2024. The decrease is primarily due to lower cash, cash equivalents and investments balance, and lower interest rates in 2025.</w:t>
      </w:r>
    </w:p>
    <w:p>
      <w:pPr>
        <w:spacing w:after="0" w:line="162"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Non-cash interest expense related to sale of future royalties representing imputed interest on the unamortized portion of the sale of future royalties liability, decreased to $2.8 million for the year ended December 31, 2025, from $3.0 million in 2024, due to a decrease in non-cash royalty revenue payable to HCRP.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provision for income taxes for the three months ended March 31, 2026 and 2025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0" w:type="dxa"/>
            <w:vAlign w:val="bottom"/>
          </w:tcPr>
          <w:p>
            <w:pPr>
              <w:spacing w:after="0"/>
              <w:rPr>
                <w:sz w:val="18"/>
                <w:szCs w:val="18"/>
                <w:color w:val="auto"/>
              </w:rPr>
            </w:pPr>
          </w:p>
        </w:tc>
      </w:tr>
      <w:tr>
        <w:trPr>
          <w:trHeight w:val="238"/>
        </w:trPr>
        <w:tc>
          <w:tcPr>
            <w:tcW w:w="420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4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tax on royalty revenue</w:t>
            </w:r>
          </w:p>
        </w:tc>
        <w:tc>
          <w:tcPr>
            <w:tcW w:w="18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payable on intercompany interest</w:t>
            </w:r>
          </w:p>
        </w:tc>
        <w:tc>
          <w:tcPr>
            <w:tcW w:w="18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8"/>
                <w:szCs w:val="18"/>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$29,000 and $95,000 for the three months ended March 31, 2026 and 2025, respectively. The tax charge relates to foreign tax expense attributable to interest on an intercompany loan from a foreign subsidiary, and a 5% withholding tax on royalty revenue earned on sales of Inavir in Japan, which is potentially recoverable as a foreign tax credit but expensed because we record a 100% valuation allowance against our deferred tax assets. The amount of foreign withholding tax expense recorded is directly proportional to Inavir royalties, including the portion that we pass through to HCRP.</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provision for income taxes for years ended December 31 (in thousands, except percentages):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4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tax on royalty revenue</w:t>
            </w:r>
          </w:p>
        </w:tc>
        <w:tc>
          <w:tcPr>
            <w:tcW w:w="19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payable on intercompany interest</w:t>
            </w:r>
          </w:p>
        </w:tc>
        <w:tc>
          <w:tcPr>
            <w:tcW w:w="1940" w:type="dxa"/>
            <w:vAlign w:val="bottom"/>
          </w:tcPr>
          <w:p>
            <w:pPr>
              <w:spacing w:after="0"/>
              <w:rPr>
                <w:sz w:val="18"/>
                <w:szCs w:val="18"/>
                <w:color w:val="auto"/>
              </w:rPr>
            </w:pPr>
          </w:p>
        </w:tc>
        <w:tc>
          <w:tcPr>
            <w:tcW w:w="17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377</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481%</w:t>
            </w: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19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476</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bl>
    <w:p>
      <w:pPr>
        <w:spacing w:after="0" w:line="1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$0.5 million and $0.3 million for the years ended December 31, 2025 and 2024, respectively. The tax charge primarily relates to interest on an intercompany loan from a foreign subsidiary, and a 5% withholding tax on royalty revenue earned on sales of Inavir in Japan, which is potentially recoverable as a foreign tax credit but expensed because we record a 100% valuation allowance against our deferred tax assets. The amount of income tax expense recorded is directly proportional to Inavir royalties, including the portion that we pass through to HCRP.</w:t>
      </w:r>
    </w:p>
    <w:p>
      <w:pPr>
        <w:sectPr>
          <w:pgSz w:w="11900" w:h="16838" w:orient="portrait"/>
          <w:cols w:equalWidth="0" w:num="1">
            <w:col w:w="11220"/>
          </w:cols>
          <w:pgMar w:left="320" w:top="121" w:right="359" w:bottom="177"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77"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with no product sales. Our primary source of financing is from the sale and issuance of common stock as well as funding from HHS BARDA. In the past, we have also obtained funds from the issuance of common stock warrants, secured debt and preferred stock and from collaboration agreements.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September 2021, we entered into a Controlled Equity Offering Sales Agreement (the “September 2021 ATM”), under which we may offer and sell, from time to time through sales agents, shares of our common stock having an aggregate offering price of up to $100 million. We incurred direct expenses and paid sales commissions of up to 3.0% of gross proceeds from the sale of shares under the September 2021 ATM. In the year ended December 31, 2024, 7,719,641 shares were issued and sold under the September 2021 ATM for gross proceeds of $9.1 million, which, after deducting sales commissions and expenses incurred to date, resulted in net proceeds of $8.8 million. Effective October 18, 2024, the Company terminated the September 2021 ATM and discontinued all offers and sales of common stock thereunder.</w:t>
      </w:r>
    </w:p>
    <w:p>
      <w:pPr>
        <w:spacing w:after="0" w:line="187"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In January 2024, we entered into a securities purchase agreement (the “2024 Securities Purchase Agreement”) with RA Capital Healthcare Fund, L.P. pursuant to which 15,384,615 shares of our common stock were sold to RA Capital Healthcare Fund, L.P. at an offering price of $0.65 per share. The gross proceeds from the 2024 Securities Purchase Agreement were $10.0 million and, after deducting offering expenses, the net proceeds were $9.9 million.</w:t>
      </w:r>
    </w:p>
    <w:p>
      <w:pPr>
        <w:spacing w:after="0" w:line="15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January 2024, we were awarded the 2024 ASPR-BARDA Contract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The 2024 ASPR-BARDA Contract originally had a period of performance term that was set to expire in July 2024, but we entered into an amendment in July 2024 that extended the period of performance expiration date into October 2024. BARDA and Vaxart are currently discussing contract closeout for the 2024 ASPR-BARDA Contract. As of December 31, 2024, we received approximately $9.3 million of cash payments under the 2024 ASPR-BARDA Contract.</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June 2024, we entered into an underwriting agreement with Oppenheimer &amp; Co. Inc., relating to the issuance and sale by us in an underwritten registered direct offering (the “June 2024 Offering”) of 50,000,000 shares of our common stock at a price of $0.80 per share. The gross proceeds to us from such offering were $40.0 million, and after deducting the underwriting discounts and commissions and other offering expenses paid by us, the net proceeds were $37.5 million.</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June 2024, we entered into the 2024 ATI-RRPV Contract. Pursuant to the 2024 ATI-RRPV Contract, we were authorized to receive overall funding of up to $460.7 million to conduct a Phase 2b comparative study evaluating our oral pill COVID-19 vaccine candidate against an mRNA vaccine comparator approved by the U.S. Food and Drug Administration, manufacture a COVID-19 vaccine candidate targeting the KP.2 strain, and acquire an approved mRNA vaccine targeting the KP.2 strain. As of March 31, 2026, we have received $218.9 million of cash payments under the 2024 ATI-RRPV Contract. Subsequent to March 31, 2026, through the filing date of this prospectus, we have received $19.8 million under the 2024 ATI-RRPV Contract. As of December 31, 2025, we have received $189.1 million of cash payments under the 2024 ATI-RRPV Contract. On August 5, 2025, the Company received written notification from ATI in the form of a stop work order directing the Company to stop work on screening and enrollment for the COVID-19 Phase 2b trial under the 2024 ATI-RRPV Contract as of the notification date. On October 8, 2025, the Company received a follow-up notice from ATI, which indicated that BARDA intends to conclusively exclude work subject to the foregoing stop work order from the 2024 ATI-RRPV Contract. The Company was, however, authorized to continue efforts associated with the per protocol follow-up of all participants dosed as of the notification date in the study under the terms of the 2024 ATI-RRPV Contract. When the Company received the August notification, we had enrolled approximately half of the targeted number of participants for the study. On March 10, 2026, we entered into Modification No. 6 to the 2024 ATI-RRPV Contract, which increased the total amount of funding available for payment to approximately $316.0 million. The Company anticipates a further modification to the 2024 ATI-RRPV Contract that will reflect the reduced scope of work and corresponding reduction in funding that resulted from the previously issued stop work orders that halted enrollment and therefore reduced the size of the study.</w:t>
      </w:r>
    </w:p>
    <w:p>
      <w:pPr>
        <w:spacing w:after="0" w:line="196"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 million. The shares will be sold pursuant to an effective registration statement on Form S-3 (Registration Statement No. 333-270671), as previously filed with the U.S. Securities and Exchange Commission (the “SEC”). The Company filed a prospectus supplement, dated March 21, 2025, with the SEC in connection with the offer and sale of the shares under the March 2025 ATM. The Company will pay the Managers a placement fee of up to 3% of the gross sale price from each sale of the shares under the March 2025 ATM. During the year ended December 31, 2025, 382,700 shares were issued and sold under the March 2025 ATM for gross proceeds of $0.2 million, which, after deducting sales commissions and expenses incurred to date, resulted in net proceeds of $0.1 million. As of December 31, 2025. During the three months ended March 31, 2026, no shares were issued and sold under the March 2025 ATM. As of March 31, 2026, approximately $48.4 million of our common stock remained available for issuance and sale pursuant to the March 2025 ATM. However, we are unable to leverage the ATM at this time because our common stock has been delisted from trading on The Nasdaq Capital Market.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Effective July 8, 2025, Nasdaq suspended trading in our common stock and the Company was formally delisted from Nasdaq following a final determination by the Nasdaq's Listing Qualifications Department on November 3, 2025. Our common stock has been quoted on the OTCQX under the ticker symbol “VXRT” since the stock was suspended from trading on Nasdaq on July 8, 2025. The National Securities Markets Improvement Act of 1996 prevents or preempts the states from regulating the sale of certain securities, which are referred to as “covered securities.” As Nasdaq has officially delisted our securities, our securities are not covered securities since OTCQX-traded securities are not considered covered securities, and we will need to follow each state’s blue sky laws for offers and sales of our securities made to residents of that state. This state-level regulation introduces additional compliance requirements for brokers to consider when trading in our securities and will further negatively impact any trading liquidity in our securities.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November 4, 2025, the Company entered into (i) an Exclusive License and Collaboration Agreement (the “License and Collaboration Agreement”) with Dynavax Technologies Corporation relating to the Company’s investigational oral vaccine candidate for COVID-19 based on its proprietary oral delivery platform and (ii) a Securities Purchase Agreement with Dynavax for the sale of the Company’s common stock. Pursuant to the 2025 License and Collaboration Agreement, the Company granted Dynavax an exclusive, worldwide license to develop and commercialize the Company’s oral pill COVID-19 vaccine candidate for SARS-CoV-2, SARS coronavirus, or MERS coronavirus, including COVID-19 and all variants thereof. Under the terms of the 2025 License and Collaboration Agreement, Dynavax paid the Company an upfront license fee of $25.0 million and purchased $5.0 million of the Company’s common stock pursuant to the Securities Purchase Agreement. The 2025 License and Collaboration Agreement includes a collaboration component designed to facilitate the efficient development, regulatory approval, and commercialization of products within the defined field of use, as described in greater detail in the Current Report on Form 8-K filed by the Company with the SEC on November 5, 2025. Pursuant to the Securities Purchase Agreement, the Company sold and issued 11,111,111 shares of common stock at a per share purchase price of $0.45 under the Company’s shelf registration statement on Form S-3, including the prospectus dated May 5, 2025 contained therein, and the prospectus supplement dated November 4, 2025.</w:t>
      </w:r>
    </w:p>
    <w:p>
      <w:pPr>
        <w:spacing w:after="0" w:line="192"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On February 10, 2026, Sanofi completed its acquisition of Dynavax. As a result of the consummation of the merger, Dynavax became an indirect wholly owned subsidiary of Sanofi. There can be no assurance that Dynavax will continue to perform the obligations under the 2025 License and Collaboration Agreement or that Dynavax will not exercise its right to terminate the agreement.</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we had approximately $61.0 million of cash, cash equivalents and short-term investments and as of December 31, 2025, we had approximately $63.8 million of cash, cash equivalents and short-term investments. We believe our cash, cash equivalents and investments are sufficient to fund our planned operations for at least 12 months from the date of issuance of this prospectus. To continue operations thereafter, we expect that we will need to raise further capital, through the sale of additional securities or otherwise however, adequate funding may not be available to us on acceptable terms, or at all, particularly in light of current economic uncertainty, high interest rates, rising inflation, tariffs, and the potential for local and/or global economic recession. Our future capital requirements and the adequacy of our available funds will depend on many factors, most notably our ability to successfully commercialize our products and services.</w:t>
      </w:r>
    </w:p>
    <w:p>
      <w:pPr>
        <w:spacing w:after="0" w:line="18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April 2026, the Company entered into a purchase agreement (the “April 2026 ELOC”) with Lincoln Park Capital Fund, LLC (“LPC”), pursuant to which the Company may sell, from time to time, shares of its common stock having an aggregate offering price of up to $25.0 million (the “Commitment Amount”), subject to certain limitations and conditions. The Company intends to file a registration statement with the SEC covering the resale by LPC of the Purchase Shares that have been and may be issued to LPC under the April 2026 ELOC.</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fund a significant portion of our ongoing operations through partnering and collaboration agreements which, while reducing our risks and extending our cash runway, will also reduce our share of eventual revenues, if any, from our vaccine candidates. We may be able to fund certain activities with assistance from government programs. The sale of additional equity would result in additional dilution to our stockholders. We may also fund our operations through debt financing, which would result in debt service obligations, and the instruments governing such debt could provide for operating and financing covenants that would restrict our operations. If we are unable to raise additional capital in sufficient amounts or on acceptable terms, we may be required to delay, limit, reduce, or terminate our product development or future commercialization efforts or grant rights to develop and market vaccine candidates that we would otherwise prefer to develop and market ourselves. Any of these actions could harm our business, results of operations and prospects.</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Based on management’s current plan, which reflects updated assumptions based on events occurring after March 31, 2026, we expect to have cash runway into the second quarter of 2027. See Note 13 to the Condensed Consolidated Financial Statements For the three months ended March 31, 2026 and 2025. Accordingly, management concluded that the conditions and events that previously raised substantial doubt about our ability to continue as a going concern have been alleviated. The accompanying consolidated financial statements have been prepared assuming that we will continue as a going concern, which contemplates the realization of assets and the settlement of liabilities and commitments in the normal course of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planned preclinical studies for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planned clinical trials of our product candidates;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including the availability of contract manufacturing organizations to supply our product candidates at reasonable cost;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royalties received on sales of Inavir;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our future products, which will be subject to receipt of regulatory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collaborations, licensing, consulting or other arrangements that we may enter into;</w:t>
      </w:r>
    </w:p>
    <w:p>
      <w:pPr>
        <w:spacing w:after="0" w:line="25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payments that may be required in connection with the licensing, filing, prosecution, maintenance, defense and enforcement of any patents or patent applications or other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economic uncertainty, high interest rates, rising inflation, tariffs, and the potential for local and/or global economic recession;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active trading market for our common stock;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and 2025</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7"/>
        </w:trPr>
        <w:tc>
          <w:tcPr>
            <w:tcW w:w="8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7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8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8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16"/>
        </w:trPr>
        <w:tc>
          <w:tcPr>
            <w:tcW w:w="8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13,232</w:t>
            </w:r>
          </w:p>
        </w:tc>
      </w:tr>
      <w:tr>
        <w:trPr>
          <w:trHeight w:val="230"/>
        </w:trPr>
        <w:tc>
          <w:tcPr>
            <w:tcW w:w="8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820" w:type="dxa"/>
            <w:vAlign w:val="bottom"/>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3,469</w:t>
            </w:r>
          </w:p>
        </w:tc>
      </w:tr>
      <w:tr>
        <w:trPr>
          <w:trHeight w:val="432"/>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experienced negative cash flow from operating activities for the three months ended March 31, 2026 and 2025, in the amounts of $2.1 million and $9.6 million, respectively. The cash used in operating activities in the three months ended March 31, 2026, was driven by net income of $5.2 million, partially offset by an increase in working capital of $10.0 million (consisting of an increase in receivables from government contracts and accounts payable and partially offset by a decrease in accrued labilities, accounts receivable, and prepaid expenses), and adjustments for net non-cash expenses related to depreciation and amortization, accretion of discount on investments, net, stock-based compensation, non-cash interest expense related to sale of future royalties and non-cash revenue related to sale of future royalties totaling $2.7 million. The cash used in operating activities in the three months ended March 31, 2025, was due to cash used to fund a net loss of $15.6 million, partially offset by a decrease in working capital of $3.4 million, and adjustments for net non-cash expenses related to depreciation and amortization, accretion of discount on investments, net, stock-based compensation, non-cash interest expense related to sale of future royalties and non-cash revenue related to sale of future royalties totaling $2.6 million.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we purchased $0.2 million of investments, net of maturities, and used $0.2 million to purchase property and equipment, net of proceeds. In the three months ended March 31, 2025, we received $13.4 million from maturities of investments, net of purchases, and used $0.1 million of cash to purchase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we used $0.3 million to acquire common stock to settle employee tax withholding liabilities. In the three months ended March 31, 2025, we used $0.2 million to acquire common stock to settle employee tax withholding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2025 and 2026.</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26"/>
        </w:trPr>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4"/>
                <w:szCs w:val="24"/>
                <w:color w:val="auto"/>
              </w:rPr>
            </w:pPr>
          </w:p>
        </w:tc>
      </w:tr>
      <w:tr>
        <w:trPr>
          <w:trHeight w:val="238"/>
        </w:trPr>
        <w:tc>
          <w:tcPr>
            <w:tcW w:w="4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4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7,714</w:t>
            </w:r>
          </w:p>
        </w:tc>
        <w:tc>
          <w:tcPr>
            <w:tcW w:w="10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(44,764)</w:t>
            </w:r>
          </w:p>
        </w:tc>
      </w:tr>
      <w:tr>
        <w:trPr>
          <w:trHeight w:val="216"/>
        </w:trPr>
        <w:tc>
          <w:tcPr>
            <w:tcW w:w="4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16,632</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(21,324)</w:t>
            </w:r>
          </w:p>
        </w:tc>
      </w:tr>
      <w:tr>
        <w:trPr>
          <w:trHeight w:val="216"/>
        </w:trPr>
        <w:tc>
          <w:tcPr>
            <w:tcW w:w="4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56,562</w:t>
            </w:r>
          </w:p>
        </w:tc>
      </w:tr>
      <w:tr>
        <w:trPr>
          <w:trHeight w:val="234"/>
        </w:trPr>
        <w:tc>
          <w:tcPr>
            <w:tcW w:w="48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28,585</w:t>
            </w:r>
          </w:p>
        </w:tc>
        <w:tc>
          <w:tcPr>
            <w:tcW w:w="10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$7.7 million for the year ended December 31, 2025, compared to net cash used in operating activities of $44.8 million for the year ended December 31, 2024. The cash provided by operating activities for the year ended December 31, 2025, was driven by income of $16.3 million and adjustments for net non-cash income related to depreciation and amortization, stock-based compensation and non-cash interest expense related to sale of future royalties, net of non-cash revenue related to the gain on modification of lease liability, sale of future royalties and amortization of discount on investments, net totaling $14.0 million, partially offset by a decrease in working capital of $22.6 million. The cash used in operating activities for the year ended December 31, 2024, was due to cash used to fund a net loss of $66.9 million and an increase in working capital of $3.3 million, partially offset by adjustments for net non-cash income related to depreciation and amortization, stock-based compensation and non-cash interest expense related to sale of future royalties, net of non-cash revenue related to sale of future royalties and amortization of discount on investments, net totaling $18.9 million.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2025, we received $16.8 million from maturities of investments, net of purchases, and used $0.1 million of cash to purchase property and equipment, net of proceeds. In 2024, we used $20.8 million of cash to purchase investments, net of maturities, and used $0.6 million of cash to purchase property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360" w:firstLine="324"/>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2025, we received net financing proceeds of $4.2 million from the sale of our common stock under the Dynavax Purchase Agreement, net proceeds of $53,000 from the sale of our common stock under the March 2025 ATM, and $0.2 million from the issuance of treasury stock under the employee stock purchase plan, partially offset by $0.2 million from treasury stock acquired to settle employee tax withholding liabilities. In 2024, we received net proceeds of $37.5 million from the sale of our common stock under the June 2024 Offering, net proceeds of $8.8 million from the sale of our common stock under the September 2021 ATM, net proceeds of $9.9 million from the sale of our common stock under the 2024 Securities Purchase Agreement and $0.5 million from the issuance of common stock and treasury stock under the employee stock purchase plan, partially offset by $0.2 million from common stock acquired to settle employee tax withholding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 of March 31, 2026</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the following contractual obligations and commercial commitments as of March 31, 2026 (in thousands):</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w:t>
            </w:r>
          </w:p>
        </w:tc>
        <w:tc>
          <w:tcPr>
            <w:tcW w:w="11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&lt; 1 Year</w:t>
            </w:r>
          </w:p>
        </w:tc>
        <w:tc>
          <w:tcPr>
            <w:tcW w:w="24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1 - 3 Years</w:t>
            </w:r>
          </w:p>
        </w:tc>
        <w:tc>
          <w:tcPr>
            <w:tcW w:w="2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3 - 5 Years</w:t>
            </w:r>
          </w:p>
        </w:tc>
        <w:tc>
          <w:tcPr>
            <w:tcW w:w="2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&gt; 5 Years</w:t>
            </w:r>
          </w:p>
        </w:tc>
      </w:tr>
      <w:tr>
        <w:trPr>
          <w:trHeight w:val="216"/>
        </w:trPr>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HCRP</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16,323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9,182</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3,144</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6,038</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7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 Term Debt, HCRP. </w:t>
      </w:r>
      <w:r>
        <w:rPr>
          <w:rFonts w:ascii="Times New Roman" w:cs="Times New Roman" w:eastAsia="Times New Roman" w:hAnsi="Times New Roman"/>
          <w:sz w:val="18"/>
          <w:szCs w:val="18"/>
          <w:color w:val="auto"/>
        </w:rPr>
        <w:t>Under an agreement executed in 2016, during the first royalty interest period of April 1, 2016 through March 31, 2025,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obligated to pay HCRP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Note 6 to the Condensed Consolidated Financial Statements in Part I, Item 1 for further details.</w:t>
      </w:r>
    </w:p>
    <w:p>
      <w:pPr>
        <w:spacing w:after="0" w:line="18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Operating lease amounts include future minimum lease payments under all our non-cancelable operating leases with an initial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excess of one year. On April 20, 2026, Vaxart, Inc. (the “Company”) entered into an amendment (the “Amendment”) to its lease agreement (the “Utah Avenue Lease”) with a landlord (the “Utah Avenue Landlord”) relating to certain properties currently leased to the Company that are located on Utah Avenue in South San Francisco, California. Pursuant to the Amendment, the Company agreed to lease from the Utah Avenue Landlord two additional suites in an additional building on Utah Avenue with a total of approximately 3,531 rentable square feet of space (the “Additional Leased Space”), effective as of May 14, 2026 (the “Expansion Commencement Date”). The term of the lease of the Additional Leased Space is 36 months from the Expansion Commencement Date, unless earlier terminated pursuant to the terms of the Amendment and the Utah Avenue Lease.</w:t>
      </w:r>
    </w:p>
    <w:p>
      <w:pPr>
        <w:spacing w:after="0" w:line="18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December 2025, the Company entered into a termination agreement (the “Termination Agreement”) with another landlord (the “Harbor Way Landlord”) in connection with the termination of that certain lease agreement (the “Harbor Way Lease”) for certain premises located at 170 Harbor Way, South San Francisco, California 94080 that served as the Company’s headquarters. The Harbor Way Lease consists of approximately 24,606 square feet of rentable space. Pursuant to the Termination Agreement, the Company and the Harbor Way Landlord agreed to terminate the Harbor Way Lease effective as of May 15, 2026.</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As of March 31, 2026, the Company had approximately $19.3 million of non-cancelable purchase commitments, principally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services which are expected to be paid within the next year. Approximately $18.2 million of non-cancelable purchase commitments are attributable to a third-party vendor that provides clinical services, that is reimbursable at approximately $19.6 million under a cost-plus-fixed-fees arrangement in the ATI-RRPV Contract.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 of December 31, 2025</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had the following contractual obligations and commercial commitments as of December 31, 2025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Obligation</w:t>
            </w:r>
          </w:p>
        </w:tc>
        <w:tc>
          <w:tcPr>
            <w:tcW w:w="11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&lt; 1 Year</w:t>
            </w:r>
          </w:p>
        </w:tc>
        <w:tc>
          <w:tcPr>
            <w:tcW w:w="24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1 - 3 Years</w:t>
            </w:r>
          </w:p>
        </w:tc>
        <w:tc>
          <w:tcPr>
            <w:tcW w:w="2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3 - 5 Years</w:t>
            </w:r>
          </w:p>
        </w:tc>
        <w:tc>
          <w:tcPr>
            <w:tcW w:w="2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&gt; 5 Years</w:t>
            </w:r>
          </w:p>
        </w:tc>
      </w:tr>
      <w:tr>
        <w:trPr>
          <w:trHeight w:val="216"/>
        </w:trPr>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HCRP</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4,579</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10,408</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3,651</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5,997</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48,527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4,579</w:t>
            </w:r>
          </w:p>
        </w:tc>
      </w:tr>
    </w:tbl>
    <w:p>
      <w:pPr>
        <w:spacing w:after="0" w:line="17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 Term Debt, HCRP. </w:t>
      </w:r>
      <w:r>
        <w:rPr>
          <w:rFonts w:ascii="Times New Roman" w:cs="Times New Roman" w:eastAsia="Times New Roman" w:hAnsi="Times New Roman"/>
          <w:sz w:val="18"/>
          <w:szCs w:val="18"/>
          <w:color w:val="auto"/>
        </w:rPr>
        <w:t>Under an agreement executed in 2016, during the first royalty interest period of April 1, 2016 through March 31, 2025,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were obligated to pay HCRP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 xml:space="preserve"> to the Consolidated Financial Statements for further details.</w:t>
      </w:r>
    </w:p>
    <w:p>
      <w:pPr>
        <w:spacing w:after="0" w:line="183"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Operating lease amounts include future minimum lease payments under all our non-cancellable operating leases with an initial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excess of one year. See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to the Consolidated Financial Statements for further details.</w:t>
      </w:r>
    </w:p>
    <w:p>
      <w:pPr>
        <w:spacing w:after="0" w:line="158"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These amounts include an estimate of all open purchase orders and contractual obligations in the ordinary course of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commitments with contract manufacturers and suppliers for which we have not received the goods or services. We consider all open purchase orders, which are generally enforceable and legally binding, to be commitments, although the terms may afford us the option to cancel based on our business needs prior to the delivery of goods or performance of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and consolidated financial statements, as applicable, which have been prepared in accordance with generally accepted accounting principles in the United States. The preparation of these consolidated financial statements requires us to make estimates and judgments that affect the reported amounts of assets, liabilities, revenues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record accrued expenses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and include the costs incurred but not yet invoiced within other accrued liabilities in the consolidated balance sheets and within research and development expense in the condensed consolidated statements of operations and comprehensive loss and consolidated statements of operations and comprehensive income (loss), as applicable. These costs can be a significant component of our research and development expenses.</w:t>
      </w:r>
    </w:p>
    <w:p>
      <w:pPr>
        <w:spacing w:after="0" w:line="187"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 The fair value as of March 31, 2026 is being amortized on a straight-line basis over the remaining period of 3.6 years and 1.8 years for developed technology and intellectual property, respectively. The fair value as of December 31, 2025, is being amortized on a straight-line basis over the remaining period of 3.9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Government Contracts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firm fixed-price milestone contracts, we recognize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 Under cost reimbursable contracts, we recognize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Payments to us under cost reimbursable contracts are provisional payments subject to adjustment upon annual audit by the government. Management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the 2025 License and Collaboration Agreement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83"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measure the fair value of all stock option awards to employees, non-executive directors and consultants on the grant date, and record the fair value of these awards, net of estimated forfeitures, as compensation expense over the service period. The fair value of options is estimated using the Black-Scholes valuation model and the expense recorded is affected by subjective assumptions regarding a number of variables, as follows:</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 This represents the period that our stock-based awards granted are expected to be outstanding and is determined using the simplified method (the arithmetic average of its original contractual term and its average vesting term). We have very limited historical information to develop reasonable expectations about future exercise patterns and post-vesting employment termination behavior for our stock-based awards. Based on the weighted average applied to options awarded in the three months ended March 31, 2026, a notional 10% decrease in expected term would have reduced the fair value and the related compensation expense by approximately 2.4%. Based on the weighted average applied to options awarded in 2025, a notional 10% decrease in expected term would have reduced the fair value and the related compensation expense by approximately 2.2%.</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 This is a measure of the amount by which our common stock price has fluctuated or is expected to fluctuate. Since the beginning of 2020 we have measured volatility based on the historical volatility of our own stock over the retrospective period corresponding to the expected term of the options on the measurement date. Based on the weighted average applied to options awarded in the three months ended March 31, 2026, a notional 10% decrease in expected volatility (from 118.4% to 106.5%) would have reduced the fair value and the related compensation expense by approximately 4.6%. Based on the weighted average applied to options awarded in 2025, a notional 10% decrease in expected volatility (from 126.5% to 113.8%) would have reduced the fair value and the related compensation expense by approximately 4.2%.</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This is based on the U.S. Treasury yield curve on the measurement date corresponding with the expected term of the stock-based awards.</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dividend</w:t>
      </w:r>
      <w:r>
        <w:rPr>
          <w:rFonts w:ascii="Times New Roman" w:cs="Times New Roman" w:eastAsia="Times New Roman" w:hAnsi="Times New Roman"/>
          <w:sz w:val="18"/>
          <w:szCs w:val="18"/>
          <w:color w:val="auto"/>
        </w:rPr>
        <w:t xml:space="preserve"> – We have not made any dividend payments and do not plan to pay dividends in the foreseeable future. Therefore, we use an expected dividend yield of zero.</w:t>
      </w:r>
    </w:p>
    <w:p>
      <w:pPr>
        <w:spacing w:after="0" w:line="162"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Forfeiture rate</w:t>
      </w:r>
      <w:r>
        <w:rPr>
          <w:rFonts w:ascii="Times New Roman" w:cs="Times New Roman" w:eastAsia="Times New Roman" w:hAnsi="Times New Roman"/>
          <w:sz w:val="18"/>
          <w:szCs w:val="18"/>
          <w:color w:val="auto"/>
        </w:rPr>
        <w:t xml:space="preserve"> – This is a measure of the number of awards that are expected to not vest and is reassessed quarterly. An increase in the estimated forfeiture rate will cause a small decrease to the related compensation expense early in the service period, but since the final expense recorded for each award is the number of options vested times their grant date fair value, it has no impact on the total expense recorded.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See the “Recent Accounting Pronouncements” in Note 2 to the Consolidated Financial Statements for the Years Ended December 31, 2025 and 2024 and the Condensed Consolidated Financial Statements for the Three Months Ended March 31, 2026 and 2025 for information related to the issuance of new accounting standards in 2024. We are currently assessing the impact those new standards will have on our condensed consolidated financial statements and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April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60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7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Steven Lo</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59</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Jeroen N. Grasman</w:t>
            </w:r>
          </w:p>
        </w:tc>
        <w:tc>
          <w:tcPr>
            <w:tcW w:w="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Sean Tucker, Ph.D.</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Vice President and Chief Scientific Officer</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Edward B. Berg</w:t>
            </w:r>
          </w:p>
        </w:tc>
        <w:tc>
          <w:tcPr>
            <w:tcW w:w="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62</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James F. Cummings, M.D.</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60</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2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70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Kevin P. Finney</w:t>
            </w:r>
          </w:p>
        </w:tc>
        <w:tc>
          <w:tcPr>
            <w:tcW w:w="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Elaine J. Heron, Ph.D.</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78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 Mark Watson</w:t>
            </w:r>
          </w:p>
        </w:tc>
        <w:tc>
          <w:tcPr>
            <w:tcW w:w="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75</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Wheadon, M.D.</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68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James B. Breitmeyer, M.D., Ph.D.</w:t>
            </w:r>
          </w:p>
        </w:tc>
        <w:tc>
          <w:tcPr>
            <w:tcW w:w="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72</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Lo </w:t>
      </w:r>
      <w:r>
        <w:rPr>
          <w:rFonts w:ascii="Times New Roman" w:cs="Times New Roman" w:eastAsia="Times New Roman" w:hAnsi="Times New Roman"/>
          <w:sz w:val="18"/>
          <w:szCs w:val="18"/>
          <w:color w:val="auto"/>
        </w:rPr>
        <w:t>has served as our President, Chief Executive Officer, Principal Executive Officer, and a member of the board of directors since March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has over 30 years of experience in healthcare, biotechnology, and pharmaceutical industries, including over 15 years of C-level experience in publicly traded biotech companies. Prior to joining the Company, Mr. Lo served as Chief Executive Officer and a member of the board of directors of Valitor, Inc., a private biotech company, from August 2022 to March 2024. From October 2019 to August 2022, Mr. Lo was the President, Chief Executive Officer, and member of the board of directors of Zosano Pharma Corporation (“Zosano”), a clinical-stage biopharmaceutical company. From September 2015 to October 2019, he was the Chief Commercial Officer at Puma Biotechnology, Inc., a biopharmaceutical company with a focus on the development and commercialization of innovative products to enhance cancer care. At that company, he built and led business development and the worldwide commercialization of the company’s first product. Prior to that, he was Chief Commercial Officer of Corcept Therapeutics Incorporated, where he established the commercial organization to launch the company’s first product. Earlier in his career, he spent 13 years at Genentech, Inc., a member of Roche Group, in a variety of leadership roles of increasing responsibility in commercial and drug development. He worked in numerous areas, including oncology, endocrinology and other specialty therapeutics. Mr. Lo started his career in the pharmaceutical industry at AstraZeneca after holding positions in finance and operations at Kaiser Permanente. Mr. Lo obtained a Master of Health Administration from the University of Southern California and a B.S. in Microbiology from the University of California, Davis. We believe Mr. Lo is qualified to serve on the board of directors because of his extensive experience within the life sciences industry, including his experience leading, advising, and working with biotechnology companies.</w:t>
      </w:r>
    </w:p>
    <w:p>
      <w:pPr>
        <w:spacing w:after="0" w:line="18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Jeroen N. Grasman </w:t>
      </w:r>
      <w:r>
        <w:rPr>
          <w:rFonts w:ascii="Times New Roman" w:cs="Times New Roman" w:eastAsia="Times New Roman" w:hAnsi="Times New Roman"/>
          <w:sz w:val="18"/>
          <w:szCs w:val="18"/>
          <w:color w:val="auto"/>
        </w:rPr>
        <w:t>has served as our Chief Financial Officer since May 2025. From August 2021 to May 2025, Mr. Grasman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at AltruBio, a clinical-stage private biotech company. During his tenure at AltruBio, Mr. Grasman led a number of successful financings and helped scale the company for global clinical studies. From 2018 to 2021, Mr. Grasman served as Vice President, Finance and Operations at PACT Pharma, a clinical-stage private biotech company, where he was responsible for pre-IPO readiness, capital formation and scaling the Finance, Information Technology and Procurement organizations. Prior to joining PACT Pharma, Mr. Grasman served as Vice President, Finance at Intarcia Therapeutics and also spent more than 10 years at Genentech, holding financial leadership positions of increasing responsibility and geographical reach and building broad operational finance expertise across strategic planning, business development, clinical development, and manufacturing functions. Mr. Grasman earned a MSc in Applied Mathematics from Groningen University in the Netherlands and an MBA from Harvard Business School.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Tucker, Ph.D. </w:t>
      </w:r>
      <w:r>
        <w:rPr>
          <w:rFonts w:ascii="Times New Roman" w:cs="Times New Roman" w:eastAsia="Times New Roman" w:hAnsi="Times New Roman"/>
          <w:sz w:val="18"/>
          <w:szCs w:val="18"/>
          <w:color w:val="auto"/>
        </w:rPr>
        <w:t>has served as our Chief Scientific Officer since February 2010, and as Senior Vice President since March 2021. From March 2004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February 2010, Dr. Tucker served as our Vice President of Research and Director of Immunology. Prior to these roles, Dr. Tucker held numerous scientific and engineering roles at various biotechnology companies. Dr. Tucker received a B.S. in chemical engineering from the University of Washington, an M.S. in chemical engineering from the University of California, Berkeley and a Ph.D. in immunology from the University of Washington.</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B. Berg </w:t>
      </w:r>
      <w:r>
        <w:rPr>
          <w:rFonts w:ascii="Times New Roman" w:cs="Times New Roman" w:eastAsia="Times New Roman" w:hAnsi="Times New Roman"/>
          <w:sz w:val="18"/>
          <w:szCs w:val="18"/>
          <w:color w:val="auto"/>
        </w:rPr>
        <w:t>has served as our Senior Vice President and General Counsel since February 2022. Mr. Berg has served in senior legal positions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prominent healthcare companies for most of his more than 30-year career and has represented Fortune 500 and mid-cap companies in biotechnology, pharmaceuticals and life sciences. Prior to Vaxart, he served as VP, Deputy General Counsel for BioMarin Pharmaceutical Inc. from July 2018 to January 2022. Mr. Berg previously served as VP Legal and the head attorney supporting Novartis AG’s biosimilar / generic subsidiary, Sandoz US, from June 2016 to June 2018. Mr. Berg’s previous roles include Deputy General Counsel, Pharmaceutical Operations for Sanofi-Aventis U.S. LLC and Sanofi NA Pharmaceuticals, and Senior Corporate Counsel, Research &amp; Development at Bristol-Myers Squibb, Inc. He began his career in healthcare as Senior Attorney / Associate Counsel for Merck &amp; Co, Inc. Mr. Berg received a B.A. from Washington University in economics and political science and a law degree from the University of Pennsylvania Law School.</w:t>
      </w:r>
    </w:p>
    <w:p>
      <w:pPr>
        <w:spacing w:after="0" w:line="185"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F. Cummings, M.D. </w:t>
      </w:r>
      <w:r>
        <w:rPr>
          <w:rFonts w:ascii="Times New Roman" w:cs="Times New Roman" w:eastAsia="Times New Roman" w:hAnsi="Times New Roman"/>
          <w:sz w:val="17"/>
          <w:szCs w:val="17"/>
          <w:color w:val="auto"/>
        </w:rPr>
        <w:t>has served as our Chief Medical Officer since August 2021. Preceding his role at Vaxart, Dr. Cummings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of ICON Government and Public Health Solutions, Inc., a global clinical research organization, from January 2018 until September 2021, providing clinical trial and functional services to government and commercial customers, in support of global health. Prior to joining ICON, Dr. Cummings served as Vice President of Clinical Development and Translational Medicine at Novavax, Inc. from September 2015 until January 2018. There he led the development programs for all Emerging and Re-Emerging Infectious Diseases to provide a timely, broad response across the spectrum of emerging infectious diseases. Dr. Cummings retired as a Colonel in the U.S. Army after 26 years of service, during which he acquired proven track record in vaccine, drug and diagnostics development, and served as Director of the Department of Defense (DoD) Global Emerging Infectious Diseases Surveillance and Response Systems (DoD GEIS) leading Biosurveillance for the US DoD with laboratories and partners in 71 countries and as consultant to the Army Surgeon General for all medical research and development. A graduate of Georgetown University’s School of Medicine, Dr. Cummings trained in Internal Medicine and Infectious Diseases Fellowships at Walter Reed and the National Capital Consortium and has been elected to fellow in the American College of Physicians (FACP), the Infectious Diseases Society of America (FIDSA) and the American Society of Tropical Medicine and Hygiene (FASTMH).</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P. Finney </w:t>
      </w:r>
      <w:r>
        <w:rPr>
          <w:rFonts w:ascii="Times New Roman" w:cs="Times New Roman" w:eastAsia="Times New Roman" w:hAnsi="Times New Roman"/>
          <w:sz w:val="18"/>
          <w:szCs w:val="18"/>
          <w:color w:val="auto"/>
        </w:rPr>
        <w:t>has served as a member of our board of directors since January 2025. Mr. Kevin P. Finney is an experienced biotech executive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who has held numerous leadership roles in the healthcare industry, leading companies from early stages of development through to commercialization. Since November 2019, Mr. Kevin Finney has served as President, Chief Executive Officer, and Chairman of the board of directors of Autobahn Therapeutics, Inc., a biotechnology company developing a portfolio of neuropsychiatric and neuroimmunologic clinical candidates leveraging its brain-targeting chemistry platform. Previously, Mr. Kevin Finney served as President, Chief Operating Officer, and a director of Abide Therapeutics Inc. through the company's acquisition by H. Lundbeck A/S in 2019. Prior to this, Mr. Kevin Finney founded and served as the Chief Operating Officer of Zavante Therapeutics, Inc. through the company's acquisition by Nabriva Therapeutics PLC in 2018. Mr. Kevin Finney previously spent a decade as head of world-wide corporate development at Allergan, Inc., an international specialty pharmaceutical company operating in more than 100 countries worldwide, through the company’s merger with Actavis in 2015. Prior to Allergan, Mr. Kevin Finney held executive management roles at Prometheus Laboratories, Inc. (now a part of Nestle Health Science), Amylin Pharmaceuticals, Inc. (now a part of Bristol-Myers Squibb) and the Parke-Davis division of Warner-Lambert (now a part of Pfizer). Since January 2016, Mr. Kevin Finney has also served on the board of directors of Eirion Therapeutics, Inc. Mr. Kevin Finney previously served as Executive Chairman of the board of directors of Elsie Biotechnologies (now a part of GSK), a non-executive director of Anterios Inc. (now a part of Allergan), and Executive Chairman of the board of directors of Taris Biomedical (now a part of Johnson &amp; Johnson). Mr. Kevin Finney has a B.A. in Exercise Physiology from California State University, Long Beach, and an MBA from Pepperdine Graziadio Business School. We believe Mr. Kevin Finney is qualified to serve on the board of directors because of his extensive experience within the life sciences industry, including as an executive and a director in the biotechnology industry.</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Elaine J. Heron, Ph.D. </w:t>
      </w:r>
      <w:r>
        <w:rPr>
          <w:rFonts w:ascii="Times New Roman" w:cs="Times New Roman" w:eastAsia="Times New Roman" w:hAnsi="Times New Roman"/>
          <w:sz w:val="18"/>
          <w:szCs w:val="18"/>
          <w:color w:val="auto"/>
        </w:rPr>
        <w:t>has served as a member of our board of directors since August 2022. Dr. Heron has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BioMarin Pharmaceutical Inc. (Nasdaq: BMRN) since July 2002 and until May 2025 and on the board of directors of Palvella Therapeutics, Inc. (Nasdaq: PVLA) since December 2024. From February 2009 to October 2015, Dr. Heron served as Chair and CEO of Amplyx Pharmaceuticals, Inc., a private drug development company acquired by Pfizer, Inc. in April 2021. She currently serves on the boards of BlueWhale Bio, Inc., a private early stage therapeutics company, Enumera Molecular, Inc., a private diagnostics company, and Watershed Medical, Inc., a private early-stage therapeutics company. She previously served on the board of Visgenx, Inc., a private early-stage therapeutics company, until her departure in May 2026. From July 2001 to October 2008, Dr. Heron was Chair and CEO of Labcyte Inc., a private biotechnology company. Before joining Labcyte Inc., she spent six years in positions of increasing responsibility at the Applied Biosystems Group of Applera Corporation, a biotechnology company, including the position of General Manager and Vice President of Sales and Marketing. Dr. Heron earned a B.S. in chemistry with highest distinction and a Ph.D. in analytical biochemistry from Purdue University and an M.B.A. from Pepperdine University. We believe Dr. Heron is qualified to serve on the board of directors because of her extensive experience in life science sales and marketing, finance and accounting, corporate governance matters, and research and development.</w:t>
      </w:r>
    </w:p>
    <w:p>
      <w:pPr>
        <w:spacing w:after="0" w:line="18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Mark Watson </w:t>
      </w:r>
      <w:r>
        <w:rPr>
          <w:rFonts w:ascii="Times New Roman" w:cs="Times New Roman" w:eastAsia="Times New Roman" w:hAnsi="Times New Roman"/>
          <w:sz w:val="18"/>
          <w:szCs w:val="18"/>
          <w:color w:val="auto"/>
        </w:rPr>
        <w:t>has served as a member of our board of directors since August 2022 and as lead director since September 2025. Mr. Watson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Certified Public Accountant with over 40 years of experience in public accounting and auditing, having spent his entire career from January 1973 to June 2013 at Deloitte Touche Tohmatsu and its predecessor, including as Central Florida Marketplace Leader. He has served as lead audit partner and lead client service partner on public companies ranging from middle market firms to Fortune 500 enterprises. Mr. Watson also served as Chairman of the Board of Directors and Chairman of the Audit Committee of Inhibitor Therapeutics, Inc. and as a director and member of the Audit Committee of Sykes Enterprises, Inc and BioDelivery Sciences International, Inc. Mr. Watson served as a trustee of Tekla World Healthcare Fund (THW), Tekla Healthcare Opportunities Fund (THQ), Tekla Healthcare Investors (HQH), and Tekla Life Sciences Investors (HQL) until the Fall of 2023. Mr. Watson also serves on the Board of Moffitt Cancer Center and as Chair of its Joint Enterprise Risk, Audit and Compliance Committee. Mr. Watson is a member of the American Institute of Certified Public Accountants and the Florida Institute of Certified Public Accountants. He received his undergraduate degree in Accounting from Marquette University. We believe Mr. Watson is qualified to serve on the board of directors because of his extensive experience as a Certified Public Accountant focused on health and life sciences and his other professional and civic engagements.</w:t>
      </w:r>
    </w:p>
    <w:p>
      <w:pPr>
        <w:spacing w:after="0" w:line="18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Wheadon, M.D. </w:t>
      </w:r>
      <w:r>
        <w:rPr>
          <w:rFonts w:ascii="Times New Roman" w:cs="Times New Roman" w:eastAsia="Times New Roman" w:hAnsi="Times New Roman"/>
          <w:sz w:val="18"/>
          <w:szCs w:val="18"/>
          <w:color w:val="auto"/>
        </w:rPr>
        <w:t>has served as a member of our board of directors since April 2021. He served as Senior Vice President, Global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Affairs, Patient Safety and Quality Assurance for AstraZeneca Pharmaceuticals from 2014 to 2019 and as Executive Vice President, Research and Advocacy at the Juvenile Diabetes Research Foundation from 2013 to 2014. From 2009 to 2013, Dr. Wheadon served as Senior Vice President, Scientific and Regulatory Affairs and as a member of the Management Committee of the Pharmaceutical Research and Manufacturers of America (“PhRMA”). Prior to his joining PhRMA, Dr. Wheadon held senior regulatory and clinical development leader roles at Abbott Laboratories and GlaxoSmithKline plc. Dr. Wheadon began his career as a clinical research physician in neuroscience at Eli Lilly &amp; Company. He is a non-executive director of Sotera Health, Inc., Indivior, PLC, ConnectiveRx, and Seaport Therapeutics. He also serves as a member of the Board of Trustees of Mount Sinai Health System. He formerly served on the board of directors of Assertio Holdings, Inc. (formerly Assertio Therapeutics, Inc.), Karuna Therapeutics, Inc. and Chemocentryx, Inc. Dr. Wheadon holds an A.B. from Harvard College and an M.D. from Johns Hopkins University School of Medicine. He completed his fellowship training in Psychiatry at the Tufts, New England Medical Center. We believe Dr. Wheadon is qualified to serve as a member of the Board due to his extensive experience as an executive in the pharmaceutical industry and expertise in regulatory affairs, government policy and clinical strategy.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B. Breitmeyer, M.D., Ph.D. </w:t>
      </w:r>
      <w:r>
        <w:rPr>
          <w:rFonts w:ascii="Times New Roman" w:cs="Times New Roman" w:eastAsia="Times New Roman" w:hAnsi="Times New Roman"/>
          <w:sz w:val="18"/>
          <w:szCs w:val="18"/>
          <w:color w:val="auto"/>
        </w:rPr>
        <w:t>currently serves as the Chief Executive Officer and director of Altay Therapeutics, Inc. and as Operating Partner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SOLVE FSHD, a venture philanthropy group, since February 2026 and September 2025, respectively. Previously, Dr. Breitmeyer served as President and Chief Executive Officer of Oncternal Therapeutics, Inc. from February 2016 to June 2025. Dr. Breitmeyer is a veteran biotech executive with experience successfully starting and growing biotechnology organizations. He has been responsible for the development and implementation of operational and drug development strategies, as well as supervising and managing both large organizations and emerging biotechnology companies. Dr. Breitmeyer served as President of Bavarian Nordic, Inc. and Executive Vice President of Bavarian Nordic A/S, a multinational corporation headquartered in Denmark, from February 2013 to July 2015 where he oversaw business operations and development strategy both for Bavarian Nordic, Inc. and Bavarian Nordic A/S. He served as a director of Zogenix, Inc., then a public pharmaceutical company, from March 2014 until it was acquired by UCB S.A. in March 2022 and was acting Chief Medical Officer of Zogenix from August 2012 to February 2013 where he was responsible for clinical development and regulatory strategy. He previously served as the Executive Vice President of Development and Chief Medical Officer of Cadence Pharmaceuticals Inc., a public pharmaceutical company, from August 2006 to August 2012, and the Chief Medical Officer of Applied Molecular Evolution Inc., a wholly owned subsidiary of Eli Lilly and Co., a global pharmaceutical company, from December 2001 to August 2006. Dr. Breitmeyer was also the founder, President and Chief Executive Officer of the Harvard Clinical Research Institute, and Chief Medical Officer and Head of Research &amp; Development for North America at Serono Laboratories Inc., an international biopharmaceutical company. Dr. Breitmeyer served as a founding collaborator and scientific advisor to Immunogen Inc., a biotechnology company, and held clinical and teaching positions at the Dana Farber Cancer Institute and Harvard Medical School. Dr. Breitmeyer previously served as a director of Otonomy, Inc. Dr. Breitmeyer earned his B.A. in Chemistry from the University of California, Santa Cruz and his M.D. and Ph.D. from Washington University School of Medicine and is Board Certified in Internal Medicine and Oncology. He holds an active California medical license. We believe that Dr. Breitmeyer’s perspective and experience as Altay’s CEO and director, as well as his depth of operating and senior management experience in the pharmaceutical industry in both private and public organizations and educational background, provide him with the qualifications and abilities to serve as a director.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the members of the board of directors and our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the Board of Directors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listing standards, a majority of the members of a listed company’s board of directors must qualify as “independent,” as affirmatively determined by the board of directors. The board of directors consults with our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18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us, our senior management and our independent auditors, the board of directors has affirmatively determined that all of our current directors, other than Mr. Lo due to his positions as our current President and Chief Executive Officer, are independent within the meaning of the applicable Nasdaq listing standards. In making this determination, the board of directors found that none of the independent nominees for director had a material or other disqualifying relationship with Vaxart.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currently have separate individuals serving in the roles of Lead Director of the board of directors and Chief Executive Officer in recognition of the differences between the two roles. The board of directors believes that the decision as to whether the positions of Lead Director and Chief Executive Officer should be combined or separated, and whether an executive or an independent director should serve as Lead Director if the roles are split, should be based upon the particular circumstances facing the Company. The board of directors believes that it is important to retain the flexibility to allocate the responsibilities of the offices of Lead Director of the board of directors and Chief Executive Officer in any manner that it determines to be in the best interests of the Company and its stockholders. Our Chief Executive Officer is responsible for setting the strategic direction for the Company and the day-to-day leadership of the Company, while the Lead Director of the board of directors provides guidance to the Chief Executive Officer, prepares the agendas for board meetings, determines materials to be distributed to the board of directors, and presides over the meetings of the board of directors. We believe this balance of shared leadership between the two positions is appropriate and is a strength for the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except for our Chief Executive Officer, our board of directors is comprised of independent directors. The active involvement of these independent directors, combined with the qualifications and significant responsibilities of our Chief Executive Officer, provide balance in the board of directors and promote strong, independent oversight of our management and affairs.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of Directors in Risk Oversight</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has an active role, as a whole and also at the committee level, in overseeing management of Vaxart’s risks. The board of directors regularly reviews information regarding our credit, liquidity, and operations, as well as the risks associated with each. The Audit Committee’s charter mandates the Audit Committee to review and discuss with management and our independent registered public accounting firm, as appropriate, our major financial risk exposures and the steps taken by management to monitor and control these exposures. In addition, the Audit Committee discusses major financial, information security (including cybersecurity) and data privacy risk exposures and the steps management has taken to monitor and control such exposures. The Compensation Committee is responsible for overseeing the management of risks relating to our executive compensation plans and arrangements. The Nominating and Governance Committee manages risks associated with the independence of the board of directors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the Board of Directors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met eleven times during 2025. Each member of the board of directors attended 75% or more of the aggregate number of meetings of the board of directors and of the committees on which the member served, held during the portion of 2025 for which the member was a director or committee member.</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required under applicable Nasdaq listing standards, during the fiscal year ended December 31, 2025, the Vaxart independent directors met at least twice in regularly scheduled executive sessions at which only independent directors were present. Dr. Michael J. Finney, the Board Chair, presided over the executive sessions until his retirement on September 30, 2025. W. Mark Watson, the Lead Director, presided over the executive sessions for the remainder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an Audit Committee, a Compensation Committee, and a Nominating and Governance Committee. The Science and Technology Committee was disbanded by the Company on September 30, 2025. The board of directors has adopted a written charter for each committee that is available to stockholders on the Investors section of our website at </w:t>
      </w:r>
      <w:r>
        <w:rPr>
          <w:rFonts w:ascii="Times New Roman" w:cs="Times New Roman" w:eastAsia="Times New Roman" w:hAnsi="Times New Roman"/>
          <w:sz w:val="18"/>
          <w:szCs w:val="18"/>
          <w:i w:val="1"/>
          <w:iCs w:val="1"/>
          <w:color w:val="auto"/>
        </w:rPr>
        <w:t>http://www.vaxart.com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membership and meeting information for each of the committees of the board of directors during 2025:</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Nominating</w:t>
            </w:r>
          </w:p>
        </w:tc>
      </w:tr>
      <w:tr>
        <w:trPr>
          <w:trHeight w:val="216"/>
        </w:trPr>
        <w:tc>
          <w:tcPr>
            <w:tcW w:w="3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and</w:t>
            </w:r>
          </w:p>
        </w:tc>
      </w:t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4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216"/>
        </w:trPr>
        <w:tc>
          <w:tcPr>
            <w:tcW w:w="3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Dr. Michael J. Finney</w:t>
            </w:r>
            <w:r>
              <w:rPr>
                <w:rFonts w:ascii="Times New Roman" w:cs="Times New Roman" w:eastAsia="Times New Roman" w:hAnsi="Times New Roman"/>
                <w:sz w:val="25"/>
                <w:szCs w:val="25"/>
                <w:color w:val="auto"/>
                <w:vertAlign w:val="superscript"/>
              </w:rPr>
              <w:t>(1)</w:t>
            </w:r>
          </w:p>
        </w:tc>
        <w:tc>
          <w:tcPr>
            <w:tcW w:w="26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2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Lo</w:t>
            </w:r>
          </w:p>
        </w:tc>
        <w:tc>
          <w:tcPr>
            <w:tcW w:w="26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2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2640" w:type="dxa"/>
            <w:vAlign w:val="bottom"/>
            <w:shd w:val="clear" w:color="auto" w:fill="CCEEFF"/>
          </w:tcPr>
          <w:p>
            <w:pPr>
              <w:spacing w:after="0"/>
              <w:rPr>
                <w:sz w:val="18"/>
                <w:szCs w:val="18"/>
                <w:color w:val="auto"/>
              </w:rPr>
            </w:pPr>
          </w:p>
        </w:tc>
        <w:tc>
          <w:tcPr>
            <w:tcW w:w="2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Robert A. Yedid</w:t>
            </w:r>
            <w:r>
              <w:rPr>
                <w:rFonts w:ascii="Times New Roman" w:cs="Times New Roman" w:eastAsia="Times New Roman" w:hAnsi="Times New Roman"/>
                <w:sz w:val="25"/>
                <w:szCs w:val="25"/>
                <w:color w:val="auto"/>
                <w:vertAlign w:val="superscript"/>
              </w:rPr>
              <w:t>(2)</w:t>
            </w:r>
          </w:p>
        </w:tc>
        <w:tc>
          <w:tcPr>
            <w:tcW w:w="2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Kevin P. Finney</w:t>
            </w:r>
            <w:r>
              <w:rPr>
                <w:rFonts w:ascii="Times New Roman" w:cs="Times New Roman" w:eastAsia="Times New Roman" w:hAnsi="Times New Roman"/>
                <w:sz w:val="25"/>
                <w:szCs w:val="25"/>
                <w:color w:val="auto"/>
                <w:vertAlign w:val="superscript"/>
              </w:rPr>
              <w:t>(3)</w:t>
            </w:r>
          </w:p>
        </w:tc>
        <w:tc>
          <w:tcPr>
            <w:tcW w:w="2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spacing w:after="0"/>
              <w:rPr>
                <w:sz w:val="18"/>
                <w:szCs w:val="18"/>
                <w:color w:val="auto"/>
              </w:rPr>
            </w:pPr>
          </w:p>
        </w:tc>
        <w:tc>
          <w:tcPr>
            <w:tcW w:w="2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2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Committee Chair</w:t>
      </w:r>
    </w:p>
    <w:p>
      <w:pPr>
        <w:spacing w:after="0" w:line="225" w:lineRule="exact"/>
        <w:rPr>
          <w:sz w:val="20"/>
          <w:szCs w:val="20"/>
          <w:color w:val="auto"/>
        </w:rPr>
      </w:pPr>
    </w:p>
    <w:p>
      <w:pPr>
        <w:ind w:left="5500" w:right="4980" w:hanging="5492"/>
        <w:spacing w:after="0" w:line="532" w:lineRule="auto"/>
        <w:tabs>
          <w:tab w:leader="none" w:pos="2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J. Finney resigned from the Board and committees in September 2025.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 Yedid resigned from the Board and committees in January 2025.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P. Finney was appointed to the Board and associated committees in January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Below is a description of the Audit Committee, Compensation Committee, and Nominating and Governance Committee of the board of directors. Each of the committees has authority to engage legal counsel or other experts or consultants, as it deems appropriate to carry out its responsibilities.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The members of our Audit Committee are Mr. Kevin P. Finney, Dr. Heron, and Mr. Watson. Mr. Watson serves as Chair of the Audit Committee. The board of directors reviews the Nasdaq listing standards definition of independence for Audit Committee members on an annual basis and has determined that all members of the Audit Committee are independent (as independence is currently defined in Rule 5605(c)(2)(A)(i) and (ii) of the Nasdaq listing standards). The Audit Committee held four meetings and acted through written consent in lieu of holding a meeting two times during 2025.</w:t>
      </w:r>
    </w:p>
    <w:p>
      <w:pPr>
        <w:spacing w:after="0" w:line="16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determined that Mr. Watson qualifies as an “audit committee financial expert,” as defined in applicable SEC rules. The board of directors made a qualitative assessment of Mr. Watson’s level of knowledge and experience based on a number of factors, including Mr. Watson’s over 40 years of experience in public accounting and auditing and status as a Certified Public Accountant.</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of directors with respect to our accounting, financial, and other reporting and internal control practices and to oversee its independent registered accounting firm. Specific responsibilities of the Audit Committee include:</w:t>
      </w:r>
    </w:p>
    <w:p>
      <w:pPr>
        <w:spacing w:after="0" w:line="176" w:lineRule="exact"/>
        <w:rPr>
          <w:sz w:val="20"/>
          <w:szCs w:val="20"/>
          <w:color w:val="auto"/>
        </w:rPr>
      </w:pPr>
    </w:p>
    <w:p>
      <w:pPr>
        <w:ind w:left="1300" w:hanging="1292"/>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the Company’s financial statements;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300" w:right="280" w:hanging="1292"/>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auditors, the Company’s interim and year-end operating results;</w:t>
      </w:r>
    </w:p>
    <w:p>
      <w:pPr>
        <w:spacing w:after="0" w:line="161"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anonymously submit concerns about questionable accounting, ethical, and auditing matters;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223" w:lineRule="exact"/>
        <w:rPr>
          <w:rFonts w:ascii="Times New Roman" w:cs="Times New Roman" w:eastAsia="Times New Roman" w:hAnsi="Times New Roman"/>
          <w:sz w:val="18"/>
          <w:szCs w:val="18"/>
          <w:color w:val="auto"/>
        </w:rPr>
      </w:pPr>
    </w:p>
    <w:p>
      <w:pPr>
        <w:ind w:left="1300" w:right="120" w:hanging="1292"/>
        <w:spacing w:after="0" w:line="284"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type and presentation of the Company’s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disclosures and the adequacy and effectiveness of applicable internal controls related to such disclosures;</w:t>
      </w:r>
    </w:p>
    <w:p>
      <w:pPr>
        <w:spacing w:after="0" w:line="160"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in accordance with the Company’s policies and procedures with respect to related party transactions;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cyber risk on a quarterly basis and reporting to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right="60" w:hanging="1292"/>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 independent auditor’s internal quality control procedures, any material issues with such procedures, and any steps taken to deal with such issues when required by applicable law, as well as all relationships between the independent auditor and the Company or any of its subsidiaries; and</w:t>
      </w:r>
    </w:p>
    <w:p>
      <w:pPr>
        <w:spacing w:after="0" w:line="17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of the Audit Committee of the Board of Directors</w:t>
      </w:r>
    </w:p>
    <w:p>
      <w:pPr>
        <w:spacing w:after="0" w:line="227" w:lineRule="exact"/>
        <w:rPr>
          <w:sz w:val="20"/>
          <w:szCs w:val="20"/>
          <w:color w:val="auto"/>
        </w:rPr>
      </w:pPr>
    </w:p>
    <w:p>
      <w:pPr>
        <w:ind w:firstLine="324"/>
        <w:spacing w:after="0" w:line="223" w:lineRule="exact"/>
        <w:rPr>
          <w:sz w:val="20"/>
          <w:szCs w:val="20"/>
          <w:color w:val="auto"/>
        </w:rPr>
      </w:pPr>
      <w:r>
        <w:rPr>
          <w:rFonts w:ascii="Times New Roman" w:cs="Times New Roman" w:eastAsia="Times New Roman" w:hAnsi="Times New Roman"/>
          <w:sz w:val="18"/>
          <w:szCs w:val="18"/>
          <w:color w:val="auto"/>
        </w:rPr>
        <w:t>The Audit Committee reviewed and discussed the audited financial statements for the year ended December 31, 2025 with Vaxart’s management. The Audit Committee discussed with Vaxart’s independent registered public accounting firm the matters required to be discussed by the applicable requirements of the Public Company Accounting Oversight Board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and the SEC. The Audit Committee also received the written disclosures and the letter from Vaxart’s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of directors that the audited financial statements be included in Vaxart’s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Mark Watson (Lead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P. Finney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Elaine J. Heron, Ph.D.</w:t>
      </w:r>
    </w:p>
    <w:p>
      <w:pPr>
        <w:spacing w:after="0" w:line="20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material in this report is not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not deemed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Commission and is not to be incorporated by reference in any filing of Vaxart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whether made before or after the date hereof and irrespective of any general incorporation language in any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Dr. Heron, Mr. Watson, and Dr. Wheadon. Dr. Wheadon serves as Chair of the Compensation Committee. All members of the Compensation Committee are independent (as independence is currently defined in Rule 5605(d)(2) of the Nasdaq listing standards). The Compensation Committee held five meetings and acted through written consent in lieu of holding a meeting two times during 2025.</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the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176" w:lineRule="exact"/>
        <w:rPr>
          <w:sz w:val="20"/>
          <w:szCs w:val="20"/>
          <w:color w:val="auto"/>
        </w:rPr>
      </w:pPr>
    </w:p>
    <w:p>
      <w:pPr>
        <w:ind w:left="1300" w:hanging="1292"/>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225" w:lineRule="exact"/>
        <w:rPr>
          <w:rFonts w:ascii="Times New Roman" w:cs="Times New Roman" w:eastAsia="Times New Roman" w:hAnsi="Times New Roman"/>
          <w:sz w:val="18"/>
          <w:szCs w:val="18"/>
          <w:color w:val="auto"/>
        </w:rPr>
      </w:pPr>
    </w:p>
    <w:p>
      <w:pPr>
        <w:ind w:left="1300" w:right="560" w:hanging="1292"/>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terms of compensatory arrangements with our executive officers;</w:t>
      </w:r>
    </w:p>
    <w:p>
      <w:pPr>
        <w:spacing w:after="0" w:line="161"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administering our stock and equity compensation, incentive compensation, and other employee benefit plans;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right="40" w:hanging="1292"/>
        <w:spacing w:after="0" w:line="312" w:lineRule="auto"/>
        <w:tabs>
          <w:tab w:leader="none" w:pos="13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reviewing, and consulting with and advising management on, the Company’s strategies and policies related to human capital management, including talent acquisition, development and retention, internal pay equity, diversity and inclusion and corporate culture;</w:t>
      </w:r>
    </w:p>
    <w:p>
      <w:pPr>
        <w:spacing w:after="0" w:line="139" w:lineRule="exact"/>
        <w:rPr>
          <w:rFonts w:ascii="Times New Roman" w:cs="Times New Roman" w:eastAsia="Times New Roman" w:hAnsi="Times New Roman"/>
          <w:sz w:val="17"/>
          <w:szCs w:val="17"/>
          <w:color w:val="auto"/>
        </w:rPr>
      </w:pPr>
    </w:p>
    <w:p>
      <w:pPr>
        <w:ind w:left="1300" w:hanging="1292"/>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succession process for leadership talent for the Company, including for the CEO and selected senior executives;</w:t>
      </w:r>
    </w:p>
    <w:p>
      <w:pPr>
        <w:spacing w:after="0" w:line="225" w:lineRule="exact"/>
        <w:rPr>
          <w:rFonts w:ascii="Times New Roman" w:cs="Times New Roman" w:eastAsia="Times New Roman" w:hAnsi="Times New Roman"/>
          <w:sz w:val="18"/>
          <w:szCs w:val="18"/>
          <w:color w:val="auto"/>
        </w:rPr>
      </w:pPr>
    </w:p>
    <w:p>
      <w:pPr>
        <w:ind w:left="1300" w:right="340" w:hanging="1292"/>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advisers;</w:t>
      </w:r>
    </w:p>
    <w:p>
      <w:pPr>
        <w:spacing w:after="0" w:line="161" w:lineRule="exact"/>
        <w:rPr>
          <w:rFonts w:ascii="Times New Roman" w:cs="Times New Roman" w:eastAsia="Times New Roman" w:hAnsi="Times New Roman"/>
          <w:sz w:val="18"/>
          <w:szCs w:val="18"/>
          <w:color w:val="auto"/>
        </w:rPr>
      </w:pPr>
    </w:p>
    <w:p>
      <w:pPr>
        <w:ind w:left="1300" w:right="380" w:hanging="1292"/>
        <w:spacing w:after="0" w:line="26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 and</w:t>
      </w:r>
    </w:p>
    <w:p>
      <w:pPr>
        <w:spacing w:after="0" w:line="175" w:lineRule="exact"/>
        <w:rPr>
          <w:rFonts w:ascii="Times New Roman" w:cs="Times New Roman" w:eastAsia="Times New Roman" w:hAnsi="Times New Roman"/>
          <w:sz w:val="18"/>
          <w:szCs w:val="18"/>
          <w:color w:val="auto"/>
        </w:rPr>
      </w:pPr>
    </w:p>
    <w:p>
      <w:pPr>
        <w:ind w:left="1300" w:right="880" w:hanging="1292"/>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Committee Processes and Procedures</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Typically, the Compensation Committee will meet at least twice annually and with greater frequency if necessary. The agenda for each meeting is usually developed by the Chair of the Compensation Committee, in consultation with the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or her compensation. The charter of the Compensation Committee grants the Compensation Committee full access to all books, records, facilities, and personnel of the Company.</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charter authorizes the Compensation Committee to delegate authority to one or more members of the Compensation Committee or to one or more executive officers of the Company, and to form and delegate authority to one or more subcommittees and to one or more committees of executive officers of the Company for any purpose that the Compensation Committee deems appropriate, except that the Compensation Committee may not delegate authority to approve compensation for the Company’s Chief Executive Officer or other officers of the Company subject to the reporting requirements under Section 16(a) of the Exchange Act, unless such delegation is to a subcommittee consisting of at least two members of the Compensation Committee.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its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During 2025, the Compensation Committee approved the continued engagement of Aon Consulting, Inc. (“</w:t>
      </w:r>
      <w:r>
        <w:rPr>
          <w:rFonts w:ascii="Times New Roman" w:cs="Times New Roman" w:eastAsia="Times New Roman" w:hAnsi="Times New Roman"/>
          <w:sz w:val="18"/>
          <w:szCs w:val="18"/>
          <w:i w:val="1"/>
          <w:iCs w:val="1"/>
          <w:color w:val="auto"/>
        </w:rPr>
        <w:t>Aon</w:t>
      </w:r>
      <w:r>
        <w:rPr>
          <w:rFonts w:ascii="Times New Roman" w:cs="Times New Roman" w:eastAsia="Times New Roman" w:hAnsi="Times New Roman"/>
          <w:sz w:val="18"/>
          <w:szCs w:val="18"/>
          <w:color w:val="auto"/>
        </w:rPr>
        <w:t>”) to provide advisory services on various aspects of the Company’s compensation practices. In fiscal year 2025, the aggregate fees paid to Aon for all services totaled $201,046, of which $153,149 has been expended for insurance brokerage-related services performed at the recommendation of management.</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members of our Nominating and Governance Committee are Mr. Kevin P. Finney, Dr. Heron, and Dr. Wheadon. Dr. Heron serves as Chair of the Nominating and Governance Committee. Each of the members of the Nominating and Governance Committee are independent (as independence is currently defined in Rule 5605(a)(2) of the Nasdaq listing standards). The Nominating and Governance Committee held four meetings and acted by written consent in lieu of holding meetings one time during 2025. Specific responsibilities of the Nominating and Governance Committee include:</w:t>
      </w:r>
    </w:p>
    <w:p>
      <w:pPr>
        <w:spacing w:after="0" w:line="180" w:lineRule="exact"/>
        <w:rPr>
          <w:sz w:val="20"/>
          <w:szCs w:val="20"/>
          <w:color w:val="auto"/>
        </w:rPr>
      </w:pPr>
    </w:p>
    <w:p>
      <w:pPr>
        <w:ind w:left="1300" w:right="680" w:hanging="1292"/>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161" w:lineRule="exact"/>
        <w:rPr>
          <w:rFonts w:ascii="Times New Roman" w:cs="Times New Roman" w:eastAsia="Times New Roman" w:hAnsi="Times New Roman"/>
          <w:sz w:val="18"/>
          <w:szCs w:val="18"/>
          <w:color w:val="auto"/>
        </w:rPr>
      </w:pPr>
    </w:p>
    <w:p>
      <w:pPr>
        <w:ind w:left="1300" w:hanging="1292"/>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evaluation of the effectiveness and performance of the board of directors, and periodically conducting an individual evaluation of each director;</w:t>
      </w:r>
    </w:p>
    <w:p>
      <w:pPr>
        <w:spacing w:after="0" w:line="161"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of directors regarding the composition of the committees of the board of directors;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corporate governance practices and reporting;</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plans for key executive officers;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225" w:lineRule="exact"/>
        <w:rPr>
          <w:rFonts w:ascii="Times New Roman" w:cs="Times New Roman" w:eastAsia="Times New Roman" w:hAnsi="Times New Roman"/>
          <w:sz w:val="18"/>
          <w:szCs w:val="18"/>
          <w:color w:val="auto"/>
        </w:rPr>
      </w:pPr>
    </w:p>
    <w:p>
      <w:pPr>
        <w:ind w:left="1300" w:right="280" w:hanging="1292"/>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overseeing and monitoring the Company’s approach and strategy relating to environmental, legal and social responsibility, diversity, and other corporate citizenship and sustainability matters; and</w:t>
      </w:r>
    </w:p>
    <w:p>
      <w:pPr>
        <w:spacing w:after="0" w:line="161"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 performance.</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Governance Committee believes that candidates for director should have certain minimum qualifications, including the ability to read and understand basic financial statements, being over 21 years of age and having the highest personal integrity and ethics. The Nominating and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However, the Nominating and Governance Committee retains the right to modify these qualifications from time to time. Candidates for director nominees are reviewed in the context of the current composition of the board of directors, the operating requirements of the Company and the long-term interests of stockholders. In conducting this assessment, the Nominating and Governance Committee typically considers diversity, age, skills, and such other factors as it deems appropriate, given the current needs of the board and the Company, to maintain a balance of knowledge, experience, and capability.</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Governance Committee reviews these directors’ overall service to Vaxart during their terms, including the number of meetings attended, level of participation, quality of performance and any other relationships and transactions that might impair the directors’ independence. The Nominating and Governance Committee also takes into account the results of the board of directors’ self-evaluation, conducted annually on a group and individual basis. In the case of new director candidates, the Nominating and Governance Committee also determines whether the nominee is independent for Nasdaq purposes, which determination is based upon applicable Nasdaq listing standards, applicable SEC rules and regulations, and the advice of counsel, if necessary. The Nominating and Governance Committee then uses its network of contacts to compile a list of potential candidates, but may also engage, if it deems appropriate, a professional search firm to identify director candidates. The Nominating and Governance Committee conducts any appropriate and necessary inquiries into the backgrounds and qualifications of possible candidates after considering the function and needs of the board of directors. The Nominating and Governance Committee meets to discuss and consider the candidates’ qualifications and then selects a nominee for recommendation to the board of directors by majority vote.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Governance Committee will consider director candidates recommended by stockholders. The Nominating and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Governance Committee to become nominees for election to the board of directors may do so by delivering a written recommendation to the Nominating and Governance Committee at the following address: 310 Utah Avenue, Suite 150, South San Francisco, CA 94080.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Vaxart’s stock and has been a holder for at least one year. Any such submission must be accompanied by the written consent of the proposed nominee to be named as a nominee and to serve as a director if elected.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Communications addressed to the board of directors will be reviewed by one or more Vaxart executive officers, who will determine whether the communication should be presented to the board of directors. The purpose of this screening is to allow the board of directors to avoid having to consider irrelevant or inappropriate communications (such as advertisements, solicitations, and hostile communications).</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Communications to the board of directors must be sent in writing in care of our Corporate Secretary to our headquarters at 310 Utah Avenue, Suite 150, South San Francisco, CA 94080 or delivered via e-mail to ir@vaxart.com. All communications directed to the Audit Committee in accordance with our whistleblower policy that relate to questionable accounting or auditing matters involving Vaxart will be promptly and directly forwarded to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Anti-Hedging/Pledging Policy</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and other employees, as well as consultants, contractors, advisors, and agents of the Company, from engaging in speculative trading activities, including hedging transactions (such as zero-cost collars and forward sale contracts) or other inherently speculative transactions with respect to our securities, and from pledging our securities as collateral for any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adopted a Compensation Recovery Policy in October 2023, which applies to certain incentive compensation received by an executive officer on or after October 2, 2023 and which complies with the applicable requirements for compensation recovery (or “clawback”) policies adopted by the SEC and The Nasdaq Stock Market. Pursuant to the policy, if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Compensation Committee will cause the Company to recovery reasonably promptly, subject to certain exceptions, any erroneously awarded incentive compensation received by any covered executive officer during the three completed fiscal years immediately preceding the date on which the Company is required to prepare such an accounting restatement. Covered executive officers include both current and former executive officers.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board of directors has documented our governance practices by adopting Corporate Governance Principles to assure that the board of directors will have the necessary authority and practices in place to review and evaluate our business operations as needed and to make decisions that are independent of our management. The Corporate Governance Principles are also intended to align the interests of directors and management with those of our stockholders. The Corporate Governance Principles set forth the practices the board of directors intends to follow with respect to board composition and selection, board meetings and involvement of senior management, chief executive officer performance evaluation and succession planning, and board committees and compensation. The Corporate Governance Principles, as well as the charters for each committee of the board of directors, may be viewed on the Investors section of our website at </w:t>
      </w:r>
      <w:r>
        <w:rPr>
          <w:rFonts w:ascii="Times New Roman" w:cs="Times New Roman" w:eastAsia="Times New Roman" w:hAnsi="Times New Roman"/>
          <w:sz w:val="18"/>
          <w:szCs w:val="18"/>
          <w:i w:val="1"/>
          <w:iCs w:val="1"/>
          <w:u w:val="single" w:color="auto"/>
          <w:color w:val="auto"/>
        </w:rPr>
        <w:t>http://www.vaxart.com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for services rendered that was earned by our named executive officers during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6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72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Awards(2)</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Compensation(3)</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Compensation(4)</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Lo</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650,000</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776,203</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964,910</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12,306</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2,810,918</w:t>
            </w:r>
          </w:p>
        </w:tc>
      </w:tr>
      <w:tr>
        <w:trPr>
          <w:trHeight w:val="196"/>
        </w:trPr>
        <w:tc>
          <w:tcPr>
            <w:tcW w:w="340" w:type="dxa"/>
            <w:vAlign w:val="bottom"/>
          </w:tcPr>
          <w:p>
            <w:pPr>
              <w:spacing w:after="0"/>
              <w:rPr>
                <w:sz w:val="17"/>
                <w:szCs w:val="17"/>
                <w:color w:val="auto"/>
              </w:rPr>
            </w:pPr>
          </w:p>
        </w:tc>
        <w:tc>
          <w:tcPr>
            <w:tcW w:w="17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473,810</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290,000</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1,044,370</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5,588</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2,085,768</w:t>
            </w:r>
          </w:p>
        </w:tc>
      </w:tr>
      <w:tr>
        <w:trPr>
          <w:trHeight w:val="216"/>
        </w:trPr>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James Cummings, M.D.</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521,000</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208,116</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302,106</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13,272</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1,254,494</w:t>
            </w:r>
          </w:p>
        </w:tc>
      </w:tr>
      <w:tr>
        <w:trPr>
          <w:trHeight w:val="216"/>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488,087</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104,400</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428,192</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12,156</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1,212,535</w:t>
            </w:r>
          </w:p>
        </w:tc>
      </w:tr>
      <w:tr>
        <w:trPr>
          <w:trHeight w:val="216"/>
        </w:trPr>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465,000</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208,116</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279,220</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1,144,358</w:t>
            </w:r>
          </w:p>
        </w:tc>
      </w:tr>
      <w:tr>
        <w:trPr>
          <w:trHeight w:val="216"/>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446,267</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104,400</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428,192</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11,872</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1,155,031</w:t>
            </w:r>
          </w:p>
        </w:tc>
      </w:tr>
      <w:tr>
        <w:trPr>
          <w:trHeight w:val="270"/>
        </w:trPr>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line="252" w:lineRule="exact"/>
        <w:rPr>
          <w:sz w:val="20"/>
          <w:szCs w:val="20"/>
          <w:color w:val="auto"/>
        </w:rPr>
      </w:pPr>
    </w:p>
    <w:p>
      <w:pPr>
        <w:ind w:left="1300" w:right="100" w:hanging="1292"/>
        <w:spacing w:after="0" w:line="25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time-based restricted stock unit awards computed in accordance with the Financial Accounting Standards Board, or FASB, Accounting Standards Codification, or ASC, Topic 718. See Note 10 to the consolidated financial statements included in our Annual Report for the fiscal year ended December 31, 2025, filed with the SEC on March 13, 2026, for a discussion of the relevant assumptions used in calculating value pursuant to FASB ASC Topic 718. As required by SEC rules, the amounts shown exclude the impact of estimated forfeitures related to service-based vesting conditions. For 2025, the amount also includes the additional grant of 151,351 restricted stock unit awards as a spot bonus awarded to Mr. Lo related to his leadership.</w:t>
      </w:r>
    </w:p>
    <w:p>
      <w:pPr>
        <w:spacing w:after="0" w:line="187" w:lineRule="exact"/>
        <w:rPr>
          <w:rFonts w:ascii="Times New Roman" w:cs="Times New Roman" w:eastAsia="Times New Roman" w:hAnsi="Times New Roman"/>
          <w:sz w:val="18"/>
          <w:szCs w:val="18"/>
          <w:color w:val="auto"/>
        </w:rPr>
      </w:pPr>
    </w:p>
    <w:p>
      <w:pPr>
        <w:ind w:left="1300" w:right="80" w:hanging="1292"/>
        <w:spacing w:after="0" w:line="255"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stock option awards for the applicable year computed in accordance with ASC Topic 718. See Note 10 to the consolidated financial statements included in our Annual Report for the fiscal year ended December 31, 2025, filed with the SEC on March 13, 2026, for a discussion of the relevant assumptions used in calculating the grant date fair value pursuant to FASB ASC Topic 718.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For 2025, the amount also includes an additional grant of 50,000 stock option awards as a spot bonus awarded to Mr. Cummings in recognition of his achievements.</w:t>
      </w:r>
    </w:p>
    <w:p>
      <w:pPr>
        <w:spacing w:after="0" w:line="188" w:lineRule="exact"/>
        <w:rPr>
          <w:rFonts w:ascii="Times New Roman" w:cs="Times New Roman" w:eastAsia="Times New Roman" w:hAnsi="Times New Roman"/>
          <w:sz w:val="18"/>
          <w:szCs w:val="18"/>
          <w:color w:val="auto"/>
        </w:rPr>
      </w:pPr>
    </w:p>
    <w:p>
      <w:pPr>
        <w:ind w:left="1300" w:right="160" w:hanging="1292"/>
        <w:spacing w:after="0" w:line="26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bonuses awarded to the named executive officers for the applicable year under the Short-Term Incentive Program. For 2025, the amount also includes the additional cash bonuses awarded to Dr. Cummings and Dr. Tucker under the 2024 Trial Launch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right="460" w:hanging="1292"/>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employer match under the Company’s 401(k) plan, premiums paid by the Company under the group-term life insurance program, and an employer match under the Health Savings Account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Total Direct Compensation</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 brief summary of our total direct compensation - consisting of base salary, STI opportunities and LTI opportunities - for our named executive officers is set forth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Salaries</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provide a base salary to retain and attract key executive talent and to align our compensation with market practices. Base salaries are reviewed and established by the Compensation Committee on a competitive basis each year to better align with market levels.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During the annual performance review process in February 2025, the Compensation Committee approved an 8.3% merit increase for Mr. Lo, a 6.7% merit increase for Dr. Cummings, and a 4.2% merit increase for Dr. Tucker, in each case effective January 1, 2025. These adjustments were intended to recognize each executive’s contributions to the Company and to align their base salary levels with the market data.</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2025 base salaries for each of our named executive officers, please refer to the “Salary” column of the 2025 Summary Compensation Table on page 12.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 Compensation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STI program is designed to motivate our named executive officers to achieve annual business plan objectives and individual goals.</w:t>
      </w:r>
    </w:p>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Each year the Compensation Committee establishes a STI award opportunity for our named executive officers. The Compensation Committee did not make any changes to the target STI award opportunities for Dr. Cummings and Dr. Tucker, which remained at 40% of their annual base salary. Mr. Lo’s target STI award opportunity was increased from 50% to 55% of his annual base salary, plus increased STI award payment for 2025 of an additional $49,500, resulted in effective STI award opportunity of 63%.</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2025 STI payout levels were determined by the Compensation Committee based on an overall assessment of corporate performance and individual contributions. The Compensation Committee approved certain corporate goals and objectives at the beginning of the year that generally focused on deliverables with respect to four primary areas: finance (focus on the Company’s long-term viability), COVID-19 (relating to the partnership with BARDA for execution of the phase 2b trial), advancing the pipeline (generate preclinical and clinical data as well as enhance manufacturing capabilities), and operational excellence (maintain a culture of effectiveness, efficiency, compliance and strategic alignment across the enterprise).</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Based on its assessment of overall corporate performance and the individual contributions of each participating executive, and its desire to retain a management team that is essential to our continued success, the Compensation Committee recommended, and the board of directors approved, an overall achievement level of 100% for the 2025 STI program, which funded a bonus pool that was allocated among the named executive officers based on recommendations of the Chief Executive Officer (other than with respect to himself) and final approval by the board of directors. The 2025 STI payouts were as follows: $407,000 for Mr. Lo; $210,000 for Dr. Cummings; and $180,000 for Dr. Tucker.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Trial Launch Bonus Program</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February 2024, the board of directors, upon the recommendation of the Compensation Committee, approved a $1,000,000 bonus pool under a Trial Launch Bonus Program, that would be allocated and payable to each employee selected by the Chief Executive Officer (including Dr. Cummings and Dr. Tucker). Under this program, each of Dr. Cummings and Dr. Tucker were eligible to a pro-rata share of the bonus pool equal to 30% of his annual salary as in effect as of December 31, 2023, if he remained employed through the date that the first 1,000 volunteers in the Phase 2 trial had been dosed, which occurred on June 16, 2025. Dr. Cummings received a payout of $45,498 and Dr. Tucker received a payout of $43,114 under this program.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Spot Bonus</w:t>
      </w:r>
    </w:p>
    <w:p>
      <w:pPr>
        <w:spacing w:after="0" w:line="22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On March 5, 2025, the board of directors approved a spot bonus grant of a stock option to purchase 50,000 shares to Dr. Cummings to recognize his performance that shall vest as to 25% of the underlying shares of common stock on the first anniversary of the grant date and thereafter in thirty-six (36) equal monthly installments.</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December 4, 2025, the board of directors approved a spot bonus for Mr. Lo in the amount of $56,000 to reflect his leadership with respect to the Phase 2 trial and the licensing agreement with Dynavax. In lieu of cash, this spot bonus was paid to Mr. Lo in December 2025 by the issuance of fully vested restricted stock unit grant of 151,351 shares of common stock of equivalent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a competitive LTI program is an important component of total direct compensation because it: (i) enhances the retentive value of our compensation; (ii) rewards executives for increasing our stock price and developing long-term value; and (iii) provides executives with an opportunity for stock ownership to align their interests with those of our stockholders.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the annual performance review process in 2025, the Compensation Committee, with the help of Aon, its independent compensation consultant, conducted a review of the LTI award opportunities for our officers. The Compensation Committee recommended, and the board of directors approved, a grant to (i) Mr. Lo of a stock option to purchase 2,108,000 shares and a restricted stock unit award covering 1,405,000 shares; (ii) to each of Dr. Cummings and Dr. Tucker, a stock option to purchase 610,000 shares and a restricted stock unit award covering 406,000 shares. Each stock option vests one-fourth on the first anniversary of the vesting commencement date and thereafter in equal monthly installments over the next three years, and each restricted stock unit award vests in four equal annual installments. In addition, during the annual performance review process in 2025, and as part of an “officer recognition program”, the board of directors approved a one-time recognition award to Dr. Cummings of a stock option to purchase 50,000 shares to recognize his performance in securing the BARDA award, which vests one-fourth on the first anniversary of the vesting commencement date and thereafter in equal monthly installments over the next three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Benefit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2025, each of the named executive officers participated in the Severance Benefit Plan (the “</w:t>
      </w:r>
      <w:r>
        <w:rPr>
          <w:rFonts w:ascii="Times New Roman" w:cs="Times New Roman" w:eastAsia="Times New Roman" w:hAnsi="Times New Roman"/>
          <w:sz w:val="18"/>
          <w:szCs w:val="18"/>
          <w:i w:val="1"/>
          <w:iCs w:val="1"/>
          <w:color w:val="auto"/>
        </w:rPr>
        <w:t>Severance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Under the Severance Plan, if a participating named executive officer were terminated other than for cause, death or disability, or resigned for good reason, other than in connection with a change in control, he would be entitled to receive (i) continued payment of base salary for six months (twelve months for Mr. Lo), and (ii) the portion of health insurance premiums paid by the Company, prior to the termination, under our group health insurance plans as provided under COBRA, until the end of the applicable salary continuation period (or, if earlier, such time as the named executive officer is eligible for health insurance coverage with a subsequent employer).</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a participating named executive officer were terminated other than for cause, death or disability, or resigned for good reason, either during the three months before or in the twelve months after a change in control, then he would be entitled to receive (in lieu of the benefits described above): (i) lump sum cash severance equal twelve months of base salary, (ii) the portion of health insurance premiums paid by the Company, prior to the termination, under our group health insurance plans as provided under COBRA, until the end of the applicable salary continuation period (or, if earlier, such time as the named executive officer is eligible for health insurance coverage with a subsequent employer), (iii) full vesting of any unvested time-based equity awards, and (iv) a pro-rated target annual bonus for the year of termination.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 exchange for the severance benefits, the participating named executive officers must agree to comply with the Company’s standard employee invention assignment and confidentiality agreement, return all company property, and sign a release of claims in favor of the Company.</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purposes of the Severance Plan, the term “cause” generally means (i) engaging in willful or gross misconduct or willful or gross neglect; (ii) the commission of a felony or a crime involving any of the following: moral turpitude, dishonesty, breach of trust or unethical business conduct; or the commission of any crime involving the Company or any of its subsidiaries; (iii) fraud, misappropriation or embezzlement; or (iv) the abuse of illegal drugs or other controlled substances or habitual intoxication while providing services for the Company or any of its affiliates.</w:t>
      </w:r>
    </w:p>
    <w:p>
      <w:pPr>
        <w:spacing w:after="0" w:line="1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term “good reason” generally means the occurrence of any of the following events without the participant’s consent; (i) a material diminution in base salary or target bonus; (ii) a material diminution in authority, duties, or responsibilities; or (iii) a relocation of the principal place of employment or service to a location that increases his or her one-way commute distance by more than 35 miles, subject to applicable notice and cure provisions.</w:t>
      </w:r>
    </w:p>
    <w:p>
      <w:pPr>
        <w:spacing w:after="0" w:line="135" w:lineRule="exact"/>
        <w:rPr>
          <w:sz w:val="20"/>
          <w:szCs w:val="20"/>
          <w:color w:val="auto"/>
        </w:rPr>
      </w:pPr>
    </w:p>
    <w:p>
      <w:pPr>
        <w:ind w:right="140" w:firstLine="324"/>
        <w:spacing w:after="0" w:line="226" w:lineRule="exact"/>
        <w:rPr>
          <w:sz w:val="20"/>
          <w:szCs w:val="20"/>
          <w:color w:val="auto"/>
        </w:rPr>
      </w:pPr>
      <w:r>
        <w:rPr>
          <w:rFonts w:ascii="Times New Roman" w:cs="Times New Roman" w:eastAsia="Times New Roman" w:hAnsi="Times New Roman"/>
          <w:sz w:val="18"/>
          <w:szCs w:val="18"/>
          <w:color w:val="auto"/>
        </w:rPr>
        <w:t>The Severance Plan does not provide a tax gross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for named executive officers or any other employees in the event they are subject to golden parachute excise taxes on severance or other payments received in connection with a change in control. The Severance Plan promotes retention incentives for our executives by establishing severance protections for participants that are consistent with market levels, while eliminating the need to negotiate individual severance agreements in connection with an executive’s termination or at the time of hire. The enhanced benefits available upon a change in control increase our retention incentives by reducing the personal uncertainty that arises from the possibility of a future business combination and promoting objectivity in the evaluation of transactions that are in the best interests of our stockholders.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Lo</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as President and Chief Executive Officer, Mr. Lo entered into a letter agreement with the Company, dated as of February 21, 2024. The letter agreement provided for an initial base salary equal to $600,000, a target STI award opportunity equal to 50% of his annual base salary and a grant under the Vaxart, Inc. 2024 Inducement Award Plan consisting of a stock option to purchase 1,000,000 shares that vests one-fourth on the first anniversary of his start date and thereafter in equal monthly installments over the next three years, and a restricted stock unit award covering 250,000 shares that vests in four equal annual installments. The letter agreement also provides that Mr. Lo will participate in the Severance Plan, with a severance multiple equal to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Cummings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Senior Vice President and Chief Medical Officer of the Company, Dr. Cummings entered into a letter agreement with the Company, dated as of August 16, 2021. The letter agreement provides for an initial base salary of $400,000 per year, an initial “target” bonus opportunity of 40% of his annual base salary and an initial grant of a stock option covering 300,000 shares (effective when he commenced the consulting services described below). In addition, the letter agreement provided that, prior to his start date, Dr. Cummings would provide certain consulting services to the Company at the direction of the Chief Executive Officer with respect to clinical and regulatory matters (including clinical trial design and regulatory strategies both in the U.S. and abroad), interactions with pan-governmental organizations such as WHO and CEPI, and business development activities. Dr. Cummings received a consulting fee at the rate of $100 per hour for these services and entered into a standard consulting agreement with the Company, which terminated on September 26, 2021, the day prior to the date he commenced employment.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Tucker</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his appointment as Vice President, Research and Director of Immunology, Dr. Tucker entered into a letter agreement with the Company, dated as of May 20, 2006. The letter agreement provided that, if Dr. Tucker’s employment were terminated without “cause”, or he voluntarily resigned for “good reason”, then one-half of his then outstanding and unvested stock options shall vest and become immediately exercisable, except that if there are fewer than one-half of the option shares unvested at that time, then all remaining unvested option shares would vest and become immediately exercisable. During the term of his employment, Dr. Tucker agreed that he would not render any commercial or professional services of any nature to any person or organization, whether or not for compensation, without the prior written consent of the board of directors. He also agreed not to directly or indirectly engage or participate in any business that is competitive with the Company's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including our named executive officers, with an opportunity to save for retirement on a tax-advantaged basis. Eligible employees may defer eligible compensation up to certain tax code limits, which are updated annually. Employees are immediately and fully vested in their own contributions. We make matching contributions to participants in the 401(k) plan annually in arrears in an amount equal to the employee’s deferral up to a maximum of 3% of the employee’s annual eligible earnings, which are immediately and fully vested. As a tax-qualified retirement plan, contributions to the 401(k) plan are deductible by us when made, and contributions and earnings on those amounts are not taxable to the employees until withdrawn or distributed from the 401(k) plan. The named executive officers did not participate in, or otherwise receive any benefits under any pension plan or nonqualified deferred compensation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our named executive officers, information regarding outstanding stock options and RSUs held as of December 31,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Options Awards</w:t>
            </w:r>
          </w:p>
        </w:tc>
        <w:tc>
          <w:tcPr>
            <w:tcW w:w="1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194"/>
        </w:trPr>
        <w:tc>
          <w:tcPr>
            <w:tcW w:w="16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or</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Options</w:t>
            </w:r>
          </w:p>
        </w:tc>
        <w:tc>
          <w:tcPr>
            <w:tcW w:w="56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56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vested(1)</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Lo</w:t>
            </w: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3/18/2024</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437,500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562,500(2)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3/17/2034</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3/18/2024</w:t>
            </w: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187,500(3)</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3/24/2025</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2,108,000(2)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0.5126</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3/24/2035</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3/24/2025</w:t>
            </w: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1,405,000(3)</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491,750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Cummings, M.D. 8/16/2021</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300,000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8/15/2031</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3/28/2022</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246,093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3/27/2032</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3/17/2023</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290,416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119,584(2)</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3/16/2033</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3/17/2023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205,000(4)</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3/16/2033</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3/17/2023</w:t>
            </w: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45,000(3)</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3/18/2024</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179,375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230,625(2)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3/17/2034</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3/18/2024</w:t>
            </w: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67,500(3)</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3/24/2025</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610,000(2)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0.5126</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3/24/2035</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3/24/2025</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50,000(2)</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0.5126</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3/24/2035</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3/24/2025</w:t>
            </w: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406,000(3)</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142,100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1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6/14/2017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9,060(4)</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6/23/2027</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2/13/2018</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14,000(4)</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5/24/2028</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5/10/2019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84,061(4)</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5/11/2029</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3/24/2020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360,000(4)</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3/23/2030</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3/25/2021</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3/24/2031</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3/28/2022</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246,094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3/27/2032</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3/17/2023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205,000(4)</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3/16/2033</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3/17/2023</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290,416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119,584(2)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3/16/2033</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3/17/2023</w:t>
            </w: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45,000(3)</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3/18/2024</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179,375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230,625(2)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3/17/2034</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3/18/2024</w:t>
            </w: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67,500(3)</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3/24/2025</w:t>
            </w: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406,000(3)</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142,100</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3/24/2025</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610,000(2)</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0.5126</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3/24/2035</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ind w:left="1300" w:right="380" w:hanging="1292"/>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restricted stock units that have not vested was determined by multiplying the number of shares by $0.35, the closing price of our common stock on December 31, 2025.</w:t>
      </w:r>
    </w:p>
    <w:p>
      <w:pPr>
        <w:sectPr>
          <w:pgSz w:w="11900" w:h="16838" w:orient="portrait"/>
          <w:cols w:equalWidth="0" w:num="1">
            <w:col w:w="11240"/>
          </w:cols>
          <w:pgMar w:left="320" w:top="121" w:right="339" w:bottom="272"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72"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right="160" w:hanging="1292"/>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 vests as to 25% of the underlying shares on the first anniversary of the applicable vesting commencement date and in 36 equal monthly installments thereafter.</w:t>
      </w:r>
    </w:p>
    <w:p>
      <w:pPr>
        <w:spacing w:after="0" w:line="161" w:lineRule="exact"/>
        <w:rPr>
          <w:rFonts w:ascii="Times New Roman" w:cs="Times New Roman" w:eastAsia="Times New Roman" w:hAnsi="Times New Roman"/>
          <w:sz w:val="18"/>
          <w:szCs w:val="18"/>
          <w:color w:val="auto"/>
        </w:rPr>
      </w:pPr>
    </w:p>
    <w:p>
      <w:pPr>
        <w:ind w:left="1300" w:right="40" w:hanging="1292"/>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remainder of an award that vest in four equal annual installments beginning on the first anniversary of the applicable vesting commencement date.</w:t>
      </w:r>
    </w:p>
    <w:p>
      <w:pPr>
        <w:spacing w:after="0" w:line="161"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these options are fully vested.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While we do not have a formal written policy in place with regard to the timing of awards of options in relation to the disclosure of material nonpublic information, our board of directors and the Compensation Committee do not seek to time equity grants to take advantage of information, either positive or negative, about our company that has not been publicly disclosed. Similarly, it is our practice not to time the release of material nonpublic information based on equity award grant dates or for the purpose of affecting the value of executive compensation.</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2025, we did not grant any stock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a report.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2025, our non-employee directors were compensated in the following manner under our director compensation program.</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director compensation program is designed to enhance our ability to attract and retain highly qualified directors and to align their interests with the long-term interests of its stockholders. The program includes a cash component, which is intended to compensate non-employee directors for their service on our board of directors and an equity component, which is intended to align the interests of non-employee directors and stockholders. Directors who are employees of the Company receive no additional compensation for their service on our board of directors.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annually reviews compensation paid to our non-employee directors and makes recommendations for adjustments, as appropriate, to the full board of directors. As part of this annual review, the Compensation Committee considers the significant time commitment and skill level required by each non-employee director in serving on our board of directors and its various committees. The Compensation Committee seeks to maintain a market competitive director compensation program and, with the assistance of its independent compensation consultant, benchmarks our director compensation program against those maintained by the peer group we use to evaluate our executive compensation program.</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for 2025, our non-employee directors received the following cash compensation for their service on our board of directors and its committees:</w:t>
      </w:r>
    </w:p>
    <w:p>
      <w:pPr>
        <w:spacing w:after="0" w:line="162" w:lineRule="exact"/>
        <w:rPr>
          <w:sz w:val="20"/>
          <w:szCs w:val="20"/>
          <w:color w:val="auto"/>
        </w:rPr>
      </w:pPr>
    </w:p>
    <w:p>
      <w:pPr>
        <w:ind w:left="1300" w:hanging="1292"/>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annual cash retainer;</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for the Chair of the board of directors;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for the Lead Director of the board of directors;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for the chair of the Audit Committee and $10,000 for each of its other members;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for the chair of the Compensation Committee, and $6,000 for each of its other members;</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for the chair of the Nominating and Governance Committee, and $5,000 for each of its other members; and</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for the chair of the Science and Technology Committee, and $7,500 for each of its other members.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each non-employee director who is initially elected or appointed to the board after the effective date of the program shall automatically be granted on the day of such first election or appointment: (i) a stock option to purchase 190,800 shares of our shares of common stock, and (ii) a RSU award covering 32,000 shares of our common stock (the “</w:t>
      </w:r>
      <w:r>
        <w:rPr>
          <w:rFonts w:ascii="Times New Roman" w:cs="Times New Roman" w:eastAsia="Times New Roman" w:hAnsi="Times New Roman"/>
          <w:sz w:val="18"/>
          <w:szCs w:val="18"/>
          <w:i w:val="1"/>
          <w:iCs w:val="1"/>
          <w:color w:val="auto"/>
        </w:rPr>
        <w:t>Initial Award</w:t>
      </w:r>
      <w:r>
        <w:rPr>
          <w:rFonts w:ascii="Times New Roman" w:cs="Times New Roman" w:eastAsia="Times New Roman" w:hAnsi="Times New Roman"/>
          <w:sz w:val="18"/>
          <w:szCs w:val="18"/>
          <w:color w:val="auto"/>
        </w:rPr>
        <w:t>”). Each Initial Award shall vest and become exercisable in substantially equal installments on each of the first three anniversaries of the date of grant, subject to the non-employee director continuing in service on the board through each such vesting date.</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 non-employee director who is serving on the board as of the date of any annual meeting after the effective date of the program, and who will continue to serve as a non-employee director immediately following such meeting, shall automatically be granted on the date of such annual meeting: (i) a stock option to purchase 95,400 shares of our common stock, and (ii) a RSU award covering 16,000 shares of our common stock (the “</w:t>
      </w:r>
      <w:r>
        <w:rPr>
          <w:rFonts w:ascii="Times New Roman" w:cs="Times New Roman" w:eastAsia="Times New Roman" w:hAnsi="Times New Roman"/>
          <w:sz w:val="18"/>
          <w:szCs w:val="18"/>
          <w:i w:val="1"/>
          <w:iCs w:val="1"/>
          <w:color w:val="auto"/>
        </w:rPr>
        <w:t>Annual Award</w:t>
      </w:r>
      <w:r>
        <w:rPr>
          <w:rFonts w:ascii="Times New Roman" w:cs="Times New Roman" w:eastAsia="Times New Roman" w:hAnsi="Times New Roman"/>
          <w:sz w:val="18"/>
          <w:szCs w:val="18"/>
          <w:color w:val="auto"/>
        </w:rPr>
        <w:t>”), which amounts are pro-rated for new directors to reflect their service since the last annual meeting. Each Annual Award shall vest and become exercisable on the earlier of (x) the first anniversary of the date of grant, or (y) the date immediately prior to the next annual meeting of the Company’s stockholders following the date of grant, subject to the non-employee director continuing in service on the board through such vesting date.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a change in control, all outstanding equity awards that are held by a non-employee director shall become fully vested and exercisable.</w:t>
      </w:r>
    </w:p>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Dr. Wheadon has devoted, and continues to devote, significant time assisting and advising the Company, in his capacity as a member of the board, on regulatory, pipeline optimization, and clinical development strategies and his time commitment on these projects has significantly exceeded, and will continue to exceed, what is reasonably expected of a member of the board. On March 5, 2025, the board of directors compensated Dr. Wheadon for his additional services as a member of the board with an additional one-time cash retainer of $20,000.</w:t>
      </w:r>
    </w:p>
    <w:p>
      <w:pPr>
        <w:spacing w:after="0" w:line="180" w:lineRule="exact"/>
        <w:rPr>
          <w:sz w:val="20"/>
          <w:szCs w:val="20"/>
          <w:color w:val="auto"/>
        </w:rPr>
      </w:pPr>
    </w:p>
    <w:p>
      <w:pPr>
        <w:jc w:val="both"/>
        <w:ind w:right="80" w:firstLine="324"/>
        <w:spacing w:after="0" w:line="269" w:lineRule="auto"/>
        <w:rPr>
          <w:sz w:val="20"/>
          <w:szCs w:val="20"/>
          <w:color w:val="auto"/>
        </w:rPr>
      </w:pPr>
      <w:r>
        <w:rPr>
          <w:rFonts w:ascii="Times New Roman" w:cs="Times New Roman" w:eastAsia="Times New Roman" w:hAnsi="Times New Roman"/>
          <w:sz w:val="18"/>
          <w:szCs w:val="18"/>
          <w:color w:val="auto"/>
        </w:rPr>
        <w:t>Dr. Michael J. Finney retired as a director on September 30, 2025. In connection with Dr. Michael J. Finney’s retirement, and as a special recognition of his prior service and significant contributions, the board of directors (i) accelerated the vesting of Dr. Michael J. Finney’s outstanding stock options and restricted stock units, and (ii) extended the post-termination exercise period for each of Dr. Michael J. Finney’s outstanding and vested stock options until the earlier of the second anniversary of the effective date of his retirement, or the expiration of the stated 10-year term of the stock option.</w:t>
      </w:r>
      <w:r>
        <w:rPr>
          <w:rFonts w:ascii="Times New Roman" w:cs="Times New Roman" w:eastAsia="Times New Roman" w:hAnsi="Times New Roman"/>
          <w:sz w:val="29"/>
          <w:szCs w:val="29"/>
          <w:color w:val="auto"/>
          <w:vertAlign w:val="superscript"/>
        </w:rPr>
        <w:t>2</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director compensation information for each of the non-employee directors of the board of directors who served during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Fees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7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earned or</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7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70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Awards(2)</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Awards(2)</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Finney (1)</w:t>
            </w:r>
          </w:p>
        </w:tc>
        <w:tc>
          <w:tcPr>
            <w:tcW w:w="20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50,875</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150,849</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230,079</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Dr. Michael J. Finney (1)</w:t>
            </w: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63,750</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89,464</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20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71,175</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59,112</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141,519</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73,609</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59,112</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20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82,625</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59,112</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152,969</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Robert A. Yedid(1)</w:t>
            </w: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4,744</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24,339</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29,083</w:t>
            </w:r>
          </w:p>
        </w:tc>
      </w:tr>
    </w:tbl>
    <w:p>
      <w:pPr>
        <w:spacing w:after="0" w:line="179" w:lineRule="exact"/>
        <w:rPr>
          <w:sz w:val="20"/>
          <w:szCs w:val="20"/>
          <w:color w:val="auto"/>
        </w:rPr>
      </w:pPr>
    </w:p>
    <w:p>
      <w:pPr>
        <w:ind w:right="100" w:firstLine="8"/>
        <w:spacing w:after="0" w:line="282"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Yedid resigned as a director on January 28, 2025, and Dr. Michael J. Finney retired as a director on September 30, 2025. Mr. Finney was appointed to serve on the board of directors on January 28, 2025.</w:t>
      </w:r>
    </w:p>
    <w:p>
      <w:pPr>
        <w:spacing w:after="0" w:line="161" w:lineRule="exact"/>
        <w:rPr>
          <w:rFonts w:ascii="Times New Roman" w:cs="Times New Roman" w:eastAsia="Times New Roman" w:hAnsi="Times New Roman"/>
          <w:sz w:val="18"/>
          <w:szCs w:val="18"/>
          <w:color w:val="auto"/>
        </w:rPr>
      </w:pPr>
    </w:p>
    <w:p>
      <w:pPr>
        <w:ind w:right="40" w:firstLine="8"/>
        <w:spacing w:after="0" w:line="258"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restricted stock unit awards and stock option awards for the year computed in accordance with ASC Topic 718. See Note 10 to the consolidated financial statements included in our Annual Report for the fiscal year ended December 31, 2025, filed with the SEC on March 13, 2026, for a discussion of the relevant assumptions used in calculating the grant date fair value pursuant to FASB ASC Topic 718. For Mr. Yedid and Dr. Michael J. Finney, the amounts also include the incremental fair value of their stock option and for Dr. Michael J. Finney the incremental fair value of his restricted stock unit awards, calculated in accordance with FASB ASC Topic 718, that were modified in connection with their retirement.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40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80" w:type="dxa"/>
            <w:vAlign w:val="bottom"/>
          </w:tcPr>
          <w:p>
            <w:pPr>
              <w:spacing w:after="0"/>
              <w:rPr>
                <w:sz w:val="18"/>
                <w:szCs w:val="18"/>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820" w:type="dxa"/>
            <w:vAlign w:val="bottom"/>
          </w:tcPr>
          <w:p>
            <w:pPr>
              <w:spacing w:after="0"/>
              <w:rPr>
                <w:sz w:val="18"/>
                <w:szCs w:val="18"/>
                <w:color w:val="auto"/>
              </w:rPr>
            </w:pPr>
          </w:p>
        </w:tc>
        <w:tc>
          <w:tcPr>
            <w:tcW w:w="40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Pr>
          <w:p>
            <w:pPr>
              <w:spacing w:after="0"/>
              <w:rPr>
                <w:sz w:val="18"/>
                <w:szCs w:val="18"/>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4820" w:type="dxa"/>
            <w:vAlign w:val="bottom"/>
          </w:tcPr>
          <w:p>
            <w:pPr>
              <w:spacing w:after="0"/>
              <w:rPr>
                <w:sz w:val="18"/>
                <w:szCs w:val="18"/>
                <w:color w:val="auto"/>
              </w:rPr>
            </w:pPr>
          </w:p>
        </w:tc>
        <w:tc>
          <w:tcPr>
            <w:tcW w:w="40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680" w:type="dxa"/>
            <w:vAlign w:val="bottom"/>
          </w:tcPr>
          <w:p>
            <w:pPr>
              <w:spacing w:after="0"/>
              <w:rPr>
                <w:sz w:val="18"/>
                <w:szCs w:val="18"/>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68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stock options</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Finney</w:t>
            </w:r>
          </w:p>
        </w:tc>
        <w:tc>
          <w:tcPr>
            <w:tcW w:w="4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38,103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227,192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Dr. Michael J. Finney</w:t>
            </w:r>
          </w:p>
        </w:tc>
        <w:tc>
          <w:tcPr>
            <w:tcW w:w="40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16,000</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95,400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4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95,400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40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16,000</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95,400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4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95,400</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beneficial ownership of the Company’s common stock as of May 1, 2026 by:</w:t>
      </w:r>
    </w:p>
    <w:p>
      <w:pPr>
        <w:spacing w:after="0" w:line="225" w:lineRule="exact"/>
        <w:rPr>
          <w:sz w:val="20"/>
          <w:szCs w:val="20"/>
          <w:color w:val="auto"/>
        </w:rPr>
      </w:pPr>
    </w:p>
    <w:p>
      <w:pPr>
        <w:ind w:left="1300" w:hanging="1292"/>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outstanding common stock of the Company;</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current executive officers and directors as a group.</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241,973,011 shares outstanding on May 1, 2026, adjusted as required by rules promulgated by the SEC.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Vaxart, Inc., 310 Utah Ave, Suite 150, South San Francisco, California 94080.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Beneficial Owners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Percentage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Owned</w:t>
      </w:r>
    </w:p>
    <w:p>
      <w:pPr>
        <w:spacing w:after="0" w:line="18" w:lineRule="exact"/>
        <w:rPr>
          <w:sz w:val="20"/>
          <w:szCs w:val="20"/>
          <w:color w:val="auto"/>
        </w:rPr>
      </w:pPr>
    </w:p>
    <w:p>
      <w:pPr>
        <w:sectPr>
          <w:pgSz w:w="11900" w:h="16838" w:orient="portrait"/>
          <w:cols w:equalWidth="0" w:num="3">
            <w:col w:w="7400" w:space="720"/>
            <w:col w:w="900" w:space="580"/>
            <w:col w:w="1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3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none qualified</w:t>
            </w:r>
          </w:p>
        </w:tc>
        <w:tc>
          <w:tcPr>
            <w:tcW w:w="3640" w:type="dxa"/>
            <w:vAlign w:val="bottom"/>
          </w:tcPr>
          <w:p>
            <w:pPr>
              <w:jc w:val="right"/>
              <w:ind w:right="778"/>
              <w:spacing w:after="0"/>
              <w:rPr>
                <w:sz w:val="20"/>
                <w:szCs w:val="20"/>
                <w:color w:val="auto"/>
              </w:rPr>
            </w:pPr>
            <w:r>
              <w:rPr>
                <w:rFonts w:ascii="Times New Roman" w:cs="Times New Roman" w:eastAsia="Times New Roman" w:hAnsi="Times New Roman"/>
                <w:sz w:val="18"/>
                <w:szCs w:val="18"/>
                <w:b w:val="1"/>
                <w:bCs w:val="1"/>
                <w:color w:val="auto"/>
              </w:rPr>
              <w:t>0</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3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Steven Lo</w:t>
            </w:r>
          </w:p>
        </w:tc>
        <w:tc>
          <w:tcPr>
            <w:tcW w:w="3640" w:type="dxa"/>
            <w:vAlign w:val="bottom"/>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1,737,689</w:t>
            </w:r>
            <w:r>
              <w:rPr>
                <w:rFonts w:ascii="Times New Roman" w:cs="Times New Roman" w:eastAsia="Times New Roman" w:hAnsi="Times New Roman"/>
                <w:sz w:val="25"/>
                <w:szCs w:val="25"/>
                <w:color w:val="auto"/>
                <w:vertAlign w:val="superscript"/>
              </w:rPr>
              <w:t>(1)</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Cummings, M.D.</w:t>
            </w:r>
          </w:p>
        </w:tc>
        <w:tc>
          <w:tcPr>
            <w:tcW w:w="3640" w:type="dxa"/>
            <w:vAlign w:val="bottom"/>
            <w:shd w:val="clear" w:color="auto" w:fill="CCEEFF"/>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1,898,982</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3640" w:type="dxa"/>
            <w:vAlign w:val="bottom"/>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2,156,165</w:t>
            </w:r>
            <w:r>
              <w:rPr>
                <w:rFonts w:ascii="Times New Roman" w:cs="Times New Roman" w:eastAsia="Times New Roman" w:hAnsi="Times New Roman"/>
                <w:sz w:val="25"/>
                <w:szCs w:val="25"/>
                <w:color w:val="auto"/>
                <w:vertAlign w:val="superscript"/>
              </w:rPr>
              <w:t>(3)</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Finney, Ph.D.</w:t>
            </w:r>
          </w:p>
        </w:tc>
        <w:tc>
          <w:tcPr>
            <w:tcW w:w="3640" w:type="dxa"/>
            <w:vAlign w:val="bottom"/>
            <w:shd w:val="clear" w:color="auto" w:fill="CCEEFF"/>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1,062,885</w:t>
            </w:r>
            <w:r>
              <w:rPr>
                <w:rFonts w:ascii="Times New Roman" w:cs="Times New Roman" w:eastAsia="Times New Roman" w:hAnsi="Times New Roman"/>
                <w:sz w:val="25"/>
                <w:szCs w:val="25"/>
                <w:color w:val="auto"/>
                <w:vertAlign w:val="superscript"/>
              </w:rPr>
              <w:t>(4)</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Kevin P. Finney</w:t>
            </w:r>
          </w:p>
        </w:tc>
        <w:tc>
          <w:tcPr>
            <w:tcW w:w="3640" w:type="dxa"/>
            <w:vAlign w:val="bottom"/>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283,429</w:t>
            </w:r>
            <w:r>
              <w:rPr>
                <w:rFonts w:ascii="Times New Roman" w:cs="Times New Roman" w:eastAsia="Times New Roman" w:hAnsi="Times New Roman"/>
                <w:sz w:val="25"/>
                <w:szCs w:val="25"/>
                <w:color w:val="auto"/>
                <w:vertAlign w:val="superscript"/>
              </w:rPr>
              <w:t>(5)</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3640" w:type="dxa"/>
            <w:vAlign w:val="bottom"/>
            <w:shd w:val="clear" w:color="auto" w:fill="CCEEFF"/>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417,324</w:t>
            </w:r>
            <w:r>
              <w:rPr>
                <w:rFonts w:ascii="Times New Roman" w:cs="Times New Roman" w:eastAsia="Times New Roman" w:hAnsi="Times New Roman"/>
                <w:sz w:val="25"/>
                <w:szCs w:val="25"/>
                <w:color w:val="auto"/>
                <w:vertAlign w:val="superscript"/>
              </w:rPr>
              <w:t>(6)</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3640" w:type="dxa"/>
            <w:vAlign w:val="bottom"/>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447,597</w:t>
            </w:r>
            <w:r>
              <w:rPr>
                <w:rFonts w:ascii="Times New Roman" w:cs="Times New Roman" w:eastAsia="Times New Roman" w:hAnsi="Times New Roman"/>
                <w:sz w:val="25"/>
                <w:szCs w:val="25"/>
                <w:color w:val="auto"/>
                <w:vertAlign w:val="superscript"/>
              </w:rPr>
              <w:t>(7)</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3640" w:type="dxa"/>
            <w:vAlign w:val="bottom"/>
            <w:shd w:val="clear" w:color="auto" w:fill="CCEEFF"/>
          </w:tcPr>
          <w:p>
            <w:pPr>
              <w:jc w:val="right"/>
              <w:ind w:right="598"/>
              <w:spacing w:after="0" w:line="216" w:lineRule="exact"/>
              <w:rPr>
                <w:sz w:val="20"/>
                <w:szCs w:val="20"/>
                <w:color w:val="auto"/>
              </w:rPr>
            </w:pPr>
            <w:r>
              <w:rPr>
                <w:rFonts w:ascii="Times New Roman" w:cs="Times New Roman" w:eastAsia="Times New Roman" w:hAnsi="Times New Roman"/>
                <w:sz w:val="16"/>
                <w:szCs w:val="16"/>
                <w:b w:val="1"/>
                <w:bCs w:val="1"/>
                <w:color w:val="auto"/>
              </w:rPr>
              <w:t>391,698</w:t>
            </w:r>
            <w:r>
              <w:rPr>
                <w:rFonts w:ascii="Times New Roman" w:cs="Times New Roman" w:eastAsia="Times New Roman" w:hAnsi="Times New Roman"/>
                <w:sz w:val="25"/>
                <w:szCs w:val="25"/>
                <w:color w:val="auto"/>
                <w:vertAlign w:val="superscript"/>
              </w:rPr>
              <w:t>(8)</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individuals)</w:t>
            </w:r>
          </w:p>
        </w:tc>
        <w:tc>
          <w:tcPr>
            <w:tcW w:w="3640" w:type="dxa"/>
            <w:vAlign w:val="bottom"/>
          </w:tcPr>
          <w:p>
            <w:pPr>
              <w:jc w:val="right"/>
              <w:ind w:right="778"/>
              <w:spacing w:after="0"/>
              <w:rPr>
                <w:sz w:val="20"/>
                <w:szCs w:val="20"/>
                <w:color w:val="auto"/>
              </w:rPr>
            </w:pPr>
            <w:r>
              <w:rPr>
                <w:rFonts w:ascii="Times New Roman" w:cs="Times New Roman" w:eastAsia="Times New Roman" w:hAnsi="Times New Roman"/>
                <w:sz w:val="18"/>
                <w:szCs w:val="18"/>
                <w:b w:val="1"/>
                <w:bCs w:val="1"/>
                <w:color w:val="auto"/>
              </w:rPr>
              <w:t>10,277,261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12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(1)Consists of (i) 460,356 shares of common stock directly held by Mr. Lo, (ii) 100,000 shares held by The Lo Family Trust, and (iii)</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1,177,333 shares issuable pursuant to stock options exercisable within 60 days of May 1, 2026.</w:t>
      </w:r>
    </w:p>
    <w:p>
      <w:pPr>
        <w:spacing w:after="0" w:line="207" w:lineRule="exact"/>
        <w:rPr>
          <w:sz w:val="20"/>
          <w:szCs w:val="20"/>
          <w:color w:val="auto"/>
        </w:rPr>
      </w:pPr>
    </w:p>
    <w:p>
      <w:pPr>
        <w:ind w:left="1620" w:right="120" w:hanging="209"/>
        <w:spacing w:after="0" w:line="282" w:lineRule="auto"/>
        <w:rPr>
          <w:sz w:val="20"/>
          <w:szCs w:val="20"/>
          <w:color w:val="auto"/>
        </w:rPr>
      </w:pPr>
      <w:r>
        <w:rPr>
          <w:rFonts w:ascii="Times New Roman" w:cs="Times New Roman" w:eastAsia="Times New Roman" w:hAnsi="Times New Roman"/>
          <w:sz w:val="18"/>
          <w:szCs w:val="18"/>
          <w:color w:val="auto"/>
        </w:rPr>
        <w:t>(2)Consists of (i) 366,691 shares of common stock held directly by Dr. Cummings, and (ii) 1,532,291 shares issuable pursuant to stock options exercisable within 60 days of May 1, 2026.</w:t>
      </w:r>
    </w:p>
    <w:p>
      <w:pPr>
        <w:spacing w:after="0" w:line="162" w:lineRule="exact"/>
        <w:rPr>
          <w:sz w:val="20"/>
          <w:szCs w:val="20"/>
          <w:color w:val="auto"/>
        </w:rPr>
      </w:pPr>
    </w:p>
    <w:p>
      <w:pPr>
        <w:ind w:left="1620" w:hanging="209"/>
        <w:spacing w:after="0" w:line="266" w:lineRule="auto"/>
        <w:rPr>
          <w:sz w:val="20"/>
          <w:szCs w:val="20"/>
          <w:color w:val="auto"/>
        </w:rPr>
      </w:pPr>
      <w:r>
        <w:rPr>
          <w:rFonts w:ascii="Times New Roman" w:cs="Times New Roman" w:eastAsia="Times New Roman" w:hAnsi="Times New Roman"/>
          <w:sz w:val="18"/>
          <w:szCs w:val="18"/>
          <w:color w:val="auto"/>
        </w:rPr>
        <w:t>(3)Consists of (i) 310,811 shares held directly by Dr. Tucker, (ii) 51,465 shares held jointly by Frances Chang and Dr. Tucker, (iii) 9,060 shares held by Dr. Tucker’s spouse, and (iv) 1,784,829 shares issuable pursuant to stock options exercisable within 60 days of May 1, 2026.</w:t>
      </w:r>
    </w:p>
    <w:p>
      <w:pPr>
        <w:spacing w:after="0" w:line="176" w:lineRule="exact"/>
        <w:rPr>
          <w:sz w:val="20"/>
          <w:szCs w:val="20"/>
          <w:color w:val="auto"/>
        </w:rPr>
      </w:pPr>
    </w:p>
    <w:p>
      <w:pPr>
        <w:ind w:left="1620" w:right="180" w:hanging="209"/>
        <w:spacing w:after="0" w:line="282" w:lineRule="auto"/>
        <w:rPr>
          <w:sz w:val="20"/>
          <w:szCs w:val="20"/>
          <w:color w:val="auto"/>
        </w:rPr>
      </w:pPr>
      <w:r>
        <w:rPr>
          <w:rFonts w:ascii="Times New Roman" w:cs="Times New Roman" w:eastAsia="Times New Roman" w:hAnsi="Times New Roman"/>
          <w:sz w:val="18"/>
          <w:szCs w:val="18"/>
          <w:color w:val="auto"/>
        </w:rPr>
        <w:t>(4)Consists of (i) 686,840 shares of common stock held directly by Dr. Michael J. Finney, and (ii) 360,045 shares issuable pursuant to stock options exercisable and 16,000 shares issuable pursuant to restricted stock unit vesting within 60 days of May 1, 2026.</w:t>
      </w:r>
    </w:p>
    <w:p>
      <w:pPr>
        <w:spacing w:after="0" w:line="162" w:lineRule="exact"/>
        <w:rPr>
          <w:sz w:val="20"/>
          <w:szCs w:val="20"/>
          <w:color w:val="auto"/>
        </w:rPr>
      </w:pPr>
    </w:p>
    <w:p>
      <w:pPr>
        <w:ind w:left="1620" w:right="380" w:hanging="209"/>
        <w:spacing w:after="0" w:line="282" w:lineRule="auto"/>
        <w:rPr>
          <w:sz w:val="20"/>
          <w:szCs w:val="20"/>
          <w:color w:val="auto"/>
        </w:rPr>
      </w:pPr>
      <w:r>
        <w:rPr>
          <w:rFonts w:ascii="Times New Roman" w:cs="Times New Roman" w:eastAsia="Times New Roman" w:hAnsi="Times New Roman"/>
          <w:sz w:val="18"/>
          <w:szCs w:val="18"/>
          <w:color w:val="auto"/>
        </w:rPr>
        <w:t>(5)Consists of (i) 166,668 shares of common stock held directly by Mr. Kevin P. Finney, and (ii) 99,992 shares issuable pursuant to stock options exercisable and 16,769 shares issuable pursuant to restricted stock unit vesting within 60 days of May 1, 2026.</w:t>
      </w:r>
    </w:p>
    <w:p>
      <w:pPr>
        <w:spacing w:after="0" w:line="162" w:lineRule="exact"/>
        <w:rPr>
          <w:sz w:val="20"/>
          <w:szCs w:val="20"/>
          <w:color w:val="auto"/>
        </w:rPr>
      </w:pPr>
    </w:p>
    <w:p>
      <w:pPr>
        <w:ind w:left="1620" w:right="120" w:hanging="209"/>
        <w:spacing w:after="0" w:line="282" w:lineRule="auto"/>
        <w:rPr>
          <w:sz w:val="20"/>
          <w:szCs w:val="20"/>
          <w:color w:val="auto"/>
        </w:rPr>
      </w:pPr>
      <w:r>
        <w:rPr>
          <w:rFonts w:ascii="Times New Roman" w:cs="Times New Roman" w:eastAsia="Times New Roman" w:hAnsi="Times New Roman"/>
          <w:sz w:val="18"/>
          <w:szCs w:val="18"/>
          <w:color w:val="auto"/>
        </w:rPr>
        <w:t>(6)Consists of (i) 80,566 shares of common stock held directly by Dr. Heron, and (ii) 320,758 shares issuable pursuant to stock options exercisable and 16,000 shares issuable pursuant to restricted stock unit vesting within 60 days of May 1, 2026.</w:t>
      </w:r>
    </w:p>
    <w:p>
      <w:pPr>
        <w:spacing w:after="0" w:line="162" w:lineRule="exact"/>
        <w:rPr>
          <w:sz w:val="20"/>
          <w:szCs w:val="20"/>
          <w:color w:val="auto"/>
        </w:rPr>
      </w:pPr>
    </w:p>
    <w:p>
      <w:pPr>
        <w:ind w:left="1620" w:right="480" w:hanging="209"/>
        <w:spacing w:after="0" w:line="282" w:lineRule="auto"/>
        <w:rPr>
          <w:sz w:val="20"/>
          <w:szCs w:val="20"/>
          <w:color w:val="auto"/>
        </w:rPr>
      </w:pPr>
      <w:r>
        <w:rPr>
          <w:rFonts w:ascii="Times New Roman" w:cs="Times New Roman" w:eastAsia="Times New Roman" w:hAnsi="Times New Roman"/>
          <w:sz w:val="18"/>
          <w:szCs w:val="18"/>
          <w:color w:val="auto"/>
        </w:rPr>
        <w:t>(7)Consists of (i) 108,125 shares of common stock held directly by Mr. Watson, and (ii) 323,472 shares issuable pursuant to stock options exercisable and 16,000 shares issuable pursuant to restricted stock unit vesting within 60 days of May 1, 2026.</w:t>
      </w:r>
    </w:p>
    <w:p>
      <w:pPr>
        <w:spacing w:after="0" w:line="162" w:lineRule="exact"/>
        <w:rPr>
          <w:sz w:val="20"/>
          <w:szCs w:val="20"/>
          <w:color w:val="auto"/>
        </w:rPr>
      </w:pPr>
    </w:p>
    <w:p>
      <w:pPr>
        <w:ind w:left="1620" w:right="440" w:hanging="209"/>
        <w:spacing w:after="0" w:line="282" w:lineRule="auto"/>
        <w:rPr>
          <w:sz w:val="20"/>
          <w:szCs w:val="20"/>
          <w:color w:val="auto"/>
        </w:rPr>
      </w:pPr>
      <w:r>
        <w:rPr>
          <w:rFonts w:ascii="Times New Roman" w:cs="Times New Roman" w:eastAsia="Times New Roman" w:hAnsi="Times New Roman"/>
          <w:sz w:val="18"/>
          <w:szCs w:val="18"/>
          <w:color w:val="auto"/>
        </w:rPr>
        <w:t>(8)Consists of (i) 30,750 shares of common stock held directly by Dr. Wheadon, and (ii) 344,948 shares issuable pursuant to stock options exercisable within 60 days of May 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 Policy and Procedures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adopted a written Related Party Transaction Policy that sets forth our policies and procedures regarding the identification, review, consideration and approval or ratification of “related party transactions.” For purposes of our policy only, a “related party transaction” is a transaction, arrangement or relationship (including indebtedness or a guarantee of indebtedness) or any series of similar transactions, arrangements or relationships in which we and any “related party” are, were or will be participants involving an amount that exceeds $120,000 and in which any “related party” has a direct or indirect material interest. Certain types of related party transactions are deemed to be pre-approved or ratified, as applicable, including: (i) the payment of compensation by us to our executive officers or directors; and (ii) a transaction where the related party’s interest arises solely from the ownership of a class of equity securities of the Company and all holders of that class of equity securities received the same benefit on a pro rata basis. A related party is any executive officer, director, nominee to become a director or more than 5% stockholder of us, including any of their immediate family members, and any entity owned or controlled by such persons. We describe below such transactions or series of similar transactions to which we have been or were a party since January 1, 2024.</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 party transaction, management must present information regarding the proposed related party transaction to the Audit Committee (or, where Audit Committee approval would be inappropriate, to another independent body of the board of directors) for consideration and approval or ratification. The presentation must include a description of, among other things, the material facts, the interests, direct and indirect, of the related parties, the benefits to us of the transaction and whether any alternative transactions were available. To identify related party transactions in advance, we rely on information supplied by our executive officers, directors and certain significant stockholders. In considering related party transactions, the Audit Committee takes into account the relevant available facts and circumstances including, but not limited to (a) the risks, costs and benefits to us, (b) the impact on a director’s independence in the event the related party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 party transaction, the Audit Committee consider, in light of known circumstances, whether the transaction is in, or is not inconsistent with, the best interests of us and our stockholders, as the Audit Committee determines in the good faith exercise of its discretion.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Indemnity Agreements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indemnity agreements with our executive officers and directors which provide, among other things, that we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letter agreements, employment agreements and change in control arrangements with our executive officers. For more information regarding these agreements, see the “Executive Compensation” section of this prospectus.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31, 2024, we entered into a Separation Agreement with Mr. Floroiu, our former President and Chief Executive Officer. For a description of Mr. Floroiu’s separation arrangements, see the “Executive Compensation - Additional Compensation Arrangements” section of this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granted stock options to our executive officers and members of our board of directors. For a description of our executive officers’ options, see the “Executive Compensation - Outstanding Equity Awards as of December 31, 2025” section of this prospectus.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stockholder, Lincoln Park, of additional shares of our common stock that may be issued to Lincoln Park pursuant to the Purchase Agreement. We are filing the registration statement of which this prospectus is a part pursuant to the provisions of the Registration Rights Agreement, which we entered into with Lincoln Park on April 16, 2026 concurrently with our execution of the Purchase Agreement, in which we agreed to provide certain registration rights with respect to sales by Lincoln Park of the shares of our common stock that have been and may be issued to Lincoln Park under the Purchase Agreement.</w:t>
      </w:r>
    </w:p>
    <w:p>
      <w:pPr>
        <w:spacing w:after="0" w:line="183"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Lincoln Park, as the selling stockholder, may, from time to time, offer and sell pursuant to this prospectus up to 32,914,599 shares of our common stock that we have issued or may issue to Lincoln Park. The selling stockholder may sell some, all or none of the shares of common stock. We do not know how long the selling stockholder will hold the shares of our common stock before selling them, and we currently have no agreements, arrangements or understandings with the selling stockholder regarding the sale of any of the shares of common stock. See “Plan of Distribution.”</w:t>
      </w:r>
    </w:p>
    <w:p>
      <w:pPr>
        <w:spacing w:after="0" w:line="180"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The table below sets forth, to our knowledge, information concerning the beneficial ownership of shares of our common stock by the selling stockholder as of May 1, 2026. The percentages of shares owned before and after the offering are based on shares of common stock outstanding as of May 1, 2026. The information in the table below with respect to the selling stockholder has been obtained from the selling stockholder. Other than as described under “Our Agreements With Lincoln Park,” above,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87"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Throughout this prospectus, when we refer to the shares of common stock being offered for resale by the selling stockholder through this prospectus, we are referring to the shares of common stock that have been and may be issued and sold by us to Lincoln Park pursuant to the Purchase Agreement, unless otherwise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4360" w:type="dxa"/>
            <w:vAlign w:val="bottom"/>
          </w:tcPr>
          <w:p>
            <w:pPr>
              <w:spacing w:after="0"/>
              <w:rPr>
                <w:sz w:val="18"/>
                <w:szCs w:val="18"/>
                <w:color w:val="auto"/>
              </w:rPr>
            </w:pPr>
          </w:p>
        </w:tc>
        <w:tc>
          <w:tcPr>
            <w:tcW w:w="15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Maximum Number</w:t>
            </w:r>
          </w:p>
        </w:tc>
        <w:tc>
          <w:tcPr>
            <w:tcW w:w="15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2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of Shares of</w:t>
            </w:r>
          </w:p>
        </w:tc>
        <w:tc>
          <w:tcPr>
            <w:tcW w:w="25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4360" w:type="dxa"/>
            <w:vAlign w:val="bottom"/>
          </w:tcPr>
          <w:p>
            <w:pPr>
              <w:spacing w:after="0"/>
              <w:rPr>
                <w:sz w:val="18"/>
                <w:szCs w:val="18"/>
                <w:color w:val="auto"/>
              </w:rPr>
            </w:pPr>
          </w:p>
        </w:tc>
        <w:tc>
          <w:tcPr>
            <w:tcW w:w="22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 to</w:t>
            </w:r>
          </w:p>
        </w:tc>
        <w:tc>
          <w:tcPr>
            <w:tcW w:w="25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Owned After</w:t>
            </w:r>
          </w:p>
        </w:tc>
      </w:tr>
      <w:tr>
        <w:trPr>
          <w:trHeight w:val="238"/>
        </w:trPr>
        <w:tc>
          <w:tcPr>
            <w:tcW w:w="436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15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Pursuant to this</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200" w:type="dxa"/>
            <w:vAlign w:val="bottom"/>
          </w:tcPr>
          <w:p>
            <w:pPr>
              <w:spacing w:after="0"/>
              <w:rPr>
                <w:sz w:val="20"/>
                <w:szCs w:val="20"/>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20"/>
                <w:szCs w:val="20"/>
                <w:color w:val="auto"/>
              </w:rPr>
            </w:pPr>
          </w:p>
        </w:tc>
      </w:tr>
      <w:tr>
        <w:trPr>
          <w:trHeight w:val="210"/>
        </w:trPr>
        <w:tc>
          <w:tcPr>
            <w:tcW w:w="43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Lincoln Park Capital Fund, LLC</w:t>
            </w:r>
            <w:r>
              <w:rPr>
                <w:rFonts w:ascii="Times New Roman" w:cs="Times New Roman" w:eastAsia="Times New Roman" w:hAnsi="Times New Roman"/>
                <w:sz w:val="24"/>
                <w:szCs w:val="24"/>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447,067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32,914,599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60" w:firstLine="8"/>
        <w:spacing w:after="0" w:line="261"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Scheinfeld and Jonathan Cope, the Managing Members of Lincoln Park Capital, LLC, the manager of Lincoln Park Capital Fund, LLC, are deemed to be beneficial owners of all of the shares of common stock owned by Lincoln Park Capital Fund, LLC. Messrs. Cope and Scheinfeld have shared voting and investment power over the shares being offered under this prospectus. Neither Lincoln Park Capital, LLC nor Lincoln Park Capital Fund, LLC is a licensed broker dealer or an affiliate of a licensed broker dealer.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8"/>
        <w:spacing w:after="0" w:line="273" w:lineRule="auto"/>
        <w:tabs>
          <w:tab w:leader="none" w:pos="25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13d-3(d) of the Exchange Act, we have excluded from the number of shares beneficially owned prior to this offering all the shares of common stock that we may issue and sell to Lincoln Park under the Purchase Agreement from and after the date of this prospectus that are being registered for resale under the registration statement of which this prospectus forms a part, because the issuance of such shares is solely at our discretion and is subject to certain conditions, the satisfaction of all of which are outside of Lincoln Park’s control, including the registration statement of which this prospectus forms a part becoming and remaining effective. Furthermore, under the terms of the Purchase Agreement, issuances and sales of shares of our common stock to Lincoln Park are subject to certain limitations on the amounts we may sell to Lincoln Park at any time, including the Beneficial Ownership Cap. See the description under the heading “Our Agreements with Lincoln Park” for more information about the Purchase Agreement.</w:t>
      </w:r>
    </w:p>
    <w:p>
      <w:pPr>
        <w:spacing w:after="0" w:line="171" w:lineRule="exact"/>
        <w:rPr>
          <w:rFonts w:ascii="Times New Roman" w:cs="Times New Roman" w:eastAsia="Times New Roman" w:hAnsi="Times New Roman"/>
          <w:sz w:val="17"/>
          <w:szCs w:val="17"/>
          <w:color w:val="auto"/>
        </w:rPr>
      </w:pPr>
    </w:p>
    <w:p>
      <w:pPr>
        <w:ind w:firstLine="8"/>
        <w:spacing w:after="0" w:line="254" w:lineRule="auto"/>
        <w:tabs>
          <w:tab w:leader="none" w:pos="2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issuance of the maximum 32,914,599 shares being registered hereby. Although the Purchase Agreement provides that we may sell up to $25 million in shares of our common stock to Lincoln Park, only 32,914,599 shares of our common stock are being offered under this prospectus that may be sold by us to Lincoln Park at our discretion from time to time over a 24-month period following the date of this prospectus. Depending on the price per share at which we sell our common stock to Lincoln Park pursuant to the Purchase Agreement, we may need to sell to Lincoln Park under the Purchase Agreement more shares of our common stock than are offered under this prospectus to receive aggregate gross proceeds equal to the $25 million total commitment of Lincoln Park under the Purchase Agreement. If we choose to do so, we must first register for resale under the Securities Act such additional shares. The number of shares ultimately offered for resale by Lincoln Park will depend upon the number of shares we elect to sell to Lincoln Park under the Purchase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less than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The shares of our common stock offered by this prospectus are being offered by the selling stockholder, Lincoln Park Capital Fund,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selling stockholder may use any one or more of the following methods when selling securities:</w:t>
      </w:r>
    </w:p>
    <w:p>
      <w:pPr>
        <w:spacing w:after="0" w:line="180" w:lineRule="exact"/>
        <w:rPr>
          <w:sz w:val="20"/>
          <w:szCs w:val="20"/>
          <w:color w:val="auto"/>
        </w:rPr>
      </w:pPr>
    </w:p>
    <w:p>
      <w:pPr>
        <w:ind w:left="120" w:hanging="112"/>
        <w:spacing w:after="0"/>
        <w:tabs>
          <w:tab w:leader="none" w:pos="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the shares of our common stock;</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of our common stock offered by this prospectus may be sold only through registered or licensed brokers or dealers. In addition, in certain states, the shares of our common stock offered by this prospectus may not be sold unless they have been registered or qualified for sale in the state or an exemption from the state’s registration or qualification requirement is available and complied with.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Lincoln Park is an “underwriter” within the meaning of Section 2(a)(11) of the Securities Act.</w:t>
      </w:r>
    </w:p>
    <w:p>
      <w:pPr>
        <w:spacing w:after="0" w:line="225"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Lincoln Park has informed us that it intends to use an unaffiliated broker-dealer to effectuate all sales, if any, of our common stock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spacing w:after="0" w:line="183"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selling stockholder and/or the purchasers, for whom the broker-dealers may act as agent. The compensation paid to any such particular broker-dealer may be less than or in excess of customary commissions. Neither we nor Lincoln Park can presently estimate the amount of compensation that any agent will receive from the selling stockholder or from any purchasers of shares of our common stock sold by Lincoln Park.</w:t>
      </w:r>
    </w:p>
    <w:p>
      <w:pPr>
        <w:spacing w:after="0" w:line="183" w:lineRule="exact"/>
        <w:rPr>
          <w:sz w:val="20"/>
          <w:szCs w:val="20"/>
          <w:color w:val="auto"/>
        </w:rPr>
      </w:pPr>
    </w:p>
    <w:p>
      <w:pPr>
        <w:ind w:right="500" w:firstLine="360"/>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Lincoln Park or any other stockholder, broker, dealer, underwriter or agent relating to the sale or distribution of the shares of our common stock offered by this prospectus.</w:t>
      </w:r>
    </w:p>
    <w:p>
      <w:pPr>
        <w:spacing w:after="0" w:line="162"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that includes this prospectus to amend, supplement or update information contained in this prospectus, including, if and when required under the Securities Act, to disclose certain information relating to a particular sale of shares of our common stock offered by this prospectus by the selling stockholder, including the names of any brokers, dealers, underwriters or agents participating in the distribution of such shares of our common stock by the selling stockholder, any compensation paid by Lincoln Park to any such brokers, dealers, underwriters or agents, and any other required information.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included in this prospectus by Lincoln Park. We estimate that the total expenses for the offering will be approximately $115,000. We have agreed to indemnify Lincoln Park and certain other persons against certain liabilities in connection with the offering of shares of our common stock offered by this prospectus,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spacing w:after="0" w:line="18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83" w:lineRule="exact"/>
        <w:rPr>
          <w:sz w:val="20"/>
          <w:szCs w:val="20"/>
          <w:color w:val="auto"/>
        </w:rPr>
      </w:pPr>
    </w:p>
    <w:p>
      <w:pPr>
        <w:ind w:right="220" w:firstLine="360"/>
        <w:spacing w:after="0" w:line="258" w:lineRule="auto"/>
        <w:rPr>
          <w:sz w:val="20"/>
          <w:szCs w:val="20"/>
          <w:color w:val="auto"/>
        </w:rPr>
      </w:pPr>
      <w:r>
        <w:rPr>
          <w:rFonts w:ascii="Times New Roman" w:cs="Times New Roman" w:eastAsia="Times New Roman" w:hAnsi="Times New Roman"/>
          <w:sz w:val="18"/>
          <w:szCs w:val="18"/>
          <w:color w:val="auto"/>
        </w:rPr>
        <w:t>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This offering will terminate on the earlier of (i) termination of the Purchase Agreement or (ii) the date that all shares offered by this prospectus have been sold by Lincoln Park.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OUR SECURITIES TO BE REGISTERED</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securities to be registered on this registration statement on Form S-1 include up to an aggregate amount of 32,914,599 shares of our common stock. As of May 1, 2026, there were 241,973,011 shares of our common stock issued and outstanding, including the Commitment Shares. The authorized and unissued shares of common stock and the authorized and undesignated shares of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does not intend to seek stockholder approval for the issuance and sale of our common stock or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authorized to issue 350,000,000 shares of common stock, par value $0.0001 per share. As of the date of this prospectus, there were 241,973,011 shares of our common stock outstanding.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material provisions of the common stock provided for in our Charter and Bylaws.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entitled to one vote for each share held of record on all matters submitted to a vote of the stockholders. However, directors are elected by a plurality of the votes cast. Accordingly, the holders of a majority of the shares of common stock entitled to vote in any election of directors are able to elect all of the directors standing for election, if they so choose.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common stock are entitled to receive dividends, if any, as may be declared from time to time by our board of directors out of legally available funds. We have never paid cash dividends and have no present intention to pay cash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have designated or issued, or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OTCQX Market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OTCQX® Best Market under the symbol “VXRT.”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 and registrar’s address is 6201 15th Avenue, Brooklyn, New York 11219.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Thomspon Hine LLP, New York, New York, will pass upon the validity of the issuance of the securities to be offered by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2025 and 2024 audited annual consolidated financial statements of Vaxart, Inc. as of and for each of the years in the two-year period ended December 31, 2025, incorporated in this prospectus and elsewhere in the registration statement, have been incorporated in reliance upon the report of WithumSmith+Brown, PC, independent registered public accounting firm,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 with respect to the shares of common stock offered by this prospectus with the SEC in accordance with the Securities Act and the rules and regulations enacted under its authority. This prospectus, which constitutes a part of the registration statement, does not contain all of the information included in the registration statement and its exhibits and schedules. Any statement made in this prospectus concerning the contents of any contract, agreement or other document is only a summary of the actual contract, agreement or other document. If we have filed or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 For further information regarding us and the shares of common stock offered by this prospectus, we refer you to the full registration statement, including its exhibits and schedules, filed under the Securities Act.</w:t>
      </w:r>
    </w:p>
    <w:p>
      <w:pPr>
        <w:spacing w:after="0" w:line="192" w:lineRule="exact"/>
        <w:rPr>
          <w:sz w:val="20"/>
          <w:szCs w:val="20"/>
          <w:color w:val="auto"/>
        </w:rPr>
      </w:pPr>
    </w:p>
    <w:p>
      <w:pPr>
        <w:ind w:right="200" w:firstLine="360"/>
        <w:spacing w:after="0" w:line="312" w:lineRule="auto"/>
        <w:rPr>
          <w:sz w:val="20"/>
          <w:szCs w:val="20"/>
          <w:color w:val="auto"/>
        </w:rPr>
      </w:pPr>
      <w:r>
        <w:rPr>
          <w:rFonts w:ascii="Times New Roman" w:cs="Times New Roman" w:eastAsia="Times New Roman" w:hAnsi="Times New Roman"/>
          <w:sz w:val="17"/>
          <w:szCs w:val="17"/>
          <w:color w:val="auto"/>
        </w:rPr>
        <w:t>The SEC maintains a website at http://www.sec.gov that contains reports, proxy and information statements and other information regarding issuers that file electronically with the SEC. Our registration statement, of which this prospectus constitutes a part, can be downloaded from the SEC’s website.</w:t>
      </w:r>
    </w:p>
    <w:p>
      <w:pPr>
        <w:spacing w:after="0" w:line="140"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 xml:space="preserve">We also file annual, quarterly and current reports, proxy statements and other information with the SEC. You can read our SEC filings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Our website address is http://www.vaxart.com. There we make available free of charge, on or through the investor relations section of our website, annual reports on Form 10-K, quarterly reports on Form 10-Q, current reports on Form 8-K and amendments to those reports filed pursuant to Section 13(a) or 15(d) of the Exchange Act as soon as reasonably practicable after we electronically file such material with the SEC. The information contained on, or that can be accessed through, our website is not a part of this prospectus, and our reference to the address for our website is intended to be an inactive textual reference only.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9280" w:type="dxa"/>
            <w:vAlign w:val="bottom"/>
            <w:gridSpan w:val="11"/>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2025 (Unaudited)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1"/>
        </w:trPr>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000EE"/>
                <w:w w:val="92"/>
              </w:rPr>
              <w:t>F-2</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10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 for the Three Months Ended March 31, 2026 and 2025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w w:val="92"/>
              </w:rPr>
              <w:t>F-3</w:t>
            </w:r>
          </w:p>
        </w:tc>
      </w:tr>
      <w:tr>
        <w:trPr>
          <w:trHeight w:val="196"/>
        </w:trPr>
        <w:tc>
          <w:tcPr>
            <w:tcW w:w="105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2026 and 2025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w w:val="92"/>
              </w:rPr>
              <w:t>F-4</w:t>
            </w:r>
          </w:p>
        </w:tc>
      </w:tr>
      <w:tr>
        <w:trPr>
          <w:trHeight w:val="196"/>
        </w:trPr>
        <w:tc>
          <w:tcPr>
            <w:tcW w:w="83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220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w w:val="92"/>
              </w:rPr>
              <w:t>F-6</w:t>
            </w:r>
          </w:p>
        </w:tc>
      </w:tr>
      <w:tr>
        <w:trPr>
          <w:trHeight w:val="196"/>
        </w:trPr>
        <w:tc>
          <w:tcPr>
            <w:tcW w:w="4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2780" w:type="dxa"/>
            <w:vAlign w:val="bottom"/>
            <w:tcBorders>
              <w:top w:val="single" w:sz="8" w:color="0000EE"/>
            </w:tcBorders>
            <w:gridSpan w:val="4"/>
          </w:tcPr>
          <w:p>
            <w:pPr>
              <w:spacing w:after="0"/>
              <w:rPr>
                <w:sz w:val="17"/>
                <w:szCs w:val="17"/>
                <w:color w:val="auto"/>
              </w:rPr>
            </w:pPr>
          </w:p>
        </w:tc>
        <w:tc>
          <w:tcPr>
            <w:tcW w:w="28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w w:val="92"/>
              </w:rPr>
              <w:t>F-7</w:t>
            </w:r>
          </w:p>
        </w:tc>
      </w:tr>
      <w:tr>
        <w:trPr>
          <w:trHeight w:val="912"/>
        </w:trPr>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2025 and 2024 (Audited)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 of WithumSmith+Brown, PC - Independent Registered Public Accounting Firm</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EE"/>
              </w:rPr>
              <w:t>F-28</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4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1620" w:type="dxa"/>
            <w:vAlign w:val="bottom"/>
            <w:gridSpan w:val="2"/>
          </w:tcPr>
          <w:p>
            <w:pPr>
              <w:spacing w:after="0"/>
              <w:rPr>
                <w:sz w:val="17"/>
                <w:szCs w:val="17"/>
                <w:color w:val="auto"/>
              </w:rPr>
            </w:pPr>
          </w:p>
        </w:tc>
        <w:tc>
          <w:tcPr>
            <w:tcW w:w="4280" w:type="dxa"/>
            <w:vAlign w:val="bottom"/>
            <w:gridSpan w:val="7"/>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rPr>
              <w:t>F-31</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90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 for the Years ended December 31, 2025 and 2024</w:t>
            </w:r>
          </w:p>
        </w:tc>
        <w:tc>
          <w:tcPr>
            <w:tcW w:w="1560" w:type="dxa"/>
            <w:vAlign w:val="bottom"/>
            <w:gridSpan w:val="2"/>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rPr>
              <w:t>F-32</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7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December 31, 2025 and 2024</w:t>
            </w:r>
          </w:p>
        </w:tc>
        <w:tc>
          <w:tcPr>
            <w:tcW w:w="1840" w:type="dxa"/>
            <w:vAlign w:val="bottom"/>
            <w:gridSpan w:val="3"/>
          </w:tcPr>
          <w:p>
            <w:pPr>
              <w:spacing w:after="0"/>
              <w:rPr>
                <w:sz w:val="17"/>
                <w:szCs w:val="17"/>
                <w:color w:val="auto"/>
              </w:rPr>
            </w:pPr>
          </w:p>
        </w:tc>
        <w:tc>
          <w:tcPr>
            <w:tcW w:w="1560" w:type="dxa"/>
            <w:vAlign w:val="bottom"/>
            <w:gridSpan w:val="2"/>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rPr>
              <w:t>F-33</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7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3400" w:type="dxa"/>
            <w:vAlign w:val="bottom"/>
            <w:gridSpan w:val="5"/>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rPr>
              <w:t>F-34</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64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4080" w:type="dxa"/>
            <w:vAlign w:val="bottom"/>
            <w:gridSpan w:val="6"/>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EE"/>
              </w:rPr>
              <w:t>F-36</w:t>
            </w:r>
          </w:p>
        </w:tc>
      </w:tr>
      <w:tr>
        <w:trPr>
          <w:trHeight w:val="453"/>
        </w:trPr>
        <w:tc>
          <w:tcPr>
            <w:tcW w:w="128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40" w:type="dxa"/>
            <w:vAlign w:val="bottom"/>
            <w:gridSpan w:val="8"/>
          </w:tcPr>
          <w:p>
            <w:pPr>
              <w:jc w:val="center"/>
              <w:ind w:right="4240"/>
              <w:spacing w:after="0"/>
              <w:rPr>
                <w:sz w:val="20"/>
                <w:szCs w:val="20"/>
                <w:color w:val="auto"/>
              </w:rPr>
            </w:pPr>
            <w:r>
              <w:rPr>
                <w:rFonts w:ascii="Times New Roman" w:cs="Times New Roman" w:eastAsia="Times New Roman" w:hAnsi="Times New Roman"/>
                <w:sz w:val="18"/>
                <w:szCs w:val="18"/>
                <w:color w:val="auto"/>
                <w:w w:val="95"/>
              </w:rPr>
              <w:t>F-1</w:t>
            </w:r>
          </w:p>
        </w:tc>
        <w:tc>
          <w:tcPr>
            <w:tcW w:w="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2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VAXART, INC. AND SUBSIDIARIES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2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53,814</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9,993</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14,564</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Unbilled receivable from government contracts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36,781</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20,971</w:t>
            </w:r>
          </w:p>
        </w:tc>
      </w:tr>
      <w:tr>
        <w:trPr>
          <w:trHeight w:val="209"/>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136,123</w:t>
            </w:r>
          </w:p>
        </w:tc>
      </w:tr>
      <w:tr>
        <w:trPr>
          <w:trHeight w:val="210"/>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clinical services, long-term</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25,218</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11,432</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2,826</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r>
      <w:tr>
        <w:trPr>
          <w:trHeight w:val="209"/>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186,079</w:t>
            </w: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5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
        </w:trPr>
        <w:tc>
          <w:tcPr>
            <w:tcW w:w="128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21,496</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government revenue</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collaboration revenue</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12,952</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current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47,879</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2,978</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liability related to sale of future royalties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r>
      <w:tr>
        <w:trPr>
          <w:trHeight w:val="210"/>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86,754</w:t>
            </w:r>
          </w:p>
        </w:tc>
      </w:tr>
      <w:tr>
        <w:trPr>
          <w:trHeight w:val="210"/>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collaboration revenue, net of current portion</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 net of current portion</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r>
      <w:tr>
        <w:trPr>
          <w:trHeight w:val="210"/>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98,281</w:t>
            </w:r>
          </w:p>
        </w:tc>
      </w:tr>
      <w:tr>
        <w:trPr>
          <w:trHeight w:val="210"/>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none issued and outstanding as of March</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2026 and December 31, 2025</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as of March 31, 2026 and December 31,</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2025; 242,169,130 shares issued and 241,414,053 shares outstanding as of March 31, 2026 and 240,742,681</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issued and 240,494,594 shares outstanding as of December 31, 2025</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548,131</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Treasury stock at cost, 755,077 shares as of March 31, 2026 and 248,087 shares as of December 31, 2025</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(460,195)</w:t>
            </w:r>
          </w:p>
        </w:tc>
      </w:tr>
      <w:tr>
        <w:trPr>
          <w:trHeight w:val="216"/>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94,117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87,798</w:t>
            </w:r>
          </w:p>
        </w:tc>
      </w:tr>
      <w:tr>
        <w:trPr>
          <w:trHeight w:val="210"/>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186,079</w:t>
            </w: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830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unaudited condensed consolidated 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5"/>
              </w:rPr>
              <w:t>F-2</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39,227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20,876</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5,067</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35,811</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w:t>
            </w:r>
          </w:p>
        </w:tc>
      </w:tr>
      <w:tr>
        <w:trPr>
          <w:trHeight w:val="196"/>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240,649,773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227,923,636</w:t>
            </w: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242,184,524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227,923,636</w:t>
            </w:r>
          </w:p>
        </w:tc>
      </w:tr>
      <w:tr>
        <w:trPr>
          <w:trHeight w:val="19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available-for-sale investments,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7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7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2025</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240,742,681</w:t>
            </w:r>
          </w:p>
        </w:tc>
        <w:tc>
          <w:tcPr>
            <w:tcW w:w="4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(248,087)</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548,131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(460,195)</w:t>
            </w: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87,798</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Release of common stock for vested restricted</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1,426,449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 to satisfy tax</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loss on available-for-sale</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5,179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5,179</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2026</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242,169,130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(755,077)</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549,613</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(455,016)</w:t>
            </w: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94,117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92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86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960" w:type="dxa"/>
            <w:vAlign w:val="bottom"/>
            <w:gridSpan w:val="2"/>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(Loss) Gain</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 as of December 31, 2024</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228,203,822</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(429,547)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535,770</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(476,522)</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58,925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3,625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Release of common stock for vested restricted</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718,282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units</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Repurchase of common stock to satisfy tax</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(273,229)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2,459</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(15,591)</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as of March 31, 2025</w:t>
            </w:r>
          </w:p>
        </w:tc>
        <w:tc>
          <w:tcPr>
            <w:tcW w:w="9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228,925,729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(702,776)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538,232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(492,113)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45,618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7"/>
              </w:rPr>
              <w:t>VAXART, INC.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accretion of discounts on investments</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revenue related to sale of future royalties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Unbilled receivable from government contracts</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government revenue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collaboration revenue</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gridSpan w:val="2"/>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(2,054</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gridSpan w:val="2"/>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(676</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acquired to settle employee tax withholding liabilities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gridSpan w:val="2"/>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(338</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50,746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and equipment included in accounts payable and 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in March 2004, under the name West Coast Biologicals, Inc. The Company changed its name to Vaxart, Inc. (“Private Vaxart”) in July 2007, and reincorporated in the state of Delaware. In February 2018, 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$50.0 million. The shares were sold pursuant to an effective registration statement on Form S-3 (Registration Statement No. 333-270671) (the “2023 Shelf Registration Statement”), as previously filed with the U.S. Securities and Exchange Commission (the “SEC”), and a prospectus supplement, dated March 21, 2025, with the SEC in connection with the offer and sale of the shares under the March 2025 ATM. The 2023 Shelf Registration Statement has since expired and on April 30, 2026, the Company’s registration statement on Form S-3 (Registration Statement No. 333-295086) (the “2026 Shelf Registration Statement”) was declared effective. Pursuant to the 2026 Shelf Registration Statement and prospectus supplement dated May 4, 2026, the Company may continue to make sales under the March 2025 ATM. The Company will pay the Managers a placement fee of up to 3% of the gross sale price from each sale of shares under the March 2025 ATM.</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July 8, 2025, Nasdaq suspended trading in our common stock and the Company was formally delisted from Nasdaq. Our common stock has been quoted on the OTCQX under the ticker symbol “VXRT” since the stock was suspended from trading on Nasdaq on July 8, 2025. The National Securities Markets Improvement Act of 1996 prevents or preempts the states from regulating the sale of certain securities, which are referred to as “covered securities.” As Nasdaq has officially delisted our securities, our securities are not covered securities since OTCQX-traded securities are not considered covered securities, and we will need to follow each state’s blue sky laws for offers and sales of our securities made to residents of that state. This state-level regulation introduces additional compliance requirements for brokers to consider when trading in our securities and complicates the use of our ATM facility.</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April 2026, the Company entered into a purchase agreement (the “April 2026 ELOC”) and a registration rights agreement with Lincoln Park Capital Fund, LLC (“LPC”), pursuant to which LPC committed to purchase up to $25.0 million (the “Commitment Amount”) of the Company’s common stock, subject to certain limitations and conditions. The Company has the right, but not the obligation, to sell shares to LPC, and LPC is obligated to make purchases as directed by the Company, subject to the conditions set forth in the agreement. See Note 13 for further details.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are based in South San Francisco, California, and it operates in one reportable segment, which is the discovery and development of oral recombinant protein vaccines, based on its proprietary oral vaccine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Liquidity and Going Concern </w:t>
      </w:r>
      <w:r>
        <w:rPr>
          <w:rFonts w:ascii="Times New Roman" w:cs="Times New Roman" w:eastAsia="Times New Roman" w:hAnsi="Times New Roman"/>
          <w:sz w:val="18"/>
          <w:szCs w:val="18"/>
          <w:color w:val="auto"/>
        </w:rPr>
        <w:t>– The accompanying unaudited condensed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(“U.S. GAAP”) and pursuant to the accounting and disclosure rules and regulations of the SEC assuming the Company will continue as a going concern.</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is a clinical-stage biotechnology company with no product sales. The Company’s primary source of financing is from the sale and issuance of common stock as well as funding from the Biomedical Advanced Research and Development Authority (“HHS BARDA”), a division of the Administration for Strategic Preparedness and Response (“ASPR”) within the United States (“U.S.”) Department of Health and Human Services. In the past, the Company has also financed its operations through the issuance of secured debt securities and preferred stock, proceeds from the exercise of warrants, and payments under collaboration and license agreements. As of March 31, 2026, the Company had cash, cash equivalents and short-term investments of $61.0 million. The Company’s cash, cash equivalents and investments are sufficient to fund the Company’s planned operations for at least the period of 12 months from the date the unaudited condensed consolidated financial statements are issued.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will be dependent upon raising additional capital through placement of its common stock, notes or other securities, borrowings, or entering into a partnership with a strategic party in order to implement its business plan. There can be no assurance that the Company will be successful in raising additional capital.</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Based on management’s current plan, the Company expects to have enough cash runway into the second quarter of 2027. The accompanying unaudited condensed consolidated financial statements have been prepared assuming that the Company will continue as a going concern, which contemplates the realization of assets and the settlement of liabilities and commitments in the normal course of business.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condensed consolidated balance sheet as of December 31, 2025, included in this document, was derived from audited financial statements, but does not include all disclosures required by U.S. GAAP. Certain information and footnote disclosures normally included in consolidated financial statements have been condensed or omitted pursuant to these rules and regulations. These unaudited condensed consolidated financial statements should be read in conjunction with the Company’s audited financial statements and footnotes related thereto for the year ended December 31, 2025, included in the Company’s Annual Report on Form 10-K filed with the SEC on March 13, 2026 (the “Annual Report”). Unless noted below, there have been no material changes to the Company’s significant accounting policies described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to the condensed consolidated financial statements included in the Annual Report. In the opinion of management, the unaudited condensed consolidated financial statements include all adjustments (consisting only of normal recurring adjustments) necessary to present fairly the Company’s financial position and the results of its operations and cash flows. The results of operations for such interim periods are not necessarily indicative of the results to be expected for the full year or any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The unaudited condensed consolidated financial statements include the financial statements of Vaxart, Inc.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transactions and balances between Vaxart, Inc. and its subsidiaries have been eliminated in consolidation.</w:t>
      </w:r>
    </w:p>
    <w:p>
      <w:pPr>
        <w:spacing w:after="0" w:line="2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the Company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liabilities, revenues and expenses and disclosure of contingent assets and liabilities in the condensed consolidated financial statements and accompanying notes. Actual results and outcomes could differ from these estimates and assumptions.</w:t>
      </w:r>
    </w:p>
    <w:p>
      <w:pPr>
        <w:spacing w:after="0" w:line="1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significant concentrations of credit risk consist principally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cash equivalents, available-for-sale investments and accounts receivable. The Company places its cash, cash equivalents and available-for-sale investments at financial institutions that the Company believes are of high credit quality. The Company is exposed to credit risk in the event of default by the financial institutions holding the cash and cash equivalents to the extent such amounts are in excess of the federally insured limits. Losses incurred or a lack of access to such funds could have a significant adverse impact on the Company’s financial condition, results of operations, and cash flows.</w:t>
      </w:r>
    </w:p>
    <w:p>
      <w:pPr>
        <w:spacing w:after="0" w:line="18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primary focus of the Company’s investment strategy is to preserve capital and meet liquidity requirements. The Company’s investment policy addresses the level of credit exposure by limiting the concentration in any one corporate issuer or sector and establishing a minimum allowable credit rating.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Government Contracts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firm fixed-price milestone contracts, the Company recognizes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Under cost reimbursable contracts, the Company recognizes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Payments to the Company under cost reimbursable contracts are provisional payments subject to adjustment upon annual audit by the government. The Company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the 2025 License and Collaboration Agreement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which introduces a practical expedient and an accounting policy election for certain entities in estimating expected credit losses for current accounts receivable and current contract assets arising from transactions within the scope of ASC 606, Revenue from Contracts with Customers. The Company adopted ASU 2025-05 effective January 1, 2026 on a prospective basis and elected the practical expedient. The adoption did not have a material effect on the Company's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caption. ASU 2024-03 is effective for annual reporting periods beginning after December 15, 2026, and interim reporting periods beginning after December 15, 2027, with early adoption permitted. The Company is currently assessing the impact ASU 2024-03 will have on the consolidated financial statement disclosures.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Accounting for Government Grants Received by Business Entities, which adds guidance to ASC 832 on the recognition, measurement, and presentation of government grants received by business entities. ASU 2025-10 is effective for the Company in annual periods beginning after December 15, 2028, including interim periods within those fiscal years, with early adoption permitted. The guidance can be applied on a modified prospective, modified retrospective, or full retrospective basis. The Company is currently assessing the impact of ASU 2025-10 on its consolidated financial statements and disclosures.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assessing the impact ASU 2025-11 will have on the consolidated financial statement disclosures.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updates the Codification for a broad range of topics arising from technical corrections, unintended application of the Codification, clarifications, and other minor improvements. This ASU is effective for annual reporting periods beginning after December 15, 2026, and interim periods within those annual reporting periods, with early adoption permitted on an issue-by-issue basis. ASU 2025-12 is not expected to have a material effect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Financial instruments include cash and cash equivalents, marketable securities, accounts receivable, accounts payable and accrued liabilities that approximate fair value due to their relatively short maturities.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ind w:left="1300" w:hanging="647"/>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ind w:left="1300" w:right="160" w:hanging="647"/>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that are measured on a recurring basis as of March 31, 2026 and December 31, 2025 (in thousands):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44,121</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r>
      <w:tr>
        <w:trPr>
          <w:trHeight w:val="22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44,121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57,185</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46,164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46,164</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14,060</w:t>
            </w:r>
          </w:p>
        </w:tc>
      </w:tr>
      <w:tr>
        <w:trPr>
          <w:trHeight w:val="20"/>
        </w:trPr>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46,164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60,224</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no financial liabilities measured on a recurring basis as of March 31, 2026 or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Cash, Cash Equivalents and Short-Term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Cash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3,837</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44,121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8,881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1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61,029</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300" w:type="dxa"/>
            <w:vAlign w:val="bottom"/>
            <w:gridSpan w:val="1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Cash and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1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14,063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all investments were available-for-sale debt securities with remaining maturities of 12 months or less. As of March 31, 2026 and December 31, 2025, the Company held 9 and 4 securities, respectively, in an unrealized loss position for 12 months or less. Interest receivable as of March 31, 2026 and December 31, 2025, was $0.1 million and $0.2 million, respectively, and is recorded as a component of prepaid expenses and other current assets on the condensed consolidated balance sheets.</w:t>
      </w:r>
    </w:p>
    <w:p>
      <w:pPr>
        <w:spacing w:after="0" w:line="18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has the ability, if necessary, to liquidate any of its cash equivalents and marketable securities to meet its liquidity needs.</w:t>
      </w:r>
    </w:p>
    <w:p>
      <w:pPr>
        <w:spacing w:after="0" w:line="1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there were no material declines in the market value of the Company’s available-for-sale investments due to credit-related factors. The Company does not intend to sell the investments, and it is not more likely than not that the Company will be required to sell the investments before recovery of their amortized cost basis. As of March 31, 2026 and December 31, 2025, no allowance for credit losses was recorded and the Company did not recognize any impairment losses related to investments.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Accounts Receivable</w:t>
      </w:r>
    </w:p>
    <w:p>
      <w:pPr>
        <w:spacing w:after="0" w:line="229" w:lineRule="exact"/>
        <w:rPr>
          <w:sz w:val="20"/>
          <w:szCs w:val="20"/>
          <w:color w:val="auto"/>
        </w:rPr>
      </w:pPr>
    </w:p>
    <w:p>
      <w:pPr>
        <w:ind w:right="920"/>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accounts receivable consisted of $7.1 million of government contract receivable from the 2024 ATI-RRPV Contract. As of December 31, 2025, accounts receivable of $14.6 million consisted of $14.2 million of government contract receivables from HHS BARDA and $0.3 million royalty receivable. 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highlight w:val="white"/>
        </w:rPr>
        <w:t>.</w:t>
      </w:r>
    </w:p>
    <w:p>
      <w:pPr>
        <w:spacing w:after="0" w:line="17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Company has provided no allowance for credit losses as of March 31, 2026 and December 31, 2025 based on historical collection experience, customer creditworthiness, the age of accounts receivable balances, regulatory changes and current economic conditions and trends that may affect a customer’s ability to pay.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Unbilled Receivable from Government Contracts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Unbilled receivable, which was earned and not yet billed, consists of government contracts from HHS BARDA of $50.4 million and $36.8 million as of March 31, 2026 and December 31, 2025, respectively,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Prepaid Expenses and Other Current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48"/>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clinical and manufacturing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6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09"/>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there was a significant concentration by one contract research organization (“CRO”), which represented 83% of the Company’s total prepaid expenses balance. As of December 31, 2025, there was a significant concentration by one CRO, which represented 90% of the Company’s total prepaid expenses balance.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 Net</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5"/>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11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6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w:t>
            </w:r>
          </w:p>
        </w:tc>
      </w:tr>
      <w:tr>
        <w:trPr>
          <w:trHeight w:val="216"/>
        </w:trPr>
        <w:tc>
          <w:tcPr>
            <w:tcW w:w="11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11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11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0"/>
        </w:trPr>
        <w:tc>
          <w:tcPr>
            <w:tcW w:w="112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r>
      <w:tr>
        <w:trPr>
          <w:trHeight w:val="216"/>
        </w:trPr>
        <w:tc>
          <w:tcPr>
            <w:tcW w:w="11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(13,801)</w:t>
            </w:r>
          </w:p>
        </w:tc>
      </w:tr>
      <w:tr>
        <w:trPr>
          <w:trHeight w:val="290"/>
        </w:trPr>
        <w:tc>
          <w:tcPr>
            <w:tcW w:w="112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Depreciation expense was $0.9 million for each of the three months ended March 31, 2026 and 2025. There were no impairments of the Company’s property and equipment recorded in the three months ended March 31, 2026 and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  Prepaid Clinical Services, Long-Term</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Prepaid clinical services, long-term was $25.2 million as of March 31, 2026 and December 31, 2025. The long-term prepaid clinical services represent amounts the Company has paid to a single CRO as a vendor deposit that will be utilized in more than one year.</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 Right-of-Use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net comprises facilities of $10.6 million and $11.4 million as of March 31, 2026 and December 31, 2025,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 Intangible Assets, Net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Intangible assets are comprised of developed technology and intellectual property. Intangible assets are carried at cost less accumulated amortization. As of March 31, 2026, developed technology and intellectual property had remaining lives of 3.6 years and 1.8 years, respectively. As of March 31, 2026, there have been no indicators of impairment.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50"/>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was $0.2 million for each of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2026, the estimated future amortization expense by year is as follows (in thousands):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remaining)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50"/>
        </w:trPr>
        <w:tc>
          <w:tcPr>
            <w:tcW w:w="11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bl>
    <w:p>
      <w:pPr>
        <w:spacing w:after="0" w:line="19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which represents the excess of the purchase price over the fair value of assets acquired, was $4.5 million as of March 31, 2026 and December 31, 2025. As of March 31, 2026, there have been no indicators of impairment.</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Accounts Payable</w:t>
      </w:r>
    </w:p>
    <w:p>
      <w:pPr>
        <w:spacing w:after="0" w:line="229"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7"/>
          <w:szCs w:val="17"/>
          <w:color w:val="auto"/>
        </w:rPr>
        <w:t>Accounts payable were $24.2 million and $21.5 million as of March 31, 2026 and December 31, 2025, respectively. As of March 31, 2026, there was a significant concentration by one CRO and one analytical testing vendor, which represented 95% of the Company’s total accounts payable balance. As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of December 31, 2025, there was a significant concentration by one CRO and one analytical testing vendor, which represented 94% of the Company’s total accounts payable balance.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 Deferred Government Revenue</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Deferred government revenue represents amounts received from HHS BARDA contracts where the earnings process is not yet complete. The Company will recognize deferred government revenue once the earnings process is complete, in accordance with its revenue recognition policies.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the Company's deferred government revenue (in thousands):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65,400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(65,513)</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collected or invoiced</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 xml:space="preserve">Amounts collected or invoiced during the three months ended March 31, 2026 and year ended December 31, 2025, primarily relate to amounts received on the 2024 ATI-RRPV Contract (as defined in </w:t>
      </w:r>
      <w:r>
        <w:rPr>
          <w:rFonts w:ascii="Times New Roman" w:cs="Times New Roman" w:eastAsia="Times New Roman" w:hAnsi="Times New Roman"/>
          <w:sz w:val="17"/>
          <w:szCs w:val="17"/>
          <w:u w:val="single" w:color="auto"/>
          <w:color w:val="0000EE"/>
        </w:rPr>
        <w:t>Note 5</w:t>
      </w:r>
      <w:r>
        <w:rPr>
          <w:rFonts w:ascii="Times New Roman" w:cs="Times New Roman" w:eastAsia="Times New Roman" w:hAnsi="Times New Roman"/>
          <w:sz w:val="17"/>
          <w:szCs w:val="17"/>
          <w:color w:val="auto"/>
        </w:rPr>
        <w:t>), but for which revenue cannot yet be recognized due to contractual milestones not being achieved.</w:t>
      </w:r>
    </w:p>
    <w:p>
      <w:pPr>
        <w:spacing w:after="0" w:line="13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Deferred Collaboration Revenue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Deferred collaboration revenue represents amounts received from the 2025 License and Collaboration Agreement with Dynavax Technologies Corporation, a Sanofi company ("Dynavax"), entered into in November 2025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where the earnings process is not yet complete. The Company will recognize deferred collaboration revenue once the earnings process is complete, in accordance with its revenue recognition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deferred collaboration revenue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14,976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for collaboration</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collected or invoiced</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17,084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collaboration revenue</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12,161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14,976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(12,952)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Other Accrued Current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current liabilities consist of the following (in thousands):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and manufacturing expenses</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32,728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42,455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current portion</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36,526</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47,879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was a significant concentration by one CRO, which represented 83% and 79% of the Company’s total other accrued liabilities balances,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 Related to Sale of Future Royalties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generates royalty revenue from the sale of Inavir in Japan, pursuant to a collaboration and license agreement that Aviragen entered into with Daiichi Sankyo Company, Limited (“Daiichi Sankyo”) in 2009. In September 2010, laninamivir octanoate was approved for sale by the Japanese Ministry of Health and Welfare for the treatment of influenza in adults and children, which Daiichi Sankyo markets as Inavir. Under the agreement, the Company currently receives a 4% royalty on net sales of Inavir in Japan. Based on information provided by Daiichi Sankyo, the Company's royalty revenue will cease with the expiration of the last patent related to Inavir in August 2036. The Company’s royalty revenue is seasonal, in line with the flu season, so the majority of the Company’s royalty revenue and non-cash royalty revenue related to the sale of future royalties are earned in the first and fourth fiscal quarters. The royalty revenue related to Inavir recognized for the three months ended March 31, 2026 and 2025 was zero. The non-cash royalty revenue related to the sale of future royalties was $42,000 and $1.6 million for the three months ended March 31, 2026 and 2025, respectively. Both royalty revenue and the non-cash royalty revenue related to the sale of future royalties are subject to a 5% withholding tax in Japan, for which $2,000 and $79,000 was included in income tax expense for the three months ended March 31, 2026 and 2025, respectively, further detailed in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recognized revenue from government contracts with HHS BARDA of $36.4 million and $19.3 million for the three months ended March 31, 2026 and 2025, respectively, consisting of revenue from the 2024 ASPR-BARDA Contract (as defined below) and the 2024 ATI-RRPV Contract (as defined below) described in more detail below. Unbilled receivable from government contracts consists of government revenue from HHS BARDA, which was earned and not yet billed. As of March 31, 2026 and December 31, 2025, the amount of unbilled receivable was $50.4 million and $36.8 million, respectively, and deferred revenue was $23,000 and $68,000,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ATI-RRPV Contract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2024, the Company entered into an agreement (as modified or amended from time to time the “2024 ATI-RRPV Contract”) with Advanced Technology International (“ATI”), the Rapid Response Partnership Vehicle’s Consortium Management Firm funded by HHS BARDA, which was modified in the second half of 2024 to increase funding and provide for the manufacturing of a vaccine candidate targeting the KP.2 strain and acquire an approved mRNA vaccine targeting the KP.2 strain. Pursuant to the 2024 ATI-RRPV Contract, the Company was authorized to receive overall funding of up to $460.7 million to conduct a Phase 2b comparative study evaluating the Company’s oral pill COVID-19 vaccine candidate against an mRNA vaccine comparator approved by the U.S. Food and Drug Administration (“FDA”). Funding has been released pursuant to authorized milestones delineated in a series of contract modifications. Pursuant to Modification No. 6 to the 2024 ATI-RRPV Contract, dated March 10, 2026 (the most recent contract modification), the total amount of funding available for payment under the 2024 ATI-RRPV Contract is approximately $316.0 million, including $67.9 million of firm fixed price amounts and the remaining amount for reimbursement of costs incurred in trial preparation and execution activities. The Company anticipates a further modification to the 2024 ATI-RRPV Contract that will reflect the reduced scope of work and corresponding reduction in funding that resulted from previously issued stop work orders that halted enrollment and therefore reduced the size of the study.</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accounts for the 2024 ATI-RRPV Contract under Accounting Standards Codification 958-605 (“ASC 958-605”) and recognizes revenue as the firm fixed-price milestone is earned and allowable cost-plus-fixed-fees are incurred. Reimbursable costs under the 2024 ATI-RRPV Contract primarily include direct labor, subcontract costs, materials, travel, and approved overhead and indirect costs. The 2024 ATI-RRPV Contract contains terms and conditions that are customary for contracts with HHS BARDA of this nature, including the U.S. government having the right to terminate the contract for convenience or to terminate for default if the Company fails to meet its obligations as set forth in the statement of work. Revenue from government contracts recognized on the 2024 ATI-RRPV Contract was $36.4 million, comprised entirely of the cost-plus-fixed-fee, for the three months ended March 31, 2026, and $19.3 million, comprising cost-plus-fixed-fee of $18.5 million and firm fixed-price milestone of $0.8 million for the three months ended March 31, 2025, based on costs incurred and the achievement of firm fixed-price milestones under the 2024 ATI-RRPV Contract. Deferred government revenue represents amounts that have been received from HHS BARDA and the earnings process is not yet complete. Deferred government revenue in current liabilities was $23,000 and $68,000 as of March 31, 2026 and December 31, 2025, respectively. The remaining deferred government revenue as of March 31, 2026, will be recognized as revenue once the earnings process is complete.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believes that if the 2024 ATI-RRPV Contract were to be terminated prior to completion of the Phase 2b comparative study, the costs incurred through the effective date of such termination and any settlement costs resulting from such termination would be allowable costs. Cost reimbursement payments to the Company are provisional payments subject to adjustment upon annual audit by the government. The Company believes that revenue for periods not yet audited will be recorded in amounts that are expected to be realized upon final audit and settlement. When the final determination of the allowable costs for any year has been made, revenue and billings may be adjusted accordingly in the period that the adjustment becomes known.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ASPR-BARDA Contract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January 2024, the Company was awarded a contract (as modified or amended, the “2024 ASPR-BARDA Contract”) by HHS BARDA with a base and all options value of $9.3 million. Under the 2024 ASPR-BARDA Contract, the Company received an award to support clinical trial planning activities for a Phase 2b clinical trial that would compare the Company’s XBB vaccine candidate to an mRNA comparator to evaluate efficacy for symptomatic and asymptomatic disease, systemic and mucosal immune induction, and adverse events. The 2024 ASPR-BARDA Contract originally had a period of performance term that was set to expire in July 2024, but the Company entered into an amendment in July 2024 that extended the period of performance expiration date into October 2024. The Company accounts for the 2024 ASPR-BARDA Contract under ASC 958-605 and recognizes revenue as donor-imposed conditions are met. Revenue from government contracts recognized on the 2024 ASPR-BARDA Contract was zero for each of the three months ended March 31, 2026 and 2025. Deferred government revenue represents amounts that have been received from HHS BARDA and the earnings process is not yet complete. Deferred government revenue in current liabilities was zero as of March 31, 2026 and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License and Collaboration</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4, 2025, the Company entered into the 2025 License and Collaboration Agreement with Dynavax relating to the Company’s investigational oral vaccine candidate for COVID-19 based on its proprietary oral delivery platform (the “Vaccine Candidate”). Pursuant to the 2025 License and Collaboration Agreement, the Company granted Dynavax an exclusive, worldwide license to develop and commercialize the Company’s oral pill Vaccine Candidate for SARS-CoV-2, SARS coronavirus, or MERS coronavirus, including COVID-19 and all variants thereof. Under the terms of the 2025 License and Collaboration Agreement, Dynavax paid the Company an upfront license fee of $25.0 million and purchased $5.0 million of the Company’s common stock pursuant to the 2025 Securities Purchase Agreement. The 2025 License and Collaboration Agreement provides that the Company continue to develop the Vaccine Candidate by conducting and completing its ongoing Phase 2b clinical trial and delivering the end-of-Phase 2 data package, performing its obligations under the 2024 ATI-RRPV agreement and conducting additional development and manufacturing activities related to the Vaccine Candidate.</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February 10, 2026, Sanofi completed its acquisition of Dynavax. As a result of the consummation of the merger, Dynavax became an indirect wholly owned subsidiary of Sanofi.</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Company’s ongoing Phase 2b clinical trial and a planned end-of-Phase 2 meeting with the FDA, per the 2025 License and Collaboration Agreement, Dynavax has the right to elect, in its sole discretion, to assume responsibility for the continued development of the Vaccine Candidate. If Dynavax elects to assume responsibility for such continued development of the Vaccine Candidate, then Dynavax has agreed to pay the Company an additional fee of $50.0 million. If Dynavax does not elect to assume responsibility for such continued development of the Vaccine Candidate, then the 2025 License and Collaboration Agreement will terminate pursuant to its terms.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2025 License and Collaboration Agreement represented a contract with a customer and should be accounted for in accordance with ASC 606. The Company identified two performance obligations, (i) the exclusive license, together with the related transfer and manufacturing technology transfer (the “License Performance Obligation”), and (ii) the development program activities through delivery of the EOP2 Data Package, including participation in joint governance committees (the “Development Performance Obligation”).</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identified $25.8 million of total transaction price at inception, consisting of a non-refundable upfront payment of $25.0 million and the premium of approximately $0.8 million associated with Dynavax’s concurrent $5.0 million equity investment in the Company, which represented consideration in excess of the fair value of the common stock issued. The fixed consideration of $25.8 million was allocated to the two performance obligations on a relative standalone selling price basis. Revenue allocated to the License Performance Obligation was recognized at a point in time in the fourth quarter of 2025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2025 License and Collaboration Agreement also includes potential additional consideration in the form of evaluation fees, a $50.0 million election payment, regulatory and commercial milestone payments, and royalties on future product sales. Such amounts represent variable consideration and are included in the transaction price only to the extent that it is probable that a significant reversal of cumulative revenue recognized will not occur. Sales-based milestones and royalties will be recognized as revenue when the underlying sales occur in accordance with the sales- or usage-based royalty exception in ASC 606.</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collaboration revenue of $2.8 million and zero, respectively, from the 2025 License and Collaboration Agreement. As of March 31, 2026, the amount of deferred collaboration revenue was $12.2 million, of which $11.7 million was classified as current and $0.4 million as non-current. The remaining deferred collaboration revenue will be recognized as revenue once the earnings process is complete.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Liabilities Related to Sale of Future Royalties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April 2016, Aviragen entered into a Royalty Interest Acquisition Agreement (the “RIAA”) with HealthCare Royalty Partners III, L.P. (“HCRP”). Under the RIAA, HCRP made a $20.0 million cash payment to Aviragen in consideration for acquiring certain royalty rights (“Royalty Rights”) related to the approved product Inavir in the Japanese market. The Royalty Rights were obtained pursuant to the collaboration and license agreements (the “License Agreement”) and a commercialization agreement that the Company entered into with Daiichi Sankyo. Per the terms of the RIAA, during the first royalty interest period of April 1, 2016 through March 31, 2025, HCRP is entitled to the first $3.0 million and any cumulative remaining shortfall amount plus 15% of the next $1.0 million in royalties earned in each year commencing on April 1, with any excess revenue being retained by the Company. Further, during the second royalty interest period beginning April 1, 2025 and ending on December 24, 2029, HCRP is entitled to the first $2.7 million and any cumulative remaining shortfall amount, plus 15% of the next $1.0 million in royalties, with any excess revenue being retained by the Company. A shortfall occurs when, during an annual period ending on March 31, for the first royalty interest period of April 1, 2016 through March 31, 2025, the Company’s royalty payments fall below $3.0 million; and $2.7 million for the second royalty interest period of April 1, 2025 and ending on December 24, 2029, excluding the period of April 1, 2028 through December 24, 2029. In the event there shall remain any cumulative remaining shortfall amount as of December 24, 2029, any royalties received from Daiichi Sankyo subsequently by the Company would be payable to HCRP until the cumulative remaining shortfall amount has been paid.</w:t>
      </w:r>
    </w:p>
    <w:p>
      <w:pPr>
        <w:spacing w:after="0" w:line="200" w:lineRule="exact"/>
        <w:rPr>
          <w:sz w:val="20"/>
          <w:szCs w:val="20"/>
          <w:color w:val="auto"/>
        </w:rPr>
      </w:pP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avoidance of doubt, the RIAA states, in the event there is a remaining cumulative remaining shortfall amount as of December 24, 2029, the Company shall not be obligated to pay HCRP any royalty payment beyond what the Company is paid from Daiichi Sankyo. The cumulative remaining shortfall amount is the aggregate amount of the remaining shortfall for each annual period, which was $6.7 million and $4.4 million as of March 31, 2026 and December 31, 2025,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relevant accounting guidance, due to a limit on the amount of royalties that HCRP can earn under the RIAA, this transaction was accounted for as a liability that is being amortized using the effective interest method over the life of the arrangement. The Company has no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not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not retain HCRP’s share of the royalties, it will continue to record non-cash revenue related to those royalties until the amount of the associated liability, including the related interest, is fully amortized.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during the three months ended March 31, 2026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9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liability related to sale of future royalties, start of period</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4,060</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Non-cash royalty revenue paid to HCRP</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 recognized</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r>
      <w:tr>
        <w:trPr>
          <w:trHeight w:val="209"/>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liability related to sale of future royalties, end of period</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4,234</w:t>
            </w:r>
          </w:p>
        </w:tc>
      </w:tr>
      <w:tr>
        <w:trPr>
          <w:trHeight w:val="230"/>
        </w:trPr>
        <w:tc>
          <w:tcPr>
            <w:tcW w:w="9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50"/>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portion</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2,372</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has obtained the right of use for office and manufacturing facilities under five operating lease agreements with initial terms exceeding one year. The lease term at the commencement date is determined by considering whether renewal options and termination options are reasonably assured of exercise.</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March 31, 2026, the weighted average discount rate for operating leases with initial terms of more than one year was 10.1% and the weighted average remaining term of these leases was 2.9 years. Discount rates were determined using the Company’s marginal rate of borrowing at the time each lease was executed or extended.</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undiscounted cash payment obligations for its operating lease liabilities with initial terms of more than 12 months as of March 31, 2026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(nine months remaining)</w:t>
            </w:r>
          </w:p>
        </w:tc>
        <w:tc>
          <w:tcPr>
            <w:tcW w:w="5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3,050</w:t>
            </w:r>
          </w:p>
        </w:tc>
      </w:tr>
      <w:tr>
        <w:trPr>
          <w:trHeight w:val="216"/>
        </w:trPr>
        <w:tc>
          <w:tcPr>
            <w:tcW w:w="4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0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r>
      <w:tr>
        <w:trPr>
          <w:trHeight w:val="20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Undiscounted total</w:t>
            </w:r>
          </w:p>
        </w:tc>
        <w:tc>
          <w:tcPr>
            <w:tcW w:w="5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9,182</w:t>
            </w:r>
          </w:p>
        </w:tc>
      </w:tr>
      <w:tr>
        <w:trPr>
          <w:trHeight w:val="216"/>
        </w:trPr>
        <w:tc>
          <w:tcPr>
            <w:tcW w:w="46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50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1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payments</w:t>
            </w:r>
          </w:p>
        </w:tc>
        <w:tc>
          <w:tcPr>
            <w:tcW w:w="5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7,968</w:t>
            </w:r>
          </w:p>
        </w:tc>
      </w:tr>
      <w:tr>
        <w:trPr>
          <w:trHeight w:val="216"/>
        </w:trPr>
        <w:tc>
          <w:tcPr>
            <w:tcW w:w="4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0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10"/>
        </w:trPr>
        <w:tc>
          <w:tcPr>
            <w:tcW w:w="4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5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5,438</w:t>
            </w:r>
          </w:p>
        </w:tc>
      </w:tr>
      <w:tr>
        <w:trPr>
          <w:trHeight w:val="20"/>
        </w:trPr>
        <w:tc>
          <w:tcPr>
            <w:tcW w:w="4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558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F-19</w:t>
            </w:r>
          </w:p>
        </w:tc>
        <w:tc>
          <w:tcPr>
            <w:tcW w:w="1020" w:type="dxa"/>
            <w:vAlign w:val="bottom"/>
          </w:tcPr>
          <w:p>
            <w:pPr>
              <w:spacing w:after="0"/>
              <w:rPr>
                <w:sz w:val="24"/>
                <w:szCs w:val="24"/>
                <w:color w:val="auto"/>
              </w:rPr>
            </w:pPr>
          </w:p>
        </w:tc>
      </w:tr>
      <w:tr>
        <w:trPr>
          <w:trHeight w:val="115"/>
        </w:trPr>
        <w:tc>
          <w:tcPr>
            <w:tcW w:w="464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is also required to pay for operating expenses related to the leased space, including common area maintenance, taxes and insurance. The operating expenses are incurred separately and were not included in the present value of lease payments. Operating lease expenses for the three months ended March 31, 2026 and 2025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324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6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69"/>
        </w:trPr>
        <w:tc>
          <w:tcPr>
            <w:tcW w:w="80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Lease cost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
        </w:trPr>
        <w:tc>
          <w:tcPr>
            <w:tcW w:w="760" w:type="dxa"/>
            <w:vAlign w:val="bottom"/>
            <w:tcBorders>
              <w:top w:val="single" w:sz="8" w:color="auto"/>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8"/>
                <w:szCs w:val="18"/>
                <w:color w:val="auto"/>
              </w:rPr>
            </w:pP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r>
      <w:tr>
        <w:trPr>
          <w:trHeight w:val="20"/>
        </w:trPr>
        <w:tc>
          <w:tcPr>
            <w:tcW w:w="7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Purchase Commitments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approximately $19.3 million of non-cancelable purchase commitments, principally for clinical services which are expected to be paid within the next year. Approximately $18.2 million of non-cancelable purchase commitments are attributable to a third-party vendor that provides clinical services, that is reimbursable at approximately $19.6 million under a cost-plus-fixed-fees arrangement in the ATI-RRPV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Indemnifications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The Company currently has directors’ and officers’ insurance.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Litigation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not material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August and September 2020, two substantially similar securities class actions were filed in the U.S. District Court for the Northern District of California. The first action, titled </w:t>
      </w:r>
      <w:r>
        <w:rPr>
          <w:rFonts w:ascii="Times New Roman" w:cs="Times New Roman" w:eastAsia="Times New Roman" w:hAnsi="Times New Roman"/>
          <w:sz w:val="18"/>
          <w:szCs w:val="18"/>
          <w:i w:val="1"/>
          <w:iCs w:val="1"/>
          <w:u w:val="single" w:color="auto"/>
          <w:color w:val="auto"/>
        </w:rPr>
        <w:t>Himmelberg v. Vaxart, Inc. et al.</w:t>
      </w:r>
      <w:r>
        <w:rPr>
          <w:rFonts w:ascii="Times New Roman" w:cs="Times New Roman" w:eastAsia="Times New Roman" w:hAnsi="Times New Roman"/>
          <w:sz w:val="18"/>
          <w:szCs w:val="18"/>
          <w:color w:val="auto"/>
        </w:rPr>
        <w:t xml:space="preserve"> was filed on August 24, 2020. The second action, titled </w:t>
      </w:r>
      <w:r>
        <w:rPr>
          <w:rFonts w:ascii="Times New Roman" w:cs="Times New Roman" w:eastAsia="Times New Roman" w:hAnsi="Times New Roman"/>
          <w:sz w:val="18"/>
          <w:szCs w:val="18"/>
          <w:i w:val="1"/>
          <w:iCs w:val="1"/>
          <w:u w:val="single" w:color="auto"/>
          <w:color w:val="auto"/>
        </w:rPr>
        <w:t>Hovhannisyan v. Vaxart, Inc. et al.</w:t>
      </w:r>
      <w:r>
        <w:rPr>
          <w:rFonts w:ascii="Times New Roman" w:cs="Times New Roman" w:eastAsia="Times New Roman" w:hAnsi="Times New Roman"/>
          <w:sz w:val="18"/>
          <w:szCs w:val="18"/>
          <w:color w:val="auto"/>
        </w:rPr>
        <w:t xml:space="preserve"> was filed on September 1, 2020 (together, the “Putative Class Action”). By Order dated September 17, 2020, the two actions were deemed related. On December 9, 2020, the court appointed lead plaintiffs and lead plaintiffs’ counsel.</w:t>
      </w:r>
    </w:p>
    <w:p>
      <w:pPr>
        <w:spacing w:after="0" w:line="18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On January 29, 2021, lead plaintiffs filed their consolidated amended complaint. On May 14, 2021, the court granted lead plaintiffs’ request to amend the consolidated amended complaint and denied defendants’ motions to dismiss as moot. On June 10, 2021, lead plaintiffs filed a first amended consolidated complaint, and on August 9, 2021, lead plaintiffs filed a corrected first amended consolidated complaint. The first amended consolidated complaint, as corrected, named certain of Vaxart’s current and former executive officers and directors, as well as Armistice Capital, LLC (“Armistice”), as defendants. It claimed three violations of federal civil securities laws; violation of Section 10(b) of the Exchange Act and SEC Rule 10b-5, as against the Company and all individual defendants; violation of Section 20(a) of the Exchange Act, as against Armistice and all individual defendants; and violation of Section 20A of the Exchange Act against Armistice. The first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first amended consolidated complaint sought certification as a class action for similarly situated shareholders and sought, among other things, an unspecified amount of damages and attorneys’ fees and costs. On July 8, 2021, all defendants moved to dismiss the first amended consolidated complaint. By Order dated December 22, 2021, the court granted the motion to dismiss by Armistice with leave to amend and otherwise denied the motions to dismiss. On July 27, 2022, 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$2.0 million to be paid by the Company and the remainder to be paid by the Company’s insurers. On November 2, 2022, the Company paid the $2.0 million settlement amount with respect to the Putative Class Action pursuant to the terms of the settlement agreement reached in that case. On November 14, 2022, lead plaintiffs filed a second amended consolidated class action complaint that purported to include new allegations to support claims against Armistice. By Orders dated January 25, 2023, the court approved the Partial Settlement and entered judgment dismissing with prejudice all claims asserted in the Putative Class Action against the Settling Defendants. A jury trial on the claims asserted against Armistice commenced on April 14, 2026 and concluded on April 28, 2026 with a verdict entered in favor of Armistice and concluding that Armistice had not engaged in either a scheme to inflate the price of Vaxart’s stock or insider trading in connection with its sales of Vaxart’s stock in June 2020; post-verdict proceedings before the District Court are ongoing and the time for lead plaintiffs to lodge an appeal has not yet expired.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October 23, 2020, a complaint was filed in the U.S. District Court for the Southern District of New York, entitled </w:t>
      </w:r>
      <w:r>
        <w:rPr>
          <w:rFonts w:ascii="Times New Roman" w:cs="Times New Roman" w:eastAsia="Times New Roman" w:hAnsi="Times New Roman"/>
          <w:sz w:val="18"/>
          <w:szCs w:val="18"/>
          <w:i w:val="1"/>
          <w:iCs w:val="1"/>
          <w:u w:val="single" w:color="auto"/>
          <w:color w:val="auto"/>
        </w:rPr>
        <w:t>Roth v. Armistice Capital LLC, et</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complaint names Armistice and certain Armistice-related parties as defendants, asserting a violation of Exchange Act Section 16(b) and seeking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disgorgement of short-swing profits. The complaint purports to bring the lawsuit on behalf of and for the benefit of the Company and names the Company as a “nominal defendant” for whose benefit damages are sought. Following discovery, a motion for summary judgment was filed by Armistice and the Armistice-related party defendants to dismiss the complaint. On March 27, 2024, the court granted the motion for summary judgment and dismissed all claims in the complaint in their entirety. On April 11, 2024, the Plaintiff timely filed a notice of appeal of the court’s decision to the Second Circuit Court of Appeals, commencing appellate proceedings. In June 2024, Plaintiff filed a motion to the court of appeals to stay the appeal pending efforts to re-instate the complaint in the district court, which was granted by the court of appeals. In July 2024, Plaintiff filed a motion with the district court seeking to set aside the judgment and to re-instate the complaint. On August 15, 2024, the district court denied Plaintiff’s motion to set aside the judgment. On August 19, 2024, the court of appeals lifted the stay and, on August 28, 2025, the court of appeals entered a judgment affirming the judgment of the district court. The time for Plaintiffs to file any appeal of that decision has since lapsed.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January 8, 2021, a purported shareholder, Phillip Chan, commenced a </w:t>
      </w:r>
      <w:r>
        <w:rPr>
          <w:rFonts w:ascii="Times New Roman" w:cs="Times New Roman" w:eastAsia="Times New Roman" w:hAnsi="Times New Roman"/>
          <w:sz w:val="18"/>
          <w:szCs w:val="18"/>
          <w:i w:val="1"/>
          <w:iCs w:val="1"/>
          <w:color w:val="auto"/>
        </w:rPr>
        <w:t>pro se</w:t>
      </w:r>
      <w:r>
        <w:rPr>
          <w:rFonts w:ascii="Times New Roman" w:cs="Times New Roman" w:eastAsia="Times New Roman" w:hAnsi="Times New Roman"/>
          <w:sz w:val="18"/>
          <w:szCs w:val="18"/>
          <w:color w:val="auto"/>
        </w:rPr>
        <w:t xml:space="preserve"> lawsuit in the U.S. District Court for the Northern District of California titled </w:t>
      </w:r>
      <w:r>
        <w:rPr>
          <w:rFonts w:ascii="Times New Roman" w:cs="Times New Roman" w:eastAsia="Times New Roman" w:hAnsi="Times New Roman"/>
          <w:sz w:val="18"/>
          <w:szCs w:val="18"/>
          <w:i w:val="1"/>
          <w:iCs w:val="1"/>
          <w:u w:val="single" w:color="auto"/>
          <w:color w:val="auto"/>
        </w:rPr>
        <w:t>Chan v. Vaxart, Inc. et al.</w:t>
      </w:r>
      <w:r>
        <w:rPr>
          <w:rFonts w:ascii="Times New Roman" w:cs="Times New Roman" w:eastAsia="Times New Roman" w:hAnsi="Times New Roman"/>
          <w:sz w:val="18"/>
          <w:szCs w:val="18"/>
          <w:color w:val="auto"/>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has been stayed while the Putative Class Action is pending.</w:t>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Preferred Stock</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5,000,000 shares of preferred stock, $0.0001 par value per share. The Company’s board of directors may, without further action by the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no present plan to issue any shares of preferred stock.</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Common Stock</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March 31, 2026, the Company was authorized to issue 350,000,000 shares of common stock, $0.0001 par value per share.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 per share on matters to be voted on by stockholders. Holders of common stock are entitled to receive such dividends, if any, as may be declared from time to time by the Company’s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As of March 31, 2026, no dividends had been declared by the board of directors.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2025, the Company entered into the March 2025 ATM with Citizens and B. Riley, pursuant to which the Company may offer and sell, from time to time through the Managers, shares of its common stock having an aggregate offering price of up to $50 million. The shares will be sold pursuant to the 2026 Shelf Registration Statement. The Company filed a prospectus supplement, dated March 21, 2025, with the SEC in connection with the offer and sale of the shares under the March 2025 ATM. The Company will pay the Managers a placement fee of up to 3% of the gross sale price from each sale of the shares under the March 2025 ATM. No shares have been issued or sold under the March 2025 ATM since the Company was suspended from trading on The Nasdaq Capital Market in July 2025.</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no sinking fund provisions applicable to the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shares of common stock reserved for issuance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27,767,619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25,407,299</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6,691,605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5,733,306</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common stock available for future issuance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6,043,856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10,831,860</w:t>
            </w:r>
          </w:p>
        </w:tc>
        <w:tc>
          <w:tcPr>
            <w:tcW w:w="0" w:type="dxa"/>
            <w:vAlign w:val="bottom"/>
          </w:tcPr>
          <w:p>
            <w:pPr>
              <w:spacing w:after="0"/>
              <w:rPr>
                <w:sz w:val="1"/>
                <w:szCs w:val="1"/>
                <w:color w:val="auto"/>
              </w:rPr>
            </w:pP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Award Plan common stock available for future issuance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0" w:type="dxa"/>
            <w:vAlign w:val="bottom"/>
          </w:tcPr>
          <w:p>
            <w:pPr>
              <w:spacing w:after="0"/>
              <w:rPr>
                <w:sz w:val="1"/>
                <w:szCs w:val="1"/>
                <w:color w:val="auto"/>
              </w:rPr>
            </w:pPr>
          </w:p>
        </w:tc>
      </w:tr>
      <w:tr>
        <w:trPr>
          <w:trHeight w:val="25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 issued and outstanding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0" w:type="dxa"/>
            <w:vAlign w:val="bottom"/>
          </w:tcPr>
          <w:p>
            <w:pPr>
              <w:spacing w:after="0"/>
              <w:rPr>
                <w:sz w:val="1"/>
                <w:szCs w:val="1"/>
                <w:color w:val="auto"/>
              </w:rPr>
            </w:pPr>
          </w:p>
        </w:tc>
      </w:tr>
      <w:tr>
        <w:trPr>
          <w:trHeight w:val="198"/>
        </w:trPr>
        <w:tc>
          <w:tcPr>
            <w:tcW w:w="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5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Employee Stock Purchase Plan common stock available for future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1,823,454</w:t>
            </w:r>
          </w:p>
        </w:tc>
        <w:tc>
          <w:tcPr>
            <w:tcW w:w="80" w:type="dxa"/>
            <w:vAlign w:val="bottom"/>
            <w:vMerge w:val="restart"/>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1,823,454</w:t>
            </w:r>
          </w:p>
        </w:tc>
        <w:tc>
          <w:tcPr>
            <w:tcW w:w="0" w:type="dxa"/>
            <w:vAlign w:val="bottom"/>
          </w:tcPr>
          <w:p>
            <w:pPr>
              <w:spacing w:after="0"/>
              <w:rPr>
                <w:sz w:val="1"/>
                <w:szCs w:val="1"/>
                <w:color w:val="auto"/>
              </w:rPr>
            </w:pPr>
          </w:p>
        </w:tc>
      </w:tr>
      <w:tr>
        <w:trPr>
          <w:trHeight w:val="22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w:t>
            </w:r>
          </w:p>
        </w:tc>
        <w:tc>
          <w:tcPr>
            <w:tcW w:w="16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stock reserved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42,413,698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43,850,083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Warrants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warrants were outstanding as of March 31, 2026, all of which contain standard anti-dilution protections in the event of subsequent rights offerings, stock splits, stock dividends or other extraordinary dividends, or other similar changes in the Company’s common stock or capital structure, and none of which have any participating rights for any losses: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into which warrants are convertible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0"/>
                <w:szCs w:val="20"/>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43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22.99 December 2026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maintained the 2019 Equity Incentive Plan and the 2024 Inducement Award Plan for the issuance of stock options, stock appreciation rights, restricted stock awards, restricted stock units (“RSUs”), other stock awards and performance awards that may be settled in cash, stock, or other property to employees, directors and consultants. The terms of the 2024 Inducement Award Plan are substantially similar to the terms of the 2019 Equity Incentive Plan, with the exception that incentive stock options may not be issued under the 2024 Inducement Plan and equity awards under the 2024 Inducement Plan (including nonqualified stock options, restricted stock, restricted stock units, and other stock-based awards) may be issued only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and such grant is an inducement material to his or her entering into employment with the Company or such subsidiary. The Company also maintains the 2022 Employee Stock Purchase Plan (“ESPP”) for its employees.</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and RSU transactions during the three months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RSU Average</w:t>
            </w:r>
          </w:p>
        </w:tc>
      </w:tr>
      <w:tr>
        <w:trPr>
          <w:trHeight w:val="229"/>
        </w:trPr>
        <w:tc>
          <w:tcPr>
            <w:tcW w:w="4620" w:type="dxa"/>
            <w:vAlign w:val="bottom"/>
          </w:tcPr>
          <w:p>
            <w:pPr>
              <w:spacing w:after="0"/>
              <w:rPr>
                <w:sz w:val="19"/>
                <w:szCs w:val="19"/>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RSU 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46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For Grant</w:t>
            </w:r>
          </w:p>
        </w:tc>
        <w:tc>
          <w:tcPr>
            <w:tcW w:w="12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46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10,875,110</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25,407,299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5,733,306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(7,990,020)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5,280,640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2,709,380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743,521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(418,889)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2,491,495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(2,501,431)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6,120,106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27,767,619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6,691,605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March 31, 2026, there were 27,767,619 options outstanding with a weighted average exercise price of $1.62, a weighted average remaining term of 7.40 years, and an aggregate intrinsic value of $667,000. Of these options, 13,614,279 were vested, with a weighted average exercise price of $2.59, a weighted average remaining term of 6.04 years, and an aggregate intrinsic value of $161,000.</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 options were exercised during the three months ended March 31, 2026. The Company received $3,000 for the 3,625 options exercised during the three months ended March 31, 2025, which had an intrinsic value of $0. The aggregate intrinsic value represents the total pre-tax value (i.e., the difference between the Company’s stock price and the exercise price) of stock options outstanding as of March 31, 2026 and 2025, respectively, based on the Company’s common stock closing price of $0.61 on March 31, 2026 and $0.85 on March 31, 2025, which would have been received by the option holders had all their in-the-money options been exercised as of that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options awarded in the three months ended March 31, 2026 and 2025, was $0.59 and $0.46,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fair values were estimated using the following assumptions:</w:t>
      </w:r>
    </w:p>
    <w:p>
      <w:pPr>
        <w:spacing w:after="0" w:line="2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9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56"/>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4.1% - 4.4%</w:t>
            </w:r>
          </w:p>
        </w:tc>
      </w:tr>
      <w:tr>
        <w:trPr>
          <w:trHeight w:val="237"/>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6.0</w:t>
            </w:r>
          </w:p>
        </w:tc>
        <w:tc>
          <w:tcPr>
            <w:tcW w:w="17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126.5%</w:t>
            </w:r>
          </w:p>
        </w:tc>
      </w:tr>
      <w:tr>
        <w:trPr>
          <w:trHeight w:val="237"/>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tcPr>
          <w:p>
            <w:pPr>
              <w:jc w:val="right"/>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p>
        </w:tc>
        <w:tc>
          <w:tcPr>
            <w:tcW w:w="1600" w:type="dxa"/>
            <w:vAlign w:val="bottom"/>
          </w:tcPr>
          <w:p>
            <w:pPr>
              <w:jc w:val="right"/>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w:t>
            </w:r>
          </w:p>
        </w:tc>
      </w:tr>
      <w:tr>
        <w:trPr>
          <w:trHeight w:val="20"/>
        </w:trPr>
        <w:tc>
          <w:tcPr>
            <w:tcW w:w="7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all stock-based awards on the grant date and records the fair value of these awards, net of estimated forfeitures, to compensation expense over the service period. Total stock-based compensation recognized for options, RSUs and ESPP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3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0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F-24</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stock-based compensation cost related to outstanding unvested stock options and RSUs expected to vest was $12.1 million, which the Company expects to recognize over an estimated weighted average period of 3.0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(Loss) Per Share Attributable to Common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share and per share amounts):</w:t>
      </w:r>
    </w:p>
    <w:p>
      <w:pPr>
        <w:spacing w:after="0" w:line="221"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19685</wp:posOffset>
            </wp:positionV>
            <wp:extent cx="20574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1"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20574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 basic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dilutive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shares used to compute net income (loss) per share,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tabs>
          <w:tab w:leader="none" w:pos="1040" w:val="left"/>
          <w:tab w:leader="none" w:pos="1660" w:val="left"/>
          <w:tab w:leader="none" w:pos="2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5,179</w:t>
        <w:tab/>
        <w:t>$</w:t>
      </w:r>
      <w:r>
        <w:rPr>
          <w:sz w:val="20"/>
          <w:szCs w:val="20"/>
          <w:color w:val="auto"/>
        </w:rPr>
        <w:tab/>
      </w:r>
      <w:r>
        <w:rPr>
          <w:rFonts w:ascii="Times New Roman" w:cs="Times New Roman" w:eastAsia="Times New Roman" w:hAnsi="Times New Roman"/>
          <w:sz w:val="18"/>
          <w:szCs w:val="18"/>
          <w:color w:val="auto"/>
        </w:rPr>
        <w:t>(15,591)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0574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spacing w:after="0"/>
        <w:tabs>
          <w:tab w:leader="none" w:pos="2220" w:val="left"/>
        </w:tabs>
        <w:rPr>
          <w:sz w:val="20"/>
          <w:szCs w:val="20"/>
          <w:color w:val="auto"/>
        </w:rPr>
      </w:pPr>
      <w:r>
        <w:rPr>
          <w:rFonts w:ascii="Times New Roman" w:cs="Times New Roman" w:eastAsia="Times New Roman" w:hAnsi="Times New Roman"/>
          <w:sz w:val="18"/>
          <w:szCs w:val="18"/>
          <w:color w:val="auto"/>
        </w:rPr>
        <w:t>240,649,773</w:t>
      </w:r>
      <w:r>
        <w:rPr>
          <w:sz w:val="20"/>
          <w:szCs w:val="20"/>
          <w:color w:val="auto"/>
        </w:rPr>
        <w:tab/>
      </w:r>
      <w:r>
        <w:rPr>
          <w:rFonts w:ascii="Times New Roman" w:cs="Times New Roman" w:eastAsia="Times New Roman" w:hAnsi="Times New Roman"/>
          <w:sz w:val="18"/>
          <w:szCs w:val="18"/>
          <w:color w:val="auto"/>
        </w:rPr>
        <w:t>227,923,636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20574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46" w:lineRule="exact"/>
        <w:rPr>
          <w:sz w:val="20"/>
          <w:szCs w:val="20"/>
          <w:color w:val="auto"/>
        </w:rPr>
      </w:pPr>
    </w:p>
    <w:p>
      <w:pPr>
        <w:ind w:left="760"/>
        <w:spacing w:after="0"/>
        <w:tabs>
          <w:tab w:leader="none" w:pos="2940" w:val="left"/>
        </w:tabs>
        <w:rPr>
          <w:sz w:val="20"/>
          <w:szCs w:val="20"/>
          <w:color w:val="auto"/>
        </w:rPr>
      </w:pPr>
      <w:r>
        <w:rPr>
          <w:rFonts w:ascii="Times New Roman" w:cs="Times New Roman" w:eastAsia="Times New Roman" w:hAnsi="Times New Roman"/>
          <w:sz w:val="18"/>
          <w:szCs w:val="18"/>
          <w:color w:val="auto"/>
        </w:rPr>
        <w:t>1,534,751</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0"/>
        <w:spacing w:after="0"/>
        <w:tabs>
          <w:tab w:leader="none" w:pos="2220" w:val="left"/>
        </w:tabs>
        <w:rPr>
          <w:sz w:val="20"/>
          <w:szCs w:val="20"/>
          <w:color w:val="auto"/>
        </w:rPr>
      </w:pPr>
      <w:r>
        <w:rPr>
          <w:rFonts w:ascii="Times New Roman" w:cs="Times New Roman" w:eastAsia="Times New Roman" w:hAnsi="Times New Roman"/>
          <w:sz w:val="18"/>
          <w:szCs w:val="18"/>
          <w:color w:val="auto"/>
        </w:rPr>
        <w:t>242,184,524</w:t>
      </w:r>
      <w:r>
        <w:rPr>
          <w:sz w:val="20"/>
          <w:szCs w:val="20"/>
          <w:color w:val="auto"/>
        </w:rPr>
        <w:tab/>
      </w:r>
      <w:r>
        <w:rPr>
          <w:rFonts w:ascii="Times New Roman" w:cs="Times New Roman" w:eastAsia="Times New Roman" w:hAnsi="Times New Roman"/>
          <w:sz w:val="18"/>
          <w:szCs w:val="18"/>
          <w:color w:val="auto"/>
        </w:rPr>
        <w:t>227,923,636</w:t>
      </w:r>
    </w:p>
    <w:p>
      <w:pPr>
        <w:spacing w:after="0" w:line="9"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0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1,534,751 dilutive shares were included in the diluted weighted average share count. For the three months ended March 31, 2025, all potentially dilutive securities were excluded from the diluted EPS computation because their effect would have been antidilutive given the net loss in that period. The following table summarizes the potentially dilutive securities excluded from the computation: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23,924,411</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20,991,136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to purchase common stock</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1,496,485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10,914</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potentially dilutive securities excluded from denominator of the diluted</w:t>
            </w:r>
          </w:p>
        </w:tc>
        <w:tc>
          <w:tcPr>
            <w:tcW w:w="1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25,431,810</w:t>
            </w:r>
          </w:p>
        </w:tc>
        <w:tc>
          <w:tcPr>
            <w:tcW w:w="80" w:type="dxa"/>
            <w:vAlign w:val="bottom"/>
            <w:shd w:val="clear" w:color="auto" w:fill="CCEEFF"/>
          </w:tcPr>
          <w:p>
            <w:pPr>
              <w:spacing w:after="0"/>
              <w:rPr>
                <w:sz w:val="17"/>
                <w:szCs w:val="17"/>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24,554,689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computation</w:t>
            </w: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340"/>
              <w:spacing w:after="0"/>
              <w:rPr>
                <w:sz w:val="20"/>
                <w:szCs w:val="20"/>
                <w:color w:val="auto"/>
              </w:rPr>
            </w:pPr>
            <w:r>
              <w:rPr>
                <w:rFonts w:ascii="Times New Roman" w:cs="Times New Roman" w:eastAsia="Times New Roman" w:hAnsi="Times New Roman"/>
                <w:sz w:val="18"/>
                <w:szCs w:val="18"/>
                <w:color w:val="auto"/>
              </w:rPr>
              <w:t>F-25</w:t>
            </w: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Reporting</w:t>
      </w:r>
    </w:p>
    <w:p>
      <w:pPr>
        <w:spacing w:after="0" w:line="2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Company operates in one reportable segment, which is the discovery and development of oral recombinant protein vaccines, based on its proprietary oral vaccine platform. The accounting policies of the segment are the same as those described in the summary of significant accounting policies. The determination of a single business segment is consistent with the consolidated financial information regularly reviewed by the Chief Executive Officer as chief operating decision maker (the “CODM”) in assessing segment performance and deciding how to allocate resources on a consolidated basis.</w:t>
      </w:r>
    </w:p>
    <w:p>
      <w:pPr>
        <w:spacing w:after="0" w:line="1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CODM uses consolidated net income (loss) to evaluate the Company’s spend and monitor budget versus actual results. The monitoring of budgeted versus actual results is used in assessing performance of the segment and in establishing resource allocation across the organization. The measure of segment assets is reported on the consolidated balance sheets as total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 revenue, segment loss, significant segment expenses, and other segment items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20,876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program costs: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Norovirus program</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COVID-19 program</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programs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Preclinical research</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Process Development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segment items(A)</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5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w:t>
            </w: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income (loss)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Other segment items included in other income (expense), net.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 of Credit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April 2026, the Company entered into the April 2026 ELOC and a registration rights agreement with LPC, pursuant to which LPC committed to purchase up to the Commitment Amount, $25.0 million, of the Company’s common stock (“Purchase Shares”), subject to certain limitations and conditions. The Company has the right, but not the obligation, to sell shares of common stock to LPC, and LPC is obligated to make purchases as directed by the Company, subject to the conditions set forth in the agreement. Sales may occur from time to time, at the Company’s sole discretion, over a 24-month period commencing upon satisfaction of certain conditions, including effectiveness of a registration statement covering the resale of shares of common stock by LPC. The purchase price per share of common stock for regular purchases will be equal to 97% of the lower of (i) the lowest sale price on the applicable purchase date or (ii) the arithmetic average of the three lowest closing sale prices during the ten consecutive business days ending on the business day immediately preceding such purchase date. The Company may also direct accelerated purchases at prices based on market prices on the applicable purchase date. The April 2026 ELOC prohibits sales if such shares of common stock, when aggregated with all other shares of common stock then beneficially owned by LPC, would result in LPC owning more than 4.99% of the Company’s then outstanding common stock. The Company has the right to terminate the agreement at any time after the Company has satisfied all the conditions for sales to be made pursuant to the April 2026 ELOC, with one business day notice, at no cost or penalty. The Company issued 447,067 shares of common stock to LPC as consideration for its commitment to purchase shares of common stock under the April 2026 ELOC.</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shares will be sold pursuant to an effective registration statement. The Company intends to file a registration statement with the SEC covering the resale by LPC of the Purchase Shares may be issued to LPC under the April 2026 ELOC, as well as the 447,067 shares of common stock issued to LPC as consideration for its commitment to purchase shares of common stock under the April 2026 ELOC.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Lease Agreement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2026, the Company entered into an amendment (the “Utah Avenue Lease Amendment”) to its lease agreement (the “Utah Avenue Lease”) with a landlord (the “Utah Avenue Landlord”) relating to certain properties currently leased to the Company that are located on Utah Avenue in South San Francisco, California. Pursuant to the Utah Avenue Lease Amendment, the Company agreed to lease from the Utah Avenue Landlord two additional suites in an additional building on Utah Avenue with a total of approximately 3,531 rentable square feet of space (the “Additional Leased Space”), effective as of May 14, 2026 (the “Expansion Commencement Date”). The term of the lease of the Additional Leased Space is 36 months from the Expansion Commencement Date, unless earlier terminated pursuant to the terms of the Utah Avenue Lease Amendment and the Utah Avenue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Dr. James B. Breitmeyer, M.D., Ph.D. to Board of Directors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23,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following a recommendation by the Nominating and Governance Committee of the Board of Directors, the Company's Board appointed James B. Breitmeyer, M.D., Ph.D. to serve on the Board, effective </w:t>
      </w:r>
      <w:r>
        <w:rPr>
          <w:rFonts w:ascii="Times New Roman" w:cs="Times New Roman" w:eastAsia="Times New Roman" w:hAnsi="Times New Roman"/>
          <w:sz w:val="18"/>
          <w:szCs w:val="18"/>
          <w:i w:val="1"/>
          <w:iCs w:val="1"/>
          <w:color w:val="auto"/>
        </w:rPr>
        <w:t>April 23, 2026,</w:t>
      </w:r>
      <w:r>
        <w:rPr>
          <w:rFonts w:ascii="Times New Roman" w:cs="Times New Roman" w:eastAsia="Times New Roman" w:hAnsi="Times New Roman"/>
          <w:sz w:val="18"/>
          <w:szCs w:val="18"/>
          <w:color w:val="auto"/>
        </w:rPr>
        <w:t xml:space="preserve"> until Dr. James B. Breitmeyer, M.D., Ph.D.’s successor is elected and qualified, or sooner in the event of his death, resignation, or removal. The Board has determined that Mr. James B. Breitmeyer, M.D., Ph.D. meets the requirements for independence standards as adopted by the Board.</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Inc.: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Vaxart, Inc. and Subsidiaries (collectively, the “Company”) as of December 31, 2025 and 2024, the related consolidated statements of operations and comprehensive income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Accruals Related to Clinical Expenses - Refer to Note 2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Company recognizes costs it incurs for clinical trials as research and development expenses based on its evaluation of its third-party service providers’ progress toward completion of specific tasks. Payment timing may differ significantly from the period in which the costs are recognized as expense. Costs for services incurred that have not yet been paid are recognized as accrued expenses. Advance payments are recorded as prepaid expenses.</w:t>
      </w:r>
    </w:p>
    <w:p>
      <w:pPr>
        <w:spacing w:after="0" w:line="180"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In estimating the vendors’ progress toward completion of specific tasks, the Company uses data such as patient enrollment, clinical site activations or vendor information of actual costs incurred. This data is obtained through reports from and discussions with Company personnel and third-party service providers as to the progress or state of completion of trials, or the completion of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Given the number of ongoing clinical trial activities and the subjectivity involved in estimating clinical expenses, auditing the prepayments and accruals related to clinical expenses involved especially subjective judgment, thereby causing us to determine that the matter is a critical audit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audit procedures related to prepayments and accruals of clinical trials included the following, among others:</w:t>
      </w:r>
    </w:p>
    <w:p>
      <w:pPr>
        <w:spacing w:after="0" w:line="225" w:lineRule="exact"/>
        <w:rPr>
          <w:sz w:val="20"/>
          <w:szCs w:val="20"/>
          <w:color w:val="auto"/>
        </w:rPr>
      </w:pPr>
    </w:p>
    <w:p>
      <w:pPr>
        <w:ind w:left="340" w:right="40" w:hanging="332"/>
        <w:spacing w:after="0"/>
        <w:tabs>
          <w:tab w:leader="none" w:pos="340" w:val="left"/>
        </w:tabs>
        <w:numPr>
          <w:ilvl w:val="0"/>
          <w:numId w:val="8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obtained an understanding of the design and implementation of internal controls over the estimation of prepayments and accruals related to clinical trials.</w:t>
      </w:r>
    </w:p>
    <w:p>
      <w:pPr>
        <w:spacing w:after="0" w:line="257" w:lineRule="exact"/>
        <w:rPr>
          <w:rFonts w:ascii="Times New Roman" w:cs="Times New Roman" w:eastAsia="Times New Roman" w:hAnsi="Times New Roman"/>
          <w:sz w:val="34"/>
          <w:szCs w:val="34"/>
          <w:color w:val="auto"/>
          <w:vertAlign w:val="subscript"/>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a sample of research and collaboration agreements and contracts, as well as amendments thereto.</w:t>
      </w:r>
    </w:p>
    <w:p>
      <w:pPr>
        <w:spacing w:after="0" w:line="225" w:lineRule="exact"/>
        <w:rPr>
          <w:rFonts w:ascii="Times New Roman" w:cs="Times New Roman" w:eastAsia="Times New Roman" w:hAnsi="Times New Roman"/>
          <w:sz w:val="18"/>
          <w:szCs w:val="18"/>
          <w:color w:val="auto"/>
        </w:rPr>
      </w:pPr>
    </w:p>
    <w:p>
      <w:pPr>
        <w:ind w:left="340" w:right="40" w:hanging="332"/>
        <w:spacing w:after="0" w:line="184" w:lineRule="auto"/>
        <w:tabs>
          <w:tab w:leader="none" w:pos="340" w:val="left"/>
        </w:tabs>
        <w:numPr>
          <w:ilvl w:val="0"/>
          <w:numId w:val="8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evaluated publicly available information (such as press releases and investor presentations) and board of directors’ materials regarding the status of clinical trial activities.</w:t>
      </w:r>
    </w:p>
    <w:p>
      <w:pPr>
        <w:spacing w:after="0" w:line="198" w:lineRule="exact"/>
        <w:rPr>
          <w:rFonts w:ascii="Times New Roman" w:cs="Times New Roman" w:eastAsia="Times New Roman" w:hAnsi="Times New Roman"/>
          <w:sz w:val="34"/>
          <w:szCs w:val="34"/>
          <w:color w:val="auto"/>
          <w:vertAlign w:val="subscript"/>
        </w:rPr>
      </w:pPr>
    </w:p>
    <w:p>
      <w:pPr>
        <w:ind w:left="340" w:right="260" w:hanging="332"/>
        <w:spacing w:after="0" w:line="184" w:lineRule="auto"/>
        <w:tabs>
          <w:tab w:leader="none" w:pos="340" w:val="left"/>
        </w:tabs>
        <w:numPr>
          <w:ilvl w:val="0"/>
          <w:numId w:val="8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For a selection of agreements and contracts, we compared the amount of accrual or prepayment at the end of the prior period to current year activity and evaluated the accuracy of the Company’s estimation methodology.</w:t>
      </w:r>
    </w:p>
    <w:p>
      <w:pPr>
        <w:spacing w:after="0" w:line="198" w:lineRule="exact"/>
        <w:rPr>
          <w:rFonts w:ascii="Times New Roman" w:cs="Times New Roman" w:eastAsia="Times New Roman" w:hAnsi="Times New Roman"/>
          <w:sz w:val="34"/>
          <w:szCs w:val="34"/>
          <w:color w:val="auto"/>
          <w:vertAlign w:val="subscript"/>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 written confirmation of the status of clinical trials from the Company’s third-party service providers.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search for unrecorded clinical trial accruals by testing subsequent cash disbursements.</w:t>
      </w:r>
    </w:p>
    <w:p>
      <w:pPr>
        <w:spacing w:after="0" w:line="225" w:lineRule="exact"/>
        <w:rPr>
          <w:rFonts w:ascii="Times New Roman" w:cs="Times New Roman" w:eastAsia="Times New Roman" w:hAnsi="Times New Roman"/>
          <w:sz w:val="18"/>
          <w:szCs w:val="18"/>
          <w:color w:val="auto"/>
        </w:rPr>
      </w:pPr>
    </w:p>
    <w:p>
      <w:pPr>
        <w:ind w:left="340" w:right="180" w:hanging="332"/>
        <w:spacing w:after="0" w:line="184" w:lineRule="auto"/>
        <w:tabs>
          <w:tab w:leader="none" w:pos="340" w:val="left"/>
        </w:tabs>
        <w:numPr>
          <w:ilvl w:val="0"/>
          <w:numId w:val="8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made selections of specific amounts recognized as research and development expense as well as those recognized as prepaid or accrued expenses to evaluate management’s estimate of the vendor’s progress and performed the following procedures:</w:t>
      </w:r>
    </w:p>
    <w:p>
      <w:pPr>
        <w:spacing w:after="0" w:line="198" w:lineRule="exact"/>
        <w:rPr>
          <w:rFonts w:ascii="Times New Roman" w:cs="Times New Roman" w:eastAsia="Times New Roman" w:hAnsi="Times New Roman"/>
          <w:sz w:val="34"/>
          <w:szCs w:val="34"/>
          <w:color w:val="auto"/>
          <w:vertAlign w:val="subscript"/>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corroborating inquiries with Company clinical operations personnel.</w:t>
      </w:r>
    </w:p>
    <w:p>
      <w:pPr>
        <w:spacing w:after="0" w:line="225" w:lineRule="exact"/>
        <w:rPr>
          <w:rFonts w:ascii="Times New Roman" w:cs="Times New Roman" w:eastAsia="Times New Roman" w:hAnsi="Times New Roman"/>
          <w:sz w:val="18"/>
          <w:szCs w:val="18"/>
          <w:color w:val="auto"/>
        </w:rPr>
      </w:pPr>
    </w:p>
    <w:p>
      <w:pPr>
        <w:ind w:left="340" w:right="20" w:hanging="332"/>
        <w:spacing w:after="0" w:line="184" w:lineRule="auto"/>
        <w:tabs>
          <w:tab w:leader="none" w:pos="340" w:val="left"/>
        </w:tabs>
        <w:numPr>
          <w:ilvl w:val="0"/>
          <w:numId w:val="8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Read the related statement of work, purchase order, or other supporting documentation (such as communications between the Company and third-party service providers).</w:t>
      </w:r>
    </w:p>
    <w:p>
      <w:pPr>
        <w:spacing w:after="0" w:line="198" w:lineRule="exact"/>
        <w:rPr>
          <w:rFonts w:ascii="Times New Roman" w:cs="Times New Roman" w:eastAsia="Times New Roman" w:hAnsi="Times New Roman"/>
          <w:sz w:val="34"/>
          <w:szCs w:val="34"/>
          <w:color w:val="auto"/>
          <w:vertAlign w:val="subscript"/>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judgments by comparing such judgments to the evidence obtained.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the listing of all contracts related to research and development expenses to evaluate the completeness of prepayments and accruals.</w:t>
      </w:r>
    </w:p>
    <w:p>
      <w:pPr>
        <w:spacing w:after="0" w:line="225" w:lineRule="exact"/>
        <w:rPr>
          <w:rFonts w:ascii="Times New Roman" w:cs="Times New Roman" w:eastAsia="Times New Roman" w:hAnsi="Times New Roman"/>
          <w:sz w:val="18"/>
          <w:szCs w:val="18"/>
          <w:color w:val="auto"/>
        </w:rPr>
      </w:pPr>
    </w:p>
    <w:p>
      <w:pPr>
        <w:ind w:left="340" w:right="480" w:hanging="332"/>
        <w:spacing w:after="0" w:line="184" w:lineRule="auto"/>
        <w:tabs>
          <w:tab w:leader="none" w:pos="340" w:val="left"/>
        </w:tabs>
        <w:numPr>
          <w:ilvl w:val="0"/>
          <w:numId w:val="8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Tested the mathematical accuracy of management’s calculation of prepayments and accruals related to clinical trials in the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Dynavax License and Collaboration Agreement - Refer to Note 5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2025 License and Collaboration Agreement with Dynavax contains two performance obligations, which are accounted for separately as they are distinct. The transaction price at inception is then allocated to the distinct performance obligations based on the relative standalone selling price, and revenue is recognized when the distinct performance obligation is satisfied. Revenue allocated to the license performance obligation is recognized at a point in time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 For the year ended December 31, 2025, the Company recognized revenue of $10.8 million from the 2025 License and Collaboration Agreement. As of December 31, 2025, the amount of deferred collaboration revenue was $15.0 million, of which $13.0 million was classified as current and $2.0 million as non-current. The remaining deferred collaboration revenue will be recognized as revenue once the earnings process is complete.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Auditing the Company’s revenue from the 2025 License and Collaboration Agreement was especially complex and required significant judgments, specifically related to the identification of performance obligations, the determination of standalone selling price the performance obligations, the evaluation of estimates of costs to complete the development program under the input method for revenue recognized over time, and the timing of revenue recognition.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audit procedures related to revenue from the 2025 License and Collaboration Agreement included the following, among others:</w:t>
      </w:r>
    </w:p>
    <w:p>
      <w:pPr>
        <w:spacing w:after="0" w:line="225" w:lineRule="exact"/>
        <w:rPr>
          <w:sz w:val="20"/>
          <w:szCs w:val="20"/>
          <w:color w:val="auto"/>
        </w:rPr>
      </w:pPr>
    </w:p>
    <w:p>
      <w:pPr>
        <w:ind w:left="340" w:right="580" w:hanging="332"/>
        <w:spacing w:after="0" w:line="184" w:lineRule="auto"/>
        <w:tabs>
          <w:tab w:leader="none" w:pos="340" w:val="left"/>
        </w:tabs>
        <w:numPr>
          <w:ilvl w:val="0"/>
          <w:numId w:val="8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obtained an understanding of the design and implementation of internal controls over revenue from the Dynavax License and Collaboration Agreement.</w:t>
      </w:r>
    </w:p>
    <w:p>
      <w:pPr>
        <w:spacing w:after="0" w:line="198" w:lineRule="exact"/>
        <w:rPr>
          <w:rFonts w:ascii="Times New Roman" w:cs="Times New Roman" w:eastAsia="Times New Roman" w:hAnsi="Times New Roman"/>
          <w:sz w:val="34"/>
          <w:szCs w:val="34"/>
          <w:color w:val="auto"/>
          <w:vertAlign w:val="subscript"/>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management’s analysis for accuracy and completeness by agreeing data to the underlying agreement.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Company’s accounting conclusions, specifically related to the identification and determination of distinct</w:t>
      </w:r>
    </w:p>
    <w:p>
      <w:pPr>
        <w:spacing w:after="0" w:line="27" w:lineRule="exact"/>
        <w:rPr>
          <w:rFonts w:ascii="Times New Roman" w:cs="Times New Roman" w:eastAsia="Times New Roman" w:hAnsi="Times New Roman"/>
          <w:sz w:val="18"/>
          <w:szCs w:val="18"/>
          <w:color w:val="auto"/>
        </w:rPr>
      </w:pPr>
    </w:p>
    <w:p>
      <w:pPr>
        <w:ind w:left="340" w:right="80" w:hanging="332"/>
        <w:spacing w:after="0" w:line="260"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determination of standalone selling price for each performance obligation, allocation of the transaction price to the identified performance obligations, and the timing of revenue recognition.</w:t>
      </w:r>
    </w:p>
    <w:p>
      <w:pPr>
        <w:spacing w:after="0" w:line="181" w:lineRule="exact"/>
        <w:rPr>
          <w:rFonts w:ascii="Times New Roman" w:cs="Times New Roman" w:eastAsia="Times New Roman" w:hAnsi="Times New Roman"/>
          <w:sz w:val="18"/>
          <w:szCs w:val="18"/>
          <w:color w:val="auto"/>
        </w:rPr>
      </w:pPr>
    </w:p>
    <w:p>
      <w:pPr>
        <w:ind w:left="340" w:right="400" w:hanging="332"/>
        <w:spacing w:after="0" w:line="184" w:lineRule="auto"/>
        <w:tabs>
          <w:tab w:leader="none" w:pos="340" w:val="left"/>
        </w:tabs>
        <w:numPr>
          <w:ilvl w:val="0"/>
          <w:numId w:val="8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evaluated the assumptions used to estimate costs to complete the development program, which included performing sensitivity analysis on the standalone selling price.</w:t>
      </w:r>
    </w:p>
    <w:p>
      <w:pPr>
        <w:spacing w:after="0" w:line="198" w:lineRule="exact"/>
        <w:rPr>
          <w:rFonts w:ascii="Times New Roman" w:cs="Times New Roman" w:eastAsia="Times New Roman" w:hAnsi="Times New Roman"/>
          <w:sz w:val="34"/>
          <w:szCs w:val="34"/>
          <w:color w:val="auto"/>
          <w:vertAlign w:val="subscript"/>
        </w:rPr>
      </w:pPr>
    </w:p>
    <w:p>
      <w:pPr>
        <w:ind w:left="340" w:hanging="332"/>
        <w:spacing w:after="0"/>
        <w:tabs>
          <w:tab w:leader="none" w:pos="3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application of the input method for the recognition of revenue, which included performing analytical procedures on actual costs incurred.</w:t>
      </w:r>
    </w:p>
    <w:p>
      <w:pPr>
        <w:spacing w:after="0" w:line="236" w:lineRule="exact"/>
        <w:rPr>
          <w:rFonts w:ascii="Times New Roman" w:cs="Times New Roman" w:eastAsia="Times New Roman" w:hAnsi="Times New Roman"/>
          <w:sz w:val="17"/>
          <w:szCs w:val="17"/>
          <w:color w:val="auto"/>
        </w:rPr>
      </w:pPr>
    </w:p>
    <w:p>
      <w:pPr>
        <w:ind w:left="340" w:right="400" w:hanging="332"/>
        <w:spacing w:after="0" w:line="184" w:lineRule="auto"/>
        <w:tabs>
          <w:tab w:leader="none" w:pos="340" w:val="left"/>
        </w:tabs>
        <w:numPr>
          <w:ilvl w:val="0"/>
          <w:numId w:val="8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inspected, on a test basis, supporting documentation for costs incurred which are used to measure progress toward completion and to calculate revenue recognition.</w:t>
      </w:r>
    </w:p>
    <w:p>
      <w:pPr>
        <w:spacing w:after="0" w:line="198" w:lineRule="exact"/>
        <w:rPr>
          <w:rFonts w:ascii="Times New Roman" w:cs="Times New Roman" w:eastAsia="Times New Roman" w:hAnsi="Times New Roman"/>
          <w:sz w:val="34"/>
          <w:szCs w:val="34"/>
          <w:color w:val="auto"/>
          <w:vertAlign w:val="subscript"/>
        </w:rPr>
      </w:pPr>
    </w:p>
    <w:p>
      <w:pPr>
        <w:ind w:left="340" w:right="880" w:hanging="332"/>
        <w:spacing w:after="0" w:line="184" w:lineRule="auto"/>
        <w:tabs>
          <w:tab w:leader="none" w:pos="340" w:val="left"/>
        </w:tabs>
        <w:numPr>
          <w:ilvl w:val="0"/>
          <w:numId w:val="8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recalculated the corresponding revenue recognized based on the cost-based input method to measure progress toward completion of the performance obligation.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27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384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203"/>
        </w:trPr>
        <w:tc>
          <w:tcPr>
            <w:tcW w:w="80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53,814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25,229</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26,494</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5,761</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Unbilled receivable from government contracts</w:t>
            </w:r>
          </w:p>
        </w:tc>
        <w:tc>
          <w:tcPr>
            <w:tcW w:w="1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6,208</w:t>
            </w:r>
          </w:p>
        </w:tc>
      </w:tr>
      <w:tr>
        <w:trPr>
          <w:trHeight w:val="203"/>
        </w:trPr>
        <w:tc>
          <w:tcPr>
            <w:tcW w:w="80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4,568</w:t>
            </w:r>
          </w:p>
        </w:tc>
      </w:tr>
      <w:tr>
        <w:trPr>
          <w:trHeight w:val="196"/>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136,123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68,260</w:t>
            </w:r>
          </w:p>
        </w:tc>
      </w:tr>
      <w:tr>
        <w:trPr>
          <w:trHeight w:val="203"/>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8,705</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Prepaid clinical services, long-term</w:t>
            </w:r>
          </w:p>
        </w:tc>
        <w:tc>
          <w:tcPr>
            <w:tcW w:w="1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60,116</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20,404</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3,557</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4,508</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839</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186,079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166,389</w:t>
            </w:r>
          </w:p>
        </w:tc>
      </w:tr>
      <w:tr>
        <w:trPr>
          <w:trHeight w:val="20"/>
        </w:trPr>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62"/>
        </w:trPr>
        <w:tc>
          <w:tcPr>
            <w:tcW w:w="8000" w:type="dxa"/>
            <w:vAlign w:val="bottom"/>
            <w:gridSpan w:val="5"/>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270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21,496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6,963</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government revenue</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65,400</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Deferred collaboration revenue</w:t>
            </w:r>
          </w:p>
        </w:tc>
        <w:tc>
          <w:tcPr>
            <w:tcW w:w="1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accrued current liabilities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11,378</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3,077</w:t>
            </w:r>
          </w:p>
        </w:tc>
      </w:tr>
      <w:tr>
        <w:trPr>
          <w:trHeight w:val="203"/>
        </w:trPr>
        <w:tc>
          <w:tcPr>
            <w:tcW w:w="80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liability related to sale of future royalties</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4,060</w:t>
            </w:r>
          </w:p>
        </w:tc>
      </w:tr>
      <w:tr>
        <w:trPr>
          <w:trHeight w:val="196"/>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86,754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90,878</w:t>
            </w:r>
          </w:p>
        </w:tc>
      </w:tr>
      <w:tr>
        <w:trPr>
          <w:trHeight w:val="203"/>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14,449</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Deferred collaboration revenue, net of current portion</w:t>
            </w:r>
          </w:p>
        </w:tc>
        <w:tc>
          <w:tcPr>
            <w:tcW w:w="1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Liability related to sale of future royalties, net of current portion</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1,698</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439</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98,281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107,464</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9"/>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$0.0001 par value; 5,000,000 shares authorized; none issued and outstanding as of December 31,</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2025 or 2024</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 December 31, 2025 and 2024; 240,742,681</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shares issued and 240,494,594 shares outstanding as of December 31, 2025 and 228,203,822 shares issued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227,774,275 shares outstanding as of December 31, 2024</w:t>
            </w:r>
          </w:p>
        </w:tc>
        <w:tc>
          <w:tcPr>
            <w:tcW w:w="1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548,131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535,770</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Treasury Stock at cost, 248,087 shares as of December 31, 2025 and 429,547 shares as of December 31, 2024</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(476,522)</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87,798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58,925</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186,079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166,389</w:t>
            </w:r>
          </w:p>
        </w:tc>
      </w:tr>
      <w:tr>
        <w:trPr>
          <w:trHeight w:val="20"/>
        </w:trPr>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28,700</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20,780</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219,184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94,993</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(66,293)</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(66,688)</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(66,948)</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230,269,605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202,137,531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230,346,201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202,137,531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available-for-sale investments, net of tax</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(66,943)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860" w:type="dxa"/>
            <w:vAlign w:val="bottom"/>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860" w:type="dxa"/>
            <w:vAlign w:val="bottom"/>
            <w:gridSpan w:val="4"/>
            <w:vMerge w:val="restart"/>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7"/>
        </w:trPr>
        <w:tc>
          <w:tcPr>
            <w:tcW w:w="338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860" w:type="dxa"/>
            <w:vAlign w:val="bottom"/>
            <w:gridSpan w:val="2"/>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Gain (Loss)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Balances as of January 1, 2024</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153,959,853</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(507,020)</w:t>
            </w:r>
          </w:p>
        </w:tc>
        <w:tc>
          <w:tcPr>
            <w:tcW w:w="2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(366)</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467,731</w:t>
            </w:r>
          </w:p>
        </w:tc>
        <w:tc>
          <w:tcPr>
            <w:tcW w:w="24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(409,574)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57,805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September 2021 ATM, net of</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 of $248</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7,719,641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8,801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8,802</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the 2024 Securities Purchase</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 net of offering costs of $55</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15,384,615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9,943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9,945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the June 2024 Offering, net of</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 of $2,455</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50,000,000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37,540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37,545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38,030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502,423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treasury stock under ESPP</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280,516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Release of common stock for vested restricted stock units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599,260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 to satisfy tax withholding</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(203,043)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11,501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11,501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available-for-sale investments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(66,948)</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(66,948)</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Balances as of December 31, 2024</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228,203,822</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(429,547)</w:t>
            </w:r>
          </w:p>
        </w:tc>
        <w:tc>
          <w:tcPr>
            <w:tcW w:w="2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535,770</w:t>
            </w:r>
          </w:p>
        </w:tc>
        <w:tc>
          <w:tcPr>
            <w:tcW w:w="24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(476,522)</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58,925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March 2025 ATM, net of</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 of $174</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382,700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3,625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the 2025 Securities Purchase</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 net of offering costs of $10</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11,111,111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4,201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treasury stock under ESPP</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539,448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Release of common stock for vested restricted stock units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1,041,423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 to satisfy tax withholding</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(357,988)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8,314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8,314</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investments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16,327</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16,327</w:t>
            </w: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80" w:type="dxa"/>
            <w:vAlign w:val="bottom"/>
            <w:tcBorders>
              <w:bottom w:val="single" w:sz="8" w:color="CCEEFF"/>
            </w:tcBorders>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Balances as of December 31, 2025</w:t>
            </w:r>
          </w:p>
        </w:tc>
        <w:tc>
          <w:tcPr>
            <w:tcW w:w="88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240,742,681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rPr>
              <w:t>(248,087)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(159)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548,131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(460,195)</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87,798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Pr>
          <w:p>
            <w:pPr>
              <w:spacing w:after="0"/>
              <w:rPr>
                <w:sz w:val="17"/>
                <w:szCs w:val="17"/>
                <w:color w:val="auto"/>
              </w:rPr>
            </w:pPr>
          </w:p>
        </w:tc>
      </w:tr>
      <w:tr>
        <w:trPr>
          <w:trHeight w:val="196"/>
        </w:trPr>
        <w:tc>
          <w:tcPr>
            <w:tcW w:w="80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16,327</w:t>
            </w:r>
          </w:p>
        </w:tc>
        <w:tc>
          <w:tcPr>
            <w:tcW w:w="102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(66,948)</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discount on short-term investments, net</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modification of lease liability</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11,501</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interest expense related to sale of future royalties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2,969</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revenue related to sale of future royalties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Unbilled receivable from government contracts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clinical services, long-term</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34,898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14,639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5,273</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government revenue</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65,400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collaboration revenue</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14,976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33,735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3,332</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(44,764)</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(64,270)</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43,500</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16,632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(21,324)</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through the 2025 Securities Purchase Agreement</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in the June 2024 Offering</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37,545</w:t>
            </w:r>
          </w:p>
        </w:tc>
      </w:tr>
      <w:tr>
        <w:trPr>
          <w:trHeight w:val="202"/>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through at-the-market facilities</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8,802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through the 2024 Securities Purchase Agreement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acquired to settle employee tax withholding liabilities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under the employee stock purchase plan</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treasury stock under the employee stock purchase plan</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56,562</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28,585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w:t>
            </w:r>
          </w:p>
        </w:tc>
      </w:tr>
      <w:tr>
        <w:trPr>
          <w:trHeight w:val="203"/>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25,229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34,755</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9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25,229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VAXART,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Adjustment to operating lease right-of-use asset from lease modification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and equipment included in accounts payable and other accrued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in March 2004, under the name West Coast Biologicals, Inc. The Company changed its name to Vaxart, Inc. (“Private Vaxart”) in July 2007, and reincorporated in the state of Delaware. In February 2018, 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November 2025, the Company entered into a Securities Purchase Agreement (the “Purchase Agreement”) with Dynavax Technologies Corporation (“Dynavax”), pursuant to which 11,111,111 shares of the Company’s common stock were sold to Dynavax at a purchase price of $0.45 per share. The gross proceeds from the Purchase Agreement were $5.0 million. After deducting offering expenses, the net proceeds were approximately $5.0 million.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$50.0 million. The shares will be sold pursuant to an effective registration statement on Form S-3 (Registration Statement No. 333-270671) (the “2023 Shelf Registration Statement”), as previously filed with the U.S. Securities and Exchange Commission (the “SEC”). The Company filed a prospectus supplement, dated March 21, 2025, with the SEC in connection with the offer and sale of the shares under the March 2025 ATM. The Company will pay the Managers a placement fee of up to 3% of the gross sale price from each sale of shares under the March 2025 ATM. During the year ended December 31, 2025, 382,700 shares were issued and sold under the March 2025 ATM for gross proceeds of $0.2 million, which, after deducting sales commissions and expenses incurred to date, resulted in net proceeds of $0.1 million.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Oppenheimer &amp; Co. Inc., relating to the issuance and sale by the Company in an underwritten registered direct offering 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entered into a securities purchase agreement (the “2024 Securities Purchase Agreement”) with RA Capital Healthcare Fund, L.P. pursuant to which 15,384,615 shares of the Company’s common stock were sold to RA Capital Healthcare Fund, L.P. at an offering price of $0.65 per share pursuant to the Company’s shelf registration statement on Form S-3 (File No. 333-270671) (the “2023 Shelf Registration”). The gross proceeds from the 2024 Securities Purchase Agreement were $10.0 million and, after deducting offering expenses, the net proceeds were $9.9 million.</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Controlled Equity Offering Sales Agreement (the “September 2021 ATM”), pursuant to which it may offer and sell, from time to time through Cantor Fitzgerald &amp; Co. and B. Riley Securities, Inc. (together, the “sales agents”), shares of its common stock having an aggregate offering price of up to $100 million. The Company filed a prospectus supplement with the SEC on September 16, 2021, a subsequent prospectus supplement with the SEC on May 9, 2023 and paid sales commissions of up to 3.0% of gross proceeds from the sale of shares. Effective October 18, 2024, the September 2021 ATM was terminated. Following such termination, the Company may not offer or sell any additional shares of its common stock under the September 2021 ATM or the related prospectus and prospectus supplement. From January 1, 2024 through October 18,</w:t>
      </w:r>
    </w:p>
    <w:p>
      <w:pPr>
        <w:spacing w:after="0" w:line="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2024, 7,719,641 shares were issued and sold under the September 2021 ATM for gross proceeds of $9.1 million, which, after deducting sales commissions and expenses incurred to date, resulted in net proceeds of $8.8 million.</w:t>
      </w:r>
    </w:p>
    <w:p>
      <w:pPr>
        <w:spacing w:after="0" w:line="1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are based in South San Francisco, California, and it operates in one reportable segment, which is the discovery and development of oral recombinant protein vaccines, based on its proprietary oral vaccine platform.</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Liquidity and Going Concern </w:t>
      </w:r>
      <w:r>
        <w:rPr>
          <w:rFonts w:ascii="Times New Roman" w:cs="Times New Roman" w:eastAsia="Times New Roman" w:hAnsi="Times New Roman"/>
          <w:sz w:val="18"/>
          <w:szCs w:val="18"/>
          <w:color w:val="auto"/>
        </w:rPr>
        <w:t>– The accompanying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(“U.S. GAAP”) and pursuant to the accounting and disclosure rules and regulations of the SEC assuming the Company will continue as a going concern.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a clinical-stage biotechnology company with no product sales. Its primary source of financing is from the sale and issuance of common stock in public offerings as well as funding from the Biomedical Advanced Research and Development Authority (“HHS BARDA”), a division of the Administration for Strategic Preparedness and Response (“ASPR”) within the United States (“U.S.”) Department of Health and Human Services. In the past, we have also obtained funds from the issuance of common stock warrants, secured debt and preferred stock and from collaboration agreements. As of December 31, 2025, the Company had cash, cash equivalents and short-term investments of $63.8 million. The Company’s cash, cash equivalents and investments are sufficient to fund the Company’s planned operations for at least the period of 12 months from the date the consolidated financial statements are issued.</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will be dependent upon raising additional capital through placement of its common stock, notes or other securities, borrowings, or entering into a partnership with a strategic party in order to implement its business plan. There can be no assurance that the Company will be successful raising additional capital in order to continue as a going concern.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on management’s current plan, including updated assumptions around the continued execution under the 2024 ATI-RRPV Contract, and considering events occurring after the balance-sheet date, the Company reassessed its liquidity and going-concern evaluation. On November 4, 2025, the Company entered into (i) an Exclusive License and Collaboration Agreement (the “2025 License and Collaboration Agreement”) and (ii) a Securities Purchase Agreement (“2025 Securities Purchase Agreement”) with Dynavax Technologies Corporation (“Dynavax”). Per the 2025 License and Collaboration Agreement, the Company granted Dynavax an exclusive, worldwide license to develop and commercialize its investigational oral COVID-19 vaccine candidate. Dynavax agreed to pay the Company an up-front license fee of $25.0 million and, pursuant to the 2025 Securities Purchase Agreement, to purchase $5.0 million of the Company’s common stock at $0.45 per share. The Company received a total of approximately $30.0 million from these transactions. Together with the Company’s updated operating plan and ongoing cost-management initiatives, these proceeds extend the Company’s cash runway into the second quarter of 2027. Accordingly, management concluded that the conditions and events that previously raised substantial doubt about the Company’s ability to continue as a going concern have been alleviated. The accompanying consolidated financial statements have been prepared assuming that the Company will continue as a going concern, which contemplates the realization of assets and the settlement of liabilities and commitments in the normal course of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do not include any adjustments that might be necessary if the Company is unable to continue as a going concern.</w:t>
      </w:r>
    </w:p>
    <w:p>
      <w:pPr>
        <w:spacing w:after="0" w:line="22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The consolidated financial statements include the financial statements of Vaxart, Inc. and its subsidiaries. All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and balances between Vaxart, Inc. and its subsidiaries have been eliminated in consolidation.</w:t>
      </w:r>
    </w:p>
    <w:p>
      <w:pPr>
        <w:spacing w:after="0" w:line="15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U.S. GAAP requires the Company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assumptions that affect the reported amounts of assets, liabilities (including accrued clinical and manufacturing accruals described within this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revenues and expenses and disclosure of contingent assets and liabilities in the consolidated financial statements and accompanying notes. Actual results and outcomes could differ from these estimates and assumptions.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Currencies </w:t>
      </w:r>
      <w:r>
        <w:rPr>
          <w:rFonts w:ascii="Times New Roman" w:cs="Times New Roman" w:eastAsia="Times New Roman" w:hAnsi="Times New Roman"/>
          <w:sz w:val="18"/>
          <w:szCs w:val="18"/>
          <w:color w:val="auto"/>
        </w:rPr>
        <w:t>– Foreign exchange gains and losses for assets and liabilities of the Company’s non-U.S. subsidiaries for which the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is the U.S. dollar are recorded in foreign exchange gain or loss, net within other income and (expenses) in the Company’s consolidated statements of operations and comprehensive income (loss). The Company has no subsidiaries for which the local currency is the functional currency.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debt investments with an original maturity of three months or less when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cash equivalents. Cash equivalents, which may consist of amounts invested in money market funds, corporate bonds and commercial paper, are stated at fair value.</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Excess cash balances may be invested in marketable debt securities. All marketable debt securities that are readily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known amounts of cash with stated maturities greater than three months when purchased are classified as investments.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determines the appropriate classification of its investments in marketable debt securities at the time of purchase and reevaluates such designation at each balance sheet date. Marketable debt securities are classified and accounted for as available-for-sale. The Company does not generally intend to sell the investments and it is more likely than not that the investments will not be required to be sold before recovery of the amortized cost bases, which may be at maturity.</w:t>
      </w:r>
    </w:p>
    <w:p>
      <w:pPr>
        <w:spacing w:after="0" w:line="180"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Marketable debt securities are carried at fair value and unrealized gains and losses, net of taxes, are reported as a component of stockholders’ equity. Any realized gains or losses on the sale of marketable debt securities are determined on a specific identification method, and such gains and losses are recorded as a component of other income (expense). Available-for-sale investments are classified as either current or non-current assets based on each instrument’s underlying effective maturity date and whether the Company has the intent and ability to hold the investment for a period of greater than 12 months.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Marketable debt securities with remaining maturities of 12 months or less are classified as current and are reported as short-term investments in the consolidated balance sheets. Marketable debt securities with remaining maturities of more than 12 months for which the Company has the intent and ability to hold the investment for more than 12 months are classified as non-current and are included in long-term investments in the consolidated balance sheets.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excludes the applicable accrued interest from both the fair value and amortized cost basis of marketable debt securities for purposes of identifying and measuring an impairment. Accrued interest receivable on marketable debt securities is recorded within prepaid expenses and other current assets on the balance sheets. The Company’s accounting policy is to not measure an allowance for credit loss for accrued interest receivable and to write-off any uncollectible accrued interest receivable as a reversal of interest income in a timely manner, which is considered to be in the period in which it is determined the accrued interest will not be collected.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each reporting date, the Company evaluates marketable debt securities with unrealized losses to determine whether such losses, if any, are due to credit-related factors. The Company records an allowance for credit losses when unrealized losses are due to credit-related factors. The Company evaluates, among other factors, whether the Company has the intention to sell any of its investments and whether it is more likely than not that the Company will be required to sell any of them before recovery of the amortized cost basis. Neither of these criteria were met in any period presented. In addition, the Company invests in marketable debt securities with high credit ratings that are classified in Level 1 and 2 of the fair value hierarchy and it has received and expects to continue to receive interest and principal payments as the investments become due. Based on this evaluation, as of December 31, 2025 and 2024, the Company determined that unrealized losses of its marketable debt securities were primarily attributable to changes in interest rates and other non-credit related factors. As such, no allowance for credit losses were recorded for the years ended December 31, 2025 and 2024.</w:t>
      </w:r>
    </w:p>
    <w:p>
      <w:pPr>
        <w:spacing w:after="0" w:line="18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significant concentrations of credit risk consist principally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cash equivalents, available-for-sale investments and accounts receivable. The Company places its cash, cash equivalents and available-for-sale investments at financial institutions that the Company believes are of high credit quality. The Company is exposed to credit risk in the event of default by the financial institutions holding the cash and cash equivalents to the extent such amounts are in excess of the federally insured limits. Losses incurred or a lack of access to such funds could have a significant adverse impact on the Company’s financial condition, results of operations, and cash flows.</w:t>
      </w:r>
    </w:p>
    <w:p>
      <w:pPr>
        <w:spacing w:after="0" w:line="18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primary focus of the Company’s investment strategy is to preserve capital and meet liquidity requirements. The Company’s investment policy addresses the level of credit exposure by limiting the concentration in any one corporate issuer or sector and establishing a minimum allowable credit rating.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Unbilled Receivable from Government Contracts </w:t>
      </w:r>
      <w:r>
        <w:rPr>
          <w:rFonts w:ascii="Times New Roman" w:cs="Times New Roman" w:eastAsia="Times New Roman" w:hAnsi="Times New Roman"/>
          <w:sz w:val="18"/>
          <w:szCs w:val="18"/>
          <w:color w:val="auto"/>
        </w:rPr>
        <w:t>– Accounts receivable consists of government contract receivables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HHS BARDA for allowable cost-plus-fixed-fees and firm fixed-price, and royalty revenue receivable for sales, net of estimated returns, of Inavir and are reported at amounts expected to be collected in future periods. Unbilled receivable from government contracts consists of government revenue from HHS BARDA, which was earned and not yet billed. An allowance for expected credit losses over the life of the receivables is reserved for based on a combination of historical experience, aging analysis, current economic trends and information on specific accounts, with related amounts recorded as a reserve against revenue recognized. The reserve is re-evaluated on a regular basis and adjusted as needed. Once a receivable is deemed to be uncollectible, such balance is charged against the reserve. The Company has provided no allowance for credit losses as of December 31, 2025 and 2024.</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and unbilled receivable from government contracts are subject to concentration risk whenever a customer has a balance that meets or exceeds 10% of the Company's total accounts receivable balance or has a balance that meets or exceeds 10% of the Company's total unbilled receivable balance. As of December 31, 2025, HHS BARDA represented 98% of the Company's total accounts receivable balance and 100% of the Company's total unbilled receivable balance. As of December 31, 2024, Daiichi Sankyo represented 52% of the Company's total accounts receivable balance, HHS BARDA represented 48% of the Company's total accounts receivable balance and HHS BARDA represented 100% of the Company's total unbilled receivable balance.</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Prepaid Expenses and Prepaid Clinical Services, Long-Term </w:t>
      </w:r>
      <w:r>
        <w:rPr>
          <w:rFonts w:ascii="Times New Roman" w:cs="Times New Roman" w:eastAsia="Times New Roman" w:hAnsi="Times New Roman"/>
          <w:sz w:val="18"/>
          <w:szCs w:val="18"/>
          <w:color w:val="auto"/>
        </w:rPr>
        <w:t>– Prepaid expenses and prepaid clinical services, long-term consist of amounts paid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for services to be received in future periods and are recorded as assets when paid. Prepaid expenses are expensed when such amounts are utilized against costs from a specific vendor. Prepaid expenses are presented as short term (in prepaid expenses and other current assets) or long term (in prepaid clinical services, long-term) depending on whether such assets are expected to be utilized within one year. In circumstances where the vendor needs to approve that prepaid expenses can be applied (such as by issuing a credit memo), the Company will continue to classify such expenses as long term (in prepaid clinical services, long-term).</w:t>
      </w:r>
    </w:p>
    <w:p>
      <w:pPr>
        <w:spacing w:after="0" w:line="18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is carried at cost less accumulated depreciation. Depreciation is computed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over the estimated useful lives of the respective assets. Depreciation begins at the time the asset is placed in service. Maintenance and repairs are charged to operations as incurred. Upon sale or retirement of assets, the cost and related accumulated depreciation are removed from the consolidated balance sheets and the resulting gain or loss is reflected in other income and (expenses) in the period realized.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useful lives of the property and equipment are as follows:</w:t>
            </w:r>
          </w:p>
        </w:tc>
        <w:tc>
          <w:tcPr>
            <w:tcW w:w="48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 (in years)</w:t>
            </w:r>
          </w:p>
        </w:tc>
        <w:tc>
          <w:tcPr>
            <w:tcW w:w="4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 (in years)</w:t>
            </w:r>
          </w:p>
        </w:tc>
        <w:tc>
          <w:tcPr>
            <w:tcW w:w="4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Shorter of remaining lease term or estimated useful life</w:t>
            </w:r>
          </w:p>
        </w:tc>
      </w:tr>
    </w:tbl>
    <w:p>
      <w:pPr>
        <w:spacing w:after="0" w:line="194"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Goodwill and Other Intangible Assets </w:t>
      </w:r>
      <w:r>
        <w:rPr>
          <w:rFonts w:ascii="Times New Roman" w:cs="Times New Roman" w:eastAsia="Times New Roman" w:hAnsi="Times New Roman"/>
          <w:sz w:val="17"/>
          <w:szCs w:val="17"/>
          <w:color w:val="auto"/>
        </w:rPr>
        <w:t>– Goodwill, which represents the excess of the purchase price over the fair value of assets acquired, is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amortized. 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w:t>
      </w:r>
    </w:p>
    <w:p>
      <w:pPr>
        <w:spacing w:after="0" w:line="15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The Company reviews its long-lived assets, including property and equipment, goodwill and intangible assets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finite lives, for impairment in the fourth quarter of each year, and more frequently whenever events or changes in circumstances indicate the carrying amount of these assets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are less than the assets’ carrying value, the related assets will be written down to fair value. The Company assessed its developed technology as not impaired in the years ended December 31, 2025 and 2024 (see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Accrued Clinical and Manufacturing Expenses </w:t>
      </w:r>
      <w:r>
        <w:rPr>
          <w:rFonts w:ascii="Times New Roman" w:cs="Times New Roman" w:eastAsia="Times New Roman" w:hAnsi="Times New Roman"/>
          <w:sz w:val="18"/>
          <w:szCs w:val="18"/>
          <w:color w:val="auto"/>
        </w:rPr>
        <w:t>– The Company accrues for estimated costs of research and development activities conducted by third-party service providers, which include the conduct of preclinical studies and clinical trials, and contract manufacturing activities. The Company records the estimated costs of research and development activities based upon the estimated amount of services provided and includes the costs incurred but not yet invoiced within other accrued liabilities in the consolidated balance sheets and within research and development expense in the consolidated statements of operations and comprehensive income (loss). These costs can be a significant component of the Company’s research and development expenses.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estimates the amount of services provided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it adjusts its accrued estimates. Although the Company does not expect its estimates to be materially different from amounts actually incurred, its understanding of the status and timing of services performed, the number of subjects enrolled, and the rate of enrollment may vary from its estimates and could result in the Company reporting amounts that are too high or too low in any particular period. The Company’s accrued expenses are dependent, in part, upon the receipt of timely and accurate reporting from contract research organizations and other third-party service providers. To date, the Company has not experienced any material differences between accrued costs and actual costs incurred.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records operating leases as right-of-use assets and operating lease liabilities in its consolidated balance sheets for all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leases with terms exceeding one year. Right-of-use assets represent the right to use an underlying asset for the lease term, including extension options considered reasonably certain to be exercised, and operating lease liabilities to make lease payments. Right-of-use assets and operating lease liabilities are recognized based on the present value of lease payments over the lease term. To the extent that lease agreements do not provide an implicit rate, the Company uses its incremental borrowing rate based on information available at the lease commencement date to determine the present value of lease payments. We account for lease modifications that are not separate leases by remeasuring the lease liability at the effective date of modification using updated lease terms and discount rates, with a corresponding adjustment to right-of-use assets. The expense for operating lease payments is recognized on a straight-line basis over the lease term and is included in operating expenses in the Company’s consolidated statement of operations and comprehensive income (loss). The Company has elected to not separate lease and non-lease components of facilities leases, whereas non-lease components of equipment leases are accounted for separately from lease components.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recognizes revenue when it transfers control of promised goods or services to its customers, in an amount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the consideration which the Company expects to receive in exchange for those goods or services. To determine revenue recognition, the Company performs the following five steps:</w:t>
      </w:r>
    </w:p>
    <w:p>
      <w:pPr>
        <w:spacing w:after="0" w:line="175" w:lineRule="exact"/>
        <w:rPr>
          <w:sz w:val="20"/>
          <w:szCs w:val="20"/>
          <w:color w:val="auto"/>
        </w:rPr>
      </w:pPr>
    </w:p>
    <w:p>
      <w:pPr>
        <w:ind w:left="980" w:hanging="648"/>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promised goods or services in the contract;</w:t>
      </w:r>
    </w:p>
    <w:p>
      <w:pPr>
        <w:spacing w:after="0" w:line="252" w:lineRule="exact"/>
        <w:rPr>
          <w:rFonts w:ascii="Times New Roman" w:cs="Times New Roman" w:eastAsia="Times New Roman" w:hAnsi="Times New Roman"/>
          <w:sz w:val="18"/>
          <w:szCs w:val="18"/>
          <w:color w:val="auto"/>
        </w:rPr>
      </w:pPr>
    </w:p>
    <w:p>
      <w:pPr>
        <w:ind w:left="980" w:right="40" w:hanging="648"/>
        <w:spacing w:after="0" w:line="282"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the promised goods or services are performance obligations including whether they are distinct in the context of the contract;</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the transaction price, including the constraint on variable consideration;</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based on estimated selling prices; and</w:t>
      </w:r>
    </w:p>
    <w:p>
      <w:pPr>
        <w:spacing w:after="0" w:line="252" w:lineRule="exact"/>
        <w:rPr>
          <w:rFonts w:ascii="Times New Roman" w:cs="Times New Roman" w:eastAsia="Times New Roman" w:hAnsi="Times New Roman"/>
          <w:sz w:val="18"/>
          <w:szCs w:val="18"/>
          <w:color w:val="auto"/>
        </w:rPr>
      </w:pPr>
    </w:p>
    <w:p>
      <w:pPr>
        <w:ind w:left="980" w:right="120" w:hanging="648"/>
        <w:spacing w:after="0" w:line="282"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each performance obligation. A performance obligation is a promise in a contract to transfer a distinct good or service to the customer and is the unit of account.</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Revenue from royalties earned as a percentage of end-user sales, including milestone payments based on achieving a specified level of sales, where a license is deemed to be the predominant item to which the royalties relate, is recognized as revenue at the later of (i) when the related sales occur, or (ii) when the performance obligation to which some or all of the royalty has been allocated has been satisfied (or partially satisfied), as required under the sales- and usage-based royalty exception.</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recognized ratably, based on costs incurred, as the Company provides promised services to its customers in amounts that reflect the consideration that the Company expects to receive for those services.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accounting for license and collaboration agreements requires significant judgment due to the complexity of the contractual terms and the application of revenue recognition guidance. In particular, the Company is required to evaluate whether performance obligations are satisfied over time or at a point in time and to determine the appropriate measure of progress for performance obligations satisfied over time. Estimating total expected inputs involves significant judgment and requires the Company to make assumptions regarding the scope of work, expected costs, and other factors that may not be fully known at contract inception. These estimates are reviewed and updated on a periodic basis as additional information becomes available. Changes in estimates of total expected inputs or changes in the assessment of the timing of satisfaction of performance obligations may result in cumulative catch-up adjustments to revenue in the period in which the changes are identified, which could be material to the Company’s consolidated financial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Government Contracts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firm fixed-price milestone contracts, the Company recognizes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Under cost reimbursable contracts, the Company recognizes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Payments to the Company under cost reimbursable contracts are provisional payments subject to adjustment upon annual audit by the government. The Company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the 2025 License and Collaboration Agreement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72"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w:t>
      </w:r>
      <w:r>
        <w:rPr>
          <w:rFonts w:ascii="Times New Roman" w:cs="Times New Roman" w:eastAsia="Times New Roman" w:hAnsi="Times New Roman"/>
          <w:sz w:val="18"/>
          <w:szCs w:val="18"/>
          <w:color w:val="auto"/>
        </w:rPr>
        <w:t>– Research and development costs are expensed as incurred. Research and development costs consist primarily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salaries and benefits, stock-based compensation, consultant fees, third-party costs for conducting clinical trials and the manufacture of clinical trial materials, certain facility costs and other costs associated with clinical trials. Payments made to other entities are under agreements that are generally cancelable by the Company. Advance payments for research and development activities are recorded as prepaid expenses. The prepaid amounts are expensed as the related services are performed.</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one clinical research organization (“CRO”) and one analytical testing vendor collectively represented 76% of the Company's total research and development costs. For the year ended December 31, 2024, one CRO represented 18% of the Company's total research and development costs.</w:t>
      </w:r>
    </w:p>
    <w:p>
      <w:pPr>
        <w:spacing w:after="0" w:line="1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Stock-based compensation arrangements include stock option grants and restricted stock units (“RSU”s) awards under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plans, as well as shares issued under our Employee Stock Purchase Plan (“ESPP”), through which employees may purchase our common stock at a discount to the market price. Stock-based compensation is measured at the grant date for all stock-based awards made to employees and non-employees based on the fair value of the awards, net of estimated forfeitures. Compensation expense for purchases under the ESPP is recognized based on the fair value of the award on the date of offering. The fair value of these awards is estimated using the Black-Scholes valuation model. The expected term of each option is estimated by taking the arithmetic average of its original contractual term and its average vesting term.</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(Loss) Per Share </w:t>
      </w:r>
      <w:r>
        <w:rPr>
          <w:rFonts w:ascii="Times New Roman" w:cs="Times New Roman" w:eastAsia="Times New Roman" w:hAnsi="Times New Roman"/>
          <w:sz w:val="18"/>
          <w:szCs w:val="18"/>
          <w:color w:val="auto"/>
        </w:rPr>
        <w:t>– Basic net income (loss) per share is computed by dividing net income (loss) by the weighted average number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outstanding during the period, without consideration of potential common shares.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Diluted net income (loss) per common share is computed giving effect to all potential dilutive common shares, comprising common stock issuable upon exercise of stock options, warrants, RSUs and ESPP. The Company uses the treasury-stock method to compute diluted income (loss) per share with respect to its stock options, warrants, RSUs and ESPP. For purposes of this calculation, options, warrants, RSUs and ESPP plan grants to purchase common stock are considered to be potential common shares and are only included in the calculation of diluted net income per share when their effect is dilutive. In the event of a net loss, the effects of all potentially dilutive shares are excluded from the diluted net loss per share calculation as their inclusion would be antidilutive.</w:t>
      </w:r>
    </w:p>
    <w:p>
      <w:pPr>
        <w:sectPr>
          <w:pgSz w:w="11900" w:h="16838" w:orient="portrait"/>
          <w:cols w:equalWidth="0" w:num="1">
            <w:col w:w="11220"/>
          </w:cols>
          <w:pgMar w:left="320" w:top="121" w:right="359" w:bottom="139" w:gutter="0" w:footer="0" w:header="0"/>
        </w:sectPr>
      </w:pPr>
    </w:p>
    <w:bookmarkStart w:id="176" w:name="page177"/>
    <w:bookmarkEnd w:id="176"/>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 Prior year data is subject to reclassification to conform to current year presentation. No reclassifications were made for the years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and 2024.</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enhances the annual income tax disclosures for the effective tax rate reconciliation and income taxes paid. ASU 2023-09 is effective for annual reporting periods beginning after December 15, 2024, with early adoption permitted. Income taxes information regarding the annual effective tax rate is now to be disclosed in a newly designed and expanded tabular format with mandatory prescriptive captions. Income tax payments, net of refunds received, will now be disclosed in the income tax footnotes, the disclosure of which would need to agree with the longstanding disclosure in the cash flow statement; and will be disaggregated by federal, states, and foreign jurisdictions and by “significant” jurisdictions within “states” and “foreign.” Companies can adopt the new requirements prospectively without revisions of comparative period disclosures but the income tax footnote disclosures in the year of adoption would not be comparable (2025 disclosures would follow the new requirements of ASU 2023-09, while the comparative-period disclosures of 2024 would follow the current disclosure requirements in ASC 740-50, </w:t>
      </w:r>
      <w:r>
        <w:rPr>
          <w:rFonts w:ascii="Times New Roman" w:cs="Times New Roman" w:eastAsia="Times New Roman" w:hAnsi="Times New Roman"/>
          <w:sz w:val="18"/>
          <w:szCs w:val="18"/>
          <w:i w:val="1"/>
          <w:iCs w:val="1"/>
          <w:color w:val="auto"/>
        </w:rPr>
        <w:t>Income Taxes–Disclosure,</w:t>
      </w:r>
      <w:r>
        <w:rPr>
          <w:rFonts w:ascii="Times New Roman" w:cs="Times New Roman" w:eastAsia="Times New Roman" w:hAnsi="Times New Roman"/>
          <w:sz w:val="18"/>
          <w:szCs w:val="18"/>
          <w:color w:val="auto"/>
        </w:rPr>
        <w:t xml:space="preserve"> and related SEC requirements). To maintain comparability, retroactive application to comparative-period disclosures is allowed. The Company adopted ASU 2023-09 on a prospective basis during the year ended December 31, 2025, with no material impact on its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caption. ASU 2024-03 is effective for annual reporting periods beginning after December 15, 2026, and interim reporting periods beginning after December 15, 2027, with early adoption permitted. The Company is currently assessing the impact ASU 2024-03 will have on the consolidated financial statement disclosures.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introducing a practical expedient and an accounting policy election for certain entities in estimating expected credit losses for current accounts receivable and current contract assets arising from transactions within the scope of ASC 606, Revenue from Contracts with Customers. Under the practical expedient, entities may assume that current conditions as of the balance sheet date remain unchanged for the remaining life of the asset when developing forecasts. ASU 2025-05 is effective for the Company beginning in the first quarter of 2026, with early adoption permitted, and should be applied prospectively. The Company is currently assessing the impact of the new guidance on its consolidated financial statement disclosures; however, no material effect is expected based on the current nature of the Company’s receivables and contract assets.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assessing the impact ASU 2025-11 will have on the consolidated financial statement disclosures.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updates the Codification for a broad range of topics arising from technical corrections, unintended application of the Codification, clarifications, and other minor improvements. This ASU is effective for annual reporting periods beginning after December 15, 2026, and interim periods within those annual reporting periods, with early adoption permitted on an issue-by-issue basis. ASU 2025-12 is not expected to have a material effect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and nonfinancial assets and liabilities that are recognized or disclosed at fair value in the consolidated financial statements on a recurring basis (at least annually). Financial instruments include cash and cash equivalents, marketable securities, accounts receivable, accounts payable and accrued liabilities that approximate fair value due to their relatively short maturities.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that are measured on a recurring basis as of December 31, 2025 and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46,164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46,164</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14,060</w:t>
            </w:r>
          </w:p>
        </w:tc>
      </w:tr>
      <w:tr>
        <w:trPr>
          <w:trHeight w:val="250"/>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46,164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14,060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60,224</w:t>
            </w:r>
          </w:p>
        </w:tc>
      </w:tr>
      <w:tr>
        <w:trPr>
          <w:trHeight w:val="409"/>
        </w:trPr>
        <w:tc>
          <w:tcPr>
            <w:tcW w:w="598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16,489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16,489</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23,805</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2,689</w:t>
            </w: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16,489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42,983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no financial liabilities measured on a recurring basis as of December 31, 2025 or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03" w:lineRule="exact"/>
        <w:rPr>
          <w:sz w:val="20"/>
          <w:szCs w:val="20"/>
          <w:color w:val="auto"/>
        </w:rPr>
      </w:pPr>
    </w:p>
    <w:p>
      <w:pPr>
        <w:ind w:left="760" w:hanging="428"/>
        <w:spacing w:after="0"/>
        <w:tabs>
          <w:tab w:leader="none" w:pos="76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Cash 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14,063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14,060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63,807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53,814</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Cash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23,805</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25,229</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all investments were available-for-sale debt securities with remaining maturities of 12 months or less. As of December 31, 2025 and 2024, the Company held 4 and 5 securities, respectively, in an unrealized loss position for 12 months or less. Interest receivable as of December 31, 2025 and 2024, was $0.2 million and $0.2 million, respectively, and is recorded as a component of prepaid expenses and other current assets on the consolidated balance sheets.</w:t>
      </w:r>
    </w:p>
    <w:p>
      <w:pPr>
        <w:spacing w:after="0" w:line="18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has the ability, if necessary, to liquidate any of its cash equivalents and marketable securities to meet its liquidity needs.</w:t>
      </w:r>
    </w:p>
    <w:p>
      <w:pPr>
        <w:spacing w:after="0" w:line="16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there were no material declines in the market value of the Company’s available-for-sale investments due to credit-related factors. The Company does not intend to sell the investments, and it is not more likely than not that the Company will be required to sell the investments before recovery of their amortized cost basis. As of December 31, 2025 and 2024, no allowance for credit losses was recorded and the Company did not recognize any impairment losses related to investments.</w:t>
      </w:r>
    </w:p>
    <w:p>
      <w:pPr>
        <w:spacing w:after="0" w:line="176" w:lineRule="exact"/>
        <w:rPr>
          <w:sz w:val="20"/>
          <w:szCs w:val="20"/>
          <w:color w:val="auto"/>
        </w:rPr>
      </w:pPr>
    </w:p>
    <w:p>
      <w:pPr>
        <w:ind w:left="760" w:hanging="428"/>
        <w:spacing w:after="0"/>
        <w:tabs>
          <w:tab w:leader="none" w:pos="760"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accounts receivable of $14.6 million consisted of $14.2 million of government contract receivable from 2024 ATI-RRPV Contract and $0.3 million of royalty receivable. As of December 31, 2024, accounts receivable balance of $5.7 million consisted of $2.7 million of government contract receivables from HHS BARDA and $3.0 million royalty receivable. 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provided no allowance for credit losses as of December 31, 2025 and 2024 based on historical collection experience, customer credit worthiness, the age of accounts receivable balances, regulatory changes and current economic conditions and trends that may affect a customer’s ability to pay.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760" w:hanging="428"/>
        <w:spacing w:after="0"/>
        <w:tabs>
          <w:tab w:leader="none" w:pos="76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Unbilled Receivable from Government Contracts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Unbilled receivable, which was earned and not yet billed, consists of government contracts from HHS BARDA of $36.8 million and $6.2 million as of December 31, 2025 and 2024, respectively,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Prepaid Expenses and Other Current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clinical and manufacturing expenses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1,449</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6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4,568</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a significant concentration by one contract research organization (“CRO”), which represented 90% of the Company’s total prepaid expenses balance. As of December 31, 2024, there was a significant concentration by one CRO, which represented 28% of the Company’s total prepaid expenses balance.</w:t>
      </w:r>
    </w:p>
    <w:p>
      <w:pPr>
        <w:spacing w:after="0" w:line="172" w:lineRule="exact"/>
        <w:rPr>
          <w:sz w:val="20"/>
          <w:szCs w:val="20"/>
          <w:color w:val="auto"/>
        </w:rPr>
      </w:pPr>
    </w:p>
    <w:p>
      <w:pPr>
        <w:ind w:left="34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(e)</w:t>
        <w:tab/>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w:t>
            </w:r>
          </w:p>
        </w:tc>
      </w:tr>
      <w:tr>
        <w:trPr>
          <w:trHeight w:val="25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was $3.5 million, and $3.7 million for the years ended December 31, 2025 and 2024, respectively. There were no impairments of the Company’s property and equipment recorded for the years ended December 31, 2025 and 2024.</w:t>
      </w:r>
    </w:p>
    <w:p>
      <w:pPr>
        <w:spacing w:after="0" w:line="158" w:lineRule="exact"/>
        <w:rPr>
          <w:sz w:val="20"/>
          <w:szCs w:val="20"/>
          <w:color w:val="auto"/>
        </w:rPr>
      </w:pPr>
    </w:p>
    <w:p>
      <w:pPr>
        <w:ind w:left="740" w:hanging="408"/>
        <w:spacing w:after="0"/>
        <w:tabs>
          <w:tab w:leader="none" w:pos="740"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Prepaid Clinical Services, Long-Term</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Prepaid clinical services, long-term were $25.2 million and $60.1 million for the years ended December 31, 2025 and 2024, respectively. The long-term prepaid clinical services represent amounts the Company has paid to a single CRO as a vendor deposit that will be utilized in more than one year.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760" w:hanging="428"/>
        <w:spacing w:after="0"/>
        <w:tabs>
          <w:tab w:leader="none" w:pos="76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Right-of-Use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net comprises facilities of $11.4 million and $20.4 million as of December 31, 2025 and 2024, respectively.</w:t>
      </w:r>
    </w:p>
    <w:p>
      <w:pPr>
        <w:spacing w:after="0" w:line="221" w:lineRule="exact"/>
        <w:rPr>
          <w:sz w:val="20"/>
          <w:szCs w:val="20"/>
          <w:color w:val="auto"/>
        </w:rPr>
      </w:pPr>
    </w:p>
    <w:p>
      <w:pPr>
        <w:ind w:left="780" w:hanging="448"/>
        <w:spacing w:after="0"/>
        <w:tabs>
          <w:tab w:leader="none" w:pos="780"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Intangible assets are comprised of developed technology and intellectual property. Intangible assets are carried at cost less accumulated amortization. As of December 31, 2025, developed technology and intellectual property had remaining lives of 3.9 years and 2.0 years, respectively. In each of the years ended December 31, 2025 and 2024, there have been no indicators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1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1140" w:type="dxa"/>
            <w:vAlign w:val="bottom"/>
            <w:tcBorders>
              <w:right w:val="single" w:sz="8" w:color="CCEEFF"/>
            </w:tcBorders>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16"/>
        </w:trPr>
        <w:tc>
          <w:tcPr>
            <w:tcW w:w="11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49"/>
        </w:trPr>
        <w:tc>
          <w:tcPr>
            <w:tcW w:w="1140" w:type="dxa"/>
            <w:vAlign w:val="bottom"/>
            <w:tcBorders>
              <w:right w:val="single" w:sz="8" w:color="CCEEFF"/>
            </w:tcBorders>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413"/>
        </w:trPr>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 asset amortization expense was $0.7 million for each of the years ended December 31, 2025 and 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December 31, 2025, the estimated future amortization expense by year is as follows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5"/>
        </w:trPr>
        <w:tc>
          <w:tcPr>
            <w:tcW w:w="114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114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1140" w:type="dxa"/>
            <w:vAlign w:val="bottom"/>
            <w:tcBorders>
              <w:right w:val="single" w:sz="8" w:color="CCEEFF"/>
            </w:tcBorders>
          </w:tcPr>
          <w:p>
            <w:pPr>
              <w:spacing w:after="0"/>
              <w:rPr>
                <w:sz w:val="17"/>
                <w:szCs w:val="17"/>
                <w:color w:val="auto"/>
              </w:rPr>
            </w:pPr>
          </w:p>
        </w:tc>
        <w:tc>
          <w:tcPr>
            <w:tcW w:w="194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2026</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732</w:t>
            </w:r>
          </w:p>
        </w:tc>
      </w:tr>
      <w:tr>
        <w:trPr>
          <w:trHeight w:val="216"/>
        </w:trPr>
        <w:tc>
          <w:tcPr>
            <w:tcW w:w="114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1140" w:type="dxa"/>
            <w:vAlign w:val="bottom"/>
            <w:tcBorders>
              <w:right w:val="single" w:sz="8" w:color="CCEEFF"/>
            </w:tcBorders>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114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50"/>
        </w:trPr>
        <w:tc>
          <w:tcPr>
            <w:tcW w:w="1140" w:type="dxa"/>
            <w:vAlign w:val="bottom"/>
            <w:tcBorders>
              <w:right w:val="single" w:sz="8" w:color="CCEEFF"/>
            </w:tcBorders>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bl>
    <w:p>
      <w:pPr>
        <w:spacing w:after="0" w:line="194" w:lineRule="exact"/>
        <w:rPr>
          <w:sz w:val="20"/>
          <w:szCs w:val="20"/>
          <w:color w:val="auto"/>
        </w:rPr>
      </w:pPr>
    </w:p>
    <w:p>
      <w:pPr>
        <w:ind w:left="720" w:hanging="388"/>
        <w:spacing w:after="0"/>
        <w:tabs>
          <w:tab w:leader="none" w:pos="72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Goodwill, which represents the excess of the purchase price over the fair value of assets acquired, was $4.5 million as of December 31, 2025 and 2024. As of December 31, 2025 and 2024, there have been no indicators of impairment.</w:t>
      </w:r>
    </w:p>
    <w:p>
      <w:pPr>
        <w:spacing w:after="0" w:line="158" w:lineRule="exact"/>
        <w:rPr>
          <w:sz w:val="20"/>
          <w:szCs w:val="20"/>
          <w:color w:val="auto"/>
        </w:rPr>
      </w:pPr>
    </w:p>
    <w:p>
      <w:pPr>
        <w:ind w:left="720" w:hanging="388"/>
        <w:spacing w:after="0"/>
        <w:tabs>
          <w:tab w:leader="none" w:pos="72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Payable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Accounts payable were $21.5 million and $7.0 million as of December 31, 2025 and 2024, respectively. As of December 31, 2025, there was a significant concentration by one CRO and one analytical testing vendor, which represented 94% of the Company’s total accounts payable balance. As of December 31, 2024, there was a significant concentration by one CRO, which represented 67% of the Company’s total accounts payable balance.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760" w:hanging="428"/>
        <w:spacing w:after="0"/>
        <w:tabs>
          <w:tab w:leader="none" w:pos="760"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Government Revenue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Deferred government revenue represents amounts received from HHS BARDA contracts, consisting of the 2024 ASPR-BARDA Contract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000000"/>
        </w:rPr>
        <w:t>) and the 2024 ATI-RRPV Contract (as defined 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000000"/>
        </w:rPr>
        <w:t>) where the earnings process is not yet complete. The Company will recognize deferred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government revenue once the earnings process is complete, in accordance with its revenue recognition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deferred government revenue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6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collected or invoiced</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65,400</w:t>
            </w:r>
          </w:p>
        </w:tc>
      </w:tr>
      <w:tr>
        <w:trPr>
          <w:trHeight w:val="20"/>
        </w:trPr>
        <w:tc>
          <w:tcPr>
            <w:tcW w:w="5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Amounts collected or invoiced during the year ended December 31, 2025 primarily relate to amounts received on the 2024 ATI-RRPV Contract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but for which revenue cannot yet be recognized due to contractual milestones not being achieved.</w:t>
      </w:r>
    </w:p>
    <w:p>
      <w:pPr>
        <w:spacing w:after="0" w:line="158" w:lineRule="exact"/>
        <w:rPr>
          <w:sz w:val="20"/>
          <w:szCs w:val="20"/>
          <w:color w:val="auto"/>
        </w:rPr>
      </w:pPr>
    </w:p>
    <w:p>
      <w:pPr>
        <w:ind w:left="720" w:hanging="388"/>
        <w:spacing w:after="0"/>
        <w:tabs>
          <w:tab w:leader="none" w:pos="72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Collaboration Revenue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Deferred collaboration revenue represents amounts received from the 2025 License and Collaboration Agreement with Dynavax, entered into in November 2025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where the earnings process is not yet complete. The Company will recognize deferred collaboration revenue once the earnings process is complete, in accordance with its revenue recognition policies.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the Company's deferred collaboration revenue (in thousands):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for collaboration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collected or invoiced</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17,084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collaboration revenue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14,976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Pr>
          <w:p>
            <w:pPr>
              <w:spacing w:after="0"/>
              <w:rPr>
                <w:sz w:val="21"/>
                <w:szCs w:val="21"/>
                <w:color w:val="auto"/>
              </w:rPr>
            </w:pP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Other Accrued Liabilities</w:t>
            </w: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and manufacturing expenses</w:t>
            </w: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current portion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was a significant concentration by one CRO, which represented 79% and 42% of the Company’s total other accrued liabilities balances, respectively.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 Related to Sale of Future Royalties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generates royalty revenue from the sale of Inavir in Japan, pursuant to a collaboration and license agreement that Aviragen entered into with Daiichi Sankyo Company, Limited (“Daiichi Sankyo”) in 2009. In September 2010, laninamivir octanoate was approved for sale by the Japanese Ministry of Health and Welfare for the treatment of influenza in adults and children, which Daiichi Sankyo markets as Inavir. Under the agreement, the Company currently receives a 4% royalty on net sales of Inavir in Japan. Based on information provided by Daiichi Sankyo, the Company believes the expiration of the last patent related to Inavir is in August 2036, at which time royalty revenue will cease. The Company’s royalty revenue is seasonal, in line with the flu season, so the majority of the Company’s royalty revenue and non-cash royalty revenue related to the sale of future royalties are earned in</w:t>
      </w:r>
    </w:p>
    <w:p>
      <w:pPr>
        <w:spacing w:after="0" w:line="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the first and fourth fiscal quarters. The royalty revenue related to Inavir recognized for the years ended December 31, 2025 and 2024, was zero. The Company recognized non-cash royalty revenue related to the sale of future royalties of $1.9 million and $3.8 million for the years ended December 31, 2025 and 2024, respectively. Both royalty revenue and the non-cash royalty revenue related to the sale of future royalties are subject to a 5% withholding tax in Japan, for which $0.1 million and $0.2 million was included in income tax expense for the years ended December 31, 2025 and 2024, respectively, further detailed in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recognized revenue from government contracts with HHS BARDA of $224.5 million and $24.9 million for the years ended December 31, 2025 and 2024, respectively, consisting of revenue from the 2024 ASPR-BARDA Contract (as defined below) and the 2024 ATI-RRPV Contract (as defined below) described in more detail below. Unbilled receivable from government contracts consists of government revenue from HHS BARDA, which was earned and not yet billed. As of December 31, 2025 and 2024, the amount of unbilled receivable was $36.8 million and $6.2 million, respectively, and deferred revenue was $0.1 million and $65.4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ATI-RRPV Contract</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June 2024, the Company entered into an agreement (as modified or amended from time to time, the “2024 ATI-RRPV Contract”) with Advanced Technology International, the Rapid Response Partnership Vehicle’s Consortium Management Firm funded by HHS BARDA, which was modified in the second half of 2024 to increase funding and provide for the manufacturing of a vaccine candidate targeting the KP.2 strain and acquire an approved mRNA vaccine targeting the KP.2 strain. Pursuant to the 2024 ATI-RRPV Contract, the Company may receive funding of up to $460.7 million to conduct a Phase 2b comparative study evaluating the Company’s oral pill COVID-19 vaccine candidate against an mRNA vaccine comparator approved by the U.S. Food and Drug Administration (“FDA”). As of December 31, 2025, the 2024 ATI-RRPV Contract made available an aggregate amount of authorized milestones up to $316.1 million. Pursuant to Modification No. 6 to the 2024 ATI-RRPV Contract, dated March 10, 2026, the total amount of funding available for payment under the 2024 ATI-RRPV Contract is approximately $316.0 million (see Note 15) including $67.9 million of firm fixed price amounts and the remaining amount for reimbursement of costs incurred in trial preparation and execution activities. The 2024 ATI-RRPV</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Contract further contemplates additional funding up to $144.7 million if the Company and HHS BARDA decide to continue with the Phase 2b comparative study. The Company anticipates a further modification to the 2024 ATI-RRPV Contract that will reflect the reduced scope of work and corresponding reduction in funding that resulted from previously issued stop work orders.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accounts for the 2024 ATI-RRPV Contract under ASC 958-605 and recognizes revenue as the firm fixed-price milestone is earned and allowable cost-plus-fixed-fees are incurred. Reimbursable costs under the 2024 ATI-RRPV Contract primarily include direct labor, subcontract costs, materials, travel, and approved overhead and indirect costs. The 2024 ATI-RRPV Contract contains terms and conditions that are customary for contracts with HHS BARDA of this nature, including the U.S. government having the right to terminate the contract for convenience or to terminate for default if the Company fails to meet its obligations as set forth in the statement of work. Revenue from government contracts recognized on the 2024 ATI-RRPV Contract was $223.9 million, comprising of a cost-plus-fixed-fee of $158.4 million and a firm fixed-price milestone of $65.5 million, for the year ended December 31, 2025, based on costs incurred and the achievement of firm fixed-price milestones under the 2024 ATI-RRPV Contract. Revenue from government contracts recognized on the 2024 ATI-RRPV Contract was $16.2 million for the year ended December 31, 2024, based on costs incurred and the achievement of firm fixed-price milestones under the 2024 ATI-RRPV Contract. Deferred government revenue represents amounts that have been received from HHS BARDA and the earnings process is not yet complete. Deferred government revenue in current liabilities was $0.1 million and</w:t>
      </w:r>
    </w:p>
    <w:p>
      <w:pPr>
        <w:spacing w:after="0" w:line="5"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$64.8 million as of December 31, 2025 and 2024, respectively. The remaining deferred government revenue will be recognized as revenue once the earnings process is complete.</w:t>
      </w:r>
    </w:p>
    <w:p>
      <w:pPr>
        <w:spacing w:after="0" w:line="18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Company believes that if the 2024 ATI-RRPV Contract were to be terminated prior to completion of the Phase 2b comparative study, the costs incurred through the effective date of such termination and any settlement costs resulting from such termination would be allowable costs. Cost reimbursement payments to the Company are provisional payments subject to adjustment upon annual audit by the government. The Company believes that revenue for periods not yet audited will be recorded in amounts that are expected to be realized upon final audit and settlement. When the final determination of the allowable costs for any year has been made, revenue and billings may be adjusted accordingly in the period that the adjustment becomes known.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ASPR-BARDA Contract</w:t>
      </w:r>
    </w:p>
    <w:p>
      <w:pPr>
        <w:spacing w:after="0" w:line="225"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In January 2024, the Company was awarded a contract (as amended, the “2024 ASPR-BARDA Contract”) by HHS BARDA with a base and all options value of $9.3 million. Under the 2024 ASPR-BARDA Contract, the Company received an award to support clinical trial planning activities for a Phase 2b clinical trial that would compare the Company’s XBB vaccine candidate to an mRNA comparator to evaluate efficacy for symptomatic and asymptomatic disease, systemic and mucosal immune induction, and adverse events. The 2024 ASPR-BARDA Contract originally had a period of performance term that was set to expire in July 2024, but the Company entered into an amendment in July 2024 that extended the period of performance expiration date into October 2024. The Company accounts for the 2024 ASPR-BARDA Contract under Accounting Standards Codification 958-605 and recognizes revenue as donor-imposed conditions are met. Revenue from government contracts recognized on the 2024 ASPR-BARDA Contract was $0.6 million and $8.7 million for the years ended December 31, 2025 and 2024, respectively, based on the achievement of certain milestones under</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2024 ASPR-BARDA Contract. Deferred government revenue represents amounts that have been received from HHS BARDA and the earnings process is not yet complete. Deferred government revenue in current liabilities was zero and $0.6 million as of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Dynavax License and Collaboration Agreement</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November 4, 2025, the Company entered into the 2025 License and Collaboration Agreement with Dynavax relating to the Company’s investigational oral vaccine candidate for COVID-19 based on its proprietary oral delivery platform (the “Vaccine Candidate”). Pursuant to the License Agreement, the Company granted Dynavax an exclusive, worldwide license to develop and commercialize the Company’s oral pill Vaccine Candidate for SARS-CoV-2, SARS coronavirus, or MERS coronavirus, including COVID-19 and all variants thereof. Under the terms of the 2025 License and Collaboration Agreement, Dynavax paid the Company an upfront license fee of $25.0 million and purchased $5.0 million of the Company’s common stock pursuant to the 2025 Securities Purchase Agreement. The 2025 License and Collaboration Agreement includes the Company continue to develop the Vaccine Candidate by conducting and completing its ongoing Phase 2b clinical trial and delivering the end-of-Phase 2 data package, performing its obligations under the 2024 ATI-RRPV agreement and conducting additional development and manufacturing activities related to the Vaccine Candidate.</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Company’s ongoing Phase 2b clinical trial and a planned end-of-Phase 2 meeting with the FDA, per the 2025 License and Collaboration Agreement, Dynavax has the right to elect, in its sole discretion, to assume responsibility for the continued development of the Vaccine Candidate. If Dynavax elects to assume responsibility for such continued development of the Vaccine Candidate, then Dynavax has agreed to pay the Company an additional fee of $50.0 million. If Dynavax does not elect to assume responsibility for such continued development of the Vaccine Candidate, then the 2025 License and Collaboration Agreement will terminate pursuant to its terms.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2025 License and Collaboration Agreement represented a contract with a customer and should be accounted for in accordance with ASC 606. The Company identified two performance obligations, (i) the exclusive license, together with the related transfer and manufacturing technology transfer (the “License Performance Obligation”), and (ii) the development program activities through delivery of the EOP2 Data Package, including participation in joint governance committees (the “Development Performance Obligation”).</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identified $25.8 million of total transaction price at inception, consisting of a non-refundable upfront payment of $25.0 million and the premium of approximately $0.8 million associated with Dynavax’s concurrent $5.0 million equity investment in the Company, which represented consideration in excess of the fair value of the common stock issued. The fixed consideration of $25.8 million was allocated to the two performance obligations on a relative standalone selling price basis. Revenue allocated to the License Performance Obligation was recognized at a point in time in the fourth quarter of 2025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2025 License and Collaboration Agreement also includes potential additional consideration in the form of evaluation fees, a $50.0 million election payment, regulatory and commercial milestone payments, and royalties on future product sales. Such amounts represent variable consideration and are included in the transaction price only to the extent that it is probable that a significant reversal of cumulative revenue recognized will not occur. Sales-based milestones and royalties will be recognized as revenue when the underlying sales occur in accordance with the sales- or usage-based royalty exception in ASC 606.</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revenue of $10.8 million from the 2025 License and Collaboration Agreement, which consisted of license revenue of $8.7 million and collaboration revenue was $2.1 million. As of December 31, 2025, the amount of deferred collaboration revenue was $15.0 million, of which $13.0 million was classified as current and $2.0 million as non-current. The remaining deferred collaboration revenue will be recognized as revenue once the earnings process is complete.</w:t>
      </w:r>
    </w:p>
    <w:p>
      <w:pPr>
        <w:sectPr>
          <w:pgSz w:w="11900" w:h="16838" w:orient="portrait"/>
          <w:cols w:equalWidth="0" w:num="1">
            <w:col w:w="11240"/>
          </w:cols>
          <w:pgMar w:left="320" w:top="121" w:right="339" w:bottom="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Liabilities Related to Sale of Future Royalties</w:t>
      </w:r>
    </w:p>
    <w:p>
      <w:pPr>
        <w:spacing w:after="0" w:line="22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In April 2016, Aviragen entered into a Royalty Interest Acquisition Agreement (the “RIAA”) with HealthCare Royalty Partners III, L.P. (“HCRP”). Under the RIAA, HCRP made a $20.0 million cash payment to Aviragen in consideration for acquiring certain royalty rights (“Royalty Rights”) related to the approved product Inavir in the Japanese market. The Royalty Rights were obtained pursuant to the collaboration and license agreements (the “License Agreement”) and a commercialization agreement that the Company entered into with Daiichi Sankyo. Per the terms of the RIAA, during the first royalty interest period of April 1, 2016 through March 31, 2025, HCRP is entitled to the first $3.0 million and any cumulative remaining shortfall amount plus 15% of the next $1.0 million in royalties earned in each year commencing on April 1, with any excess revenue being retained by the Company. Further, during the second royalty interest period beginning April 1, 2025 and ending on December 24, 2029, HCRP is entitled to the first $2.7 million and any cumulative remaining shortfall amount, plus 15% of the next $1.0 million in royalties, with any excess revenue being retained by the Company. A shortfall occurs when, during an annual period ending on March 31, for the first royalty interest period of April 1, 2016 through March 31, 2025, the Company’s royalty payments fall below $3.0 million; and $2.7 million for the second royalty interest period of April 1, 2025 and ending on December 24, 2029, excluding the period of April 1, 2028 through December 24, 2029. In the event there shall remain any cumulative remaining shortfall amount as of December 24,</w:t>
      </w:r>
    </w:p>
    <w:p>
      <w:pPr>
        <w:spacing w:after="0" w:line="2"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2029, any royalties received from Daiichi Sankyo subsequently by the Company would be payable to HCRP until the cumulative remaining shortfall amount has been paid.</w:t>
      </w:r>
    </w:p>
    <w:p>
      <w:pPr>
        <w:spacing w:after="0" w:line="1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avoidance of doubt, the RIAA states, in the event there is a remaining cumulative remaining shortfall amount as of December 24, 2029, the Company shall not be obligated to pay HCRP any royalty payment beyond what the Company is paid from Daiichi Sankyo. The cumulative remaining shortfall amount is the aggregate amount of the remaining shortfall for each annual period, which was $4.4 million and $6.0 million as of December 31, 2025 and 2024, respectively.</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relevant accounting guidance, due to a limit on the amount of royalties that HCRP can earn under the RIAA, this transaction was accounted for as a liability that is being amortized using the effective interest method over the life of the arrangement. The Company has no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not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not retain HCRP’s share of the royalties, it will continue to record non-cash revenue related to those royalties until the amount of the associated liability, including the related interest, is fully amortized.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during the year ended December 31, 2025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related to sale of future royalties, start of year</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 paid to HCRP</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recognized</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liability related to sale of future royalties, end of year</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portion</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portion</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vMerge w:val="restart"/>
          </w:tcPr>
          <w:p>
            <w:pPr>
              <w:ind w:left="4340"/>
              <w:spacing w:after="0"/>
              <w:rPr>
                <w:sz w:val="20"/>
                <w:szCs w:val="20"/>
                <w:color w:val="auto"/>
              </w:rPr>
            </w:pPr>
            <w:r>
              <w:rPr>
                <w:rFonts w:ascii="Times New Roman" w:cs="Times New Roman" w:eastAsia="Times New Roman" w:hAnsi="Times New Roman"/>
                <w:sz w:val="18"/>
                <w:szCs w:val="18"/>
                <w:color w:val="auto"/>
              </w:rPr>
              <w:t>F-50</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has obtained the right of use for office and manufacturing facilities under six operating lease agreements with initial terms exceeding one year. The lease term at the commencement date is determined by considering whether renewal options and termination options are reasonably assured of exercise.</w:t>
      </w:r>
    </w:p>
    <w:p>
      <w:pPr>
        <w:spacing w:after="0" w:line="176"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Company obtained the right of use of real estate located in South San Francisco, California, in November 2020 under a lease that was scheduled to terminate on September 30, 2025, which had been extended until March 31, 2029, with no additional extension option. On December 18, 2025, the Company entered into an agreement to terminate this lease agreement effective May 15, 2026, which was originally scheduled to expire on March 31, 2029. The Company is not required to pay any termination fees or penalties in connection with the termination of the Lease. As a result of the lease modification, the Company remeasured the operating lease liability using the revised lease term. The adjustment to the related right-of-use asset was limited to its carrying amount, and the Company recognized a resulting gain of $1.0 million within operating expenses in the consolidated statement of operations and comprehensive income for the year ended December 31, 2025.</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obtained the right of use of another property also located in South San Francisco, California, in June 2015 that was scheduled to terminate on April 30, 2020, with a five-year extension option that the Company exercised in July 2019, extending the lease until April 30, 2025, which has been further extended until March 31, 2029, with an option to extend for an additional eight years. In September 2021, the Company executed a lease for a facility in South San Francisco, California, with an initial term expiring on March 31, 2029, with an option to extend for an additional eight years. This lease includes a component for tenant improvements that were substantially completed in the three months ended September 30, 2022, when the lease for this component was deemed to have commenced for accounting purposes. It also includes a component for which tenant improvements of $3.1 million were completed and were recorded within right-of-use assets in the consolidated balance sheets when they were substantially completed in the three months ended March 31, 2023. Further, the Company has the right of use of a facility located in South San Francisco, California, under a lease that terminates on March 30, 2029, with a five-year renewal option. On May 31, 2025, the leases of two facilities in Burlingame, California expired.</w:t>
      </w:r>
    </w:p>
    <w:p>
      <w:pPr>
        <w:spacing w:after="0" w:line="18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2025, the weighted average discount rate for operating leases with initial terms of more than one year was 10.1% and the weighted average remaining term of these leases was 3.0 years. Discount rates were determined using the Company’s marginal rate of borrowing at the time each lease was executed or extended.</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undiscounted cash payment obligations for its operating lease liabilities with initial terms of more than 12 months as of December 31, 2025 (in thousands):</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7736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2026</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427736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427736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Undiscounted total</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427736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Present value of future minimum payments</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427736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5"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797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7" w:lineRule="exact"/>
        <w:rPr>
          <w:sz w:val="20"/>
          <w:szCs w:val="20"/>
          <w:color w:val="auto"/>
        </w:rPr>
      </w:pPr>
    </w:p>
    <w:p>
      <w:pPr>
        <w:ind w:left="760" w:hanging="758"/>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3,651</w:t>
      </w:r>
    </w:p>
    <w:p>
      <w:pPr>
        <w:spacing w:after="0" w:line="22"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2,947</w:t>
      </w:r>
    </w:p>
    <w:p>
      <w:pPr>
        <w:spacing w:after="0" w:line="9"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3,050</w:t>
      </w:r>
    </w:p>
    <w:p>
      <w:pPr>
        <w:spacing w:after="0" w:line="9"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372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10,408</w:t>
      </w:r>
    </w:p>
    <w:p>
      <w:pPr>
        <w:spacing w:after="0" w:line="23"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(1,423)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797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8,985</w:t>
      </w:r>
    </w:p>
    <w:p>
      <w:pPr>
        <w:spacing w:after="0" w:line="23"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(2,978)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797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ind w:left="760" w:hanging="75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6,007</w:t>
      </w:r>
    </w:p>
    <w:p>
      <w:pPr>
        <w:sectPr>
          <w:pgSz w:w="11900" w:h="16838" w:orient="portrait"/>
          <w:cols w:equalWidth="0" w:num="2">
            <w:col w:w="7040" w:space="720"/>
            <w:col w:w="3480"/>
          </w:cols>
          <w:pgMar w:left="320" w:top="121" w:right="33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is also required to pay for operating expenses related to the leased space, including common area maintenance, taxes and insurance. The operating expenses are incurred separately and were not included in the present value of lease payments. Operating lease expenses for years ended December 31 are summarized as follows (in thousands):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9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ind w:left="760" w:hanging="428"/>
        <w:spacing w:after="0"/>
        <w:tabs>
          <w:tab w:leader="none" w:pos="76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2025, the Company had approximately $21.1 million of non-cancelable purchase commitments, principally for clinical services which are expected to be paid within the next year. Approximately $20.1 million of non-cancelable purchase commitments are attributable to a third-party vendor that provides clinical services, that is reimbursable at approximately $21.6 million under a cost-plus-fixed-fees arrangement in the ATI-RRPV Contract. In addition, the Company has operating lease commitments as detailed in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hanging="428"/>
        <w:spacing w:after="0"/>
        <w:tabs>
          <w:tab w:leader="none" w:pos="760"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The Company currently has directors’ and officers’ insurance.</w:t>
      </w:r>
    </w:p>
    <w:p>
      <w:pPr>
        <w:spacing w:after="0" w:line="184" w:lineRule="exact"/>
        <w:rPr>
          <w:sz w:val="20"/>
          <w:szCs w:val="20"/>
          <w:color w:val="auto"/>
        </w:rPr>
      </w:pPr>
    </w:p>
    <w:p>
      <w:pPr>
        <w:ind w:left="760" w:hanging="428"/>
        <w:spacing w:after="0"/>
        <w:tabs>
          <w:tab w:leader="none" w:pos="7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indeterminable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August and September 2020, two substantially similar securities class actions were filed in the U.S. District Court for the Northern District of California. The first action, titled </w:t>
      </w:r>
      <w:r>
        <w:rPr>
          <w:rFonts w:ascii="Times New Roman" w:cs="Times New Roman" w:eastAsia="Times New Roman" w:hAnsi="Times New Roman"/>
          <w:sz w:val="18"/>
          <w:szCs w:val="18"/>
          <w:i w:val="1"/>
          <w:iCs w:val="1"/>
          <w:u w:val="single" w:color="auto"/>
          <w:color w:val="auto"/>
        </w:rPr>
        <w:t>Himmelberg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filed on August 24, 2020. The second action, titled </w:t>
      </w:r>
      <w:r>
        <w:rPr>
          <w:rFonts w:ascii="Times New Roman" w:cs="Times New Roman" w:eastAsia="Times New Roman" w:hAnsi="Times New Roman"/>
          <w:sz w:val="18"/>
          <w:szCs w:val="18"/>
          <w:i w:val="1"/>
          <w:iCs w:val="1"/>
          <w:u w:val="single" w:color="auto"/>
          <w:color w:val="auto"/>
        </w:rPr>
        <w:t>Hovhannisyan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filed on September 1, 2020 (together, the “Putative Class Action”). By Order dated September 17, 2020, the two actions were deemed related. On December 9, 2020, the court appointed lead plaintiffs and lead plaintiffs’ counsel.</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January 29, 2021, lead plaintiffs filed their consolidated amended complaint. On July 8, 2021, all defendants moved to dismiss the consolidated amended complaint. On May 14, 2021, the court granted lead plaintiffs’ request to amend the consolidated amended complaint and denied defendants’ motions to dismiss as moot. On June 10, 2021, lead plaintiffs filed a first amended consolidated complaint, and on August 9, 2021, lead plaintiffs filed a corrected first amended consolidated complaint. The first amended consolidated complaint, as corrected, named certain of Vaxart’s current and former executive officers and directors, as well as Armistice Capital, LLC (“Armistice”), as defendants. It claimed three violations of federal civil securities laws; violation of Section 10(b) of the Exchange Act and SEC Rule 10b-5, as against the Company and all individual defendants; violation of Section 20(a) of the Exchange Act, as against Armistice and all individual defendants; and violation of Section 20A of the Exchange Act against</w:t>
      </w:r>
    </w:p>
    <w:p>
      <w:pPr>
        <w:spacing w:after="0" w:line="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Armistice. The first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first amended consolidated complaint sought certification as a class action for similarly situated shareholders and sought, among other things, an unspecified amount of damages and attorneys’ fees and costs. On July 8, 2021, all defendants moved to dismiss the first amended consolidated complaint. By Order dated December 22, 2021, the court granted the motion to dismiss by Armistice with leave to amend and otherwise denied the motions to dismiss. On July 27, 2022, 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$2.0 million to be paid by the Company and the remainder to be paid by the Company’s insurers. On November 2, 2022, the Company paid the $2.0 million settlement amount with respect to the Putative Class Action pursuant to the terms of the settlement agreement reached in that case. On November 14, 2022, lead plaintiffs filed a second amended consolidated class action complaint that purported to include new allegations to support claims against Armistice. By Orders dated January 25, 2023, the court approved the Partial Settlement and entered judgment dismissing with prejudice all claims asserted in the Putative Class Action against the Settling Defendants.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October 23, 2020, a complaint was filed in the U.S. District Court for the Southern District of New York, entitled </w:t>
      </w:r>
      <w:r>
        <w:rPr>
          <w:rFonts w:ascii="Times New Roman" w:cs="Times New Roman" w:eastAsia="Times New Roman" w:hAnsi="Times New Roman"/>
          <w:sz w:val="18"/>
          <w:szCs w:val="18"/>
          <w:i w:val="1"/>
          <w:iCs w:val="1"/>
          <w:u w:val="single" w:color="auto"/>
          <w:color w:val="auto"/>
        </w:rPr>
        <w:t>Roth v. Armistice Capital LLC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et</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complaint names Armistice and certain Armistice-related parties as defendants, asserting a violation of Exchange Act Section 16(b) and seeking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disgorgement of short-swing profits. The complaint purports to bring the lawsuit on behalf of and for the benefit of the Company and names the Company as a “nominal defendant” for whose benefit damages are sought. Following discovery, a motion for summary judgment was filed by Armistice and the Armistice-related party defendants to dismiss the complaint. On March 27, 2024, the court granted the motion for summary judgment and dismissed all claims in the complaint in their entirety. On April 11, 2024, the Plaintiff timely filed a notice of appeal of the court’s decision to the Second Circuit Court of Appeals, commencing appellate proceedings. In June 2024, Plaintiff filed a motion to the court of appeals to stay the appeal pending efforts to re-instate the complaint in the district court, which was granted by the court of appeals. In July 2024, Plaintiff filed a motion with the district court seeking to set aside the judgment and to re-instate the complaint. On August 15, 2024, the district court denied Plaintiff’s motion to set aside the judgment. On September 10, 2024, Plaintiff re-filed its appeal with the Second Circuit Court of Appeals. On August 28, 2025, the Second Circuit Court of Appeals denied Plaintiff’s appeal and affirmed the decision of the district court dismissing all claims in the complaint. Plaintiff’s time to appeal from that decision has expired and no further proceedings remain.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January 8, 2021, a purported shareholder, Phillip Chan, commenced a pro se lawsuit in the U.S. District Court for the Northern District of California titled </w:t>
      </w:r>
      <w:r>
        <w:rPr>
          <w:rFonts w:ascii="Times New Roman" w:cs="Times New Roman" w:eastAsia="Times New Roman" w:hAnsi="Times New Roman"/>
          <w:sz w:val="18"/>
          <w:szCs w:val="18"/>
          <w:i w:val="1"/>
          <w:iCs w:val="1"/>
          <w:u w:val="single" w:color="auto"/>
          <w:color w:val="auto"/>
        </w:rPr>
        <w:t>Chan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has been stayed while the Putative Class Action is pending.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5" w:lineRule="exact"/>
        <w:rPr>
          <w:sz w:val="20"/>
          <w:szCs w:val="20"/>
          <w:color w:val="auto"/>
        </w:rPr>
      </w:pPr>
    </w:p>
    <w:p>
      <w:pPr>
        <w:ind w:left="760" w:hanging="428"/>
        <w:spacing w:after="0"/>
        <w:tabs>
          <w:tab w:leader="none" w:pos="760" w:val="left"/>
        </w:tabs>
        <w:numPr>
          <w:ilvl w:val="0"/>
          <w:numId w:val="1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5,000,000 shares of preferred stock, $0.0001 par value per share. The Company’s board of directors may, without further action by the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no present plan to issue any shares of preferred stock.</w:t>
      </w:r>
    </w:p>
    <w:p>
      <w:pPr>
        <w:spacing w:after="0" w:line="188" w:lineRule="exact"/>
        <w:rPr>
          <w:sz w:val="20"/>
          <w:szCs w:val="20"/>
          <w:color w:val="auto"/>
        </w:rPr>
      </w:pPr>
    </w:p>
    <w:p>
      <w:pPr>
        <w:ind w:left="760" w:hanging="428"/>
        <w:spacing w:after="0"/>
        <w:tabs>
          <w:tab w:leader="none" w:pos="76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was authorized to issue 350,000,000 shares of common stock, $0.0001 par value per share, which includes an increase of 100,000,000 on June 11, 2024, when the Company’s stockholders approved an amendment to the Company’s certificate of incorporation to increase the number of authorized shares of common stock from 250,000,000 to 350,000,000 shares.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 per share on matters to be voted on by stockholders. Holders of common stock are entitled to receive such dividends, if any, as may be declared from time to time by the Company’s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As of December 31, 2025, no dividends had been declared by the board of directors.</w:t>
      </w:r>
    </w:p>
    <w:p>
      <w:pPr>
        <w:spacing w:after="0" w:line="18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November 2025, the Company entered into a Purchase Agreement with Dynavax (as defined in Note 1), pursuant to which 11,111,111 shares of the Company's common stock were sold to Dynavax at a price of $0.45 per share, resulting in gross proceeds of approximately $5.0 million, of which $0.8 million was determined to represent a premium and was allocated to deferred revenue.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Oppenheimer &amp; Co. Inc., relating to the issuance and sale by the Company in an underwritten registered direct offering 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2024, the Company entered into the 2024 Securities Purchase Agreement with RA Capital Healthcare Fund, L.P. pursuant</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which 15,384,615 shares of the Company's common stock were sold to RA Capital Healthcare Fund, L.P. at an offering price of $0.65 per share pursuant to the Company’s 2023 Shelf Registration. The gross proceeds from the 2024 Securities Purchase Agreement were $10.0 million and, after deducting offering expenses, the net proceeds were $9.9 million.</w:t>
      </w:r>
    </w:p>
    <w:p>
      <w:pPr>
        <w:spacing w:after="0" w:line="1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no sinking fund provisions applicable to the common stock.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shares of common stock reserved for issuance as follows:</w:t>
      </w: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25,407,299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20,405,239</w:t>
            </w: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5,733,306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3,016,481</w:t>
            </w:r>
          </w:p>
        </w:tc>
      </w:tr>
      <w:tr>
        <w:trPr>
          <w:trHeight w:val="21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available for future grant</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10,831,860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18,046,374</w:t>
            </w: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Award Plan available for future grant</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1,603,750</w:t>
            </w: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140,596</w:t>
            </w: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1,823,454</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2,362,902</w:t>
            </w:r>
          </w:p>
        </w:tc>
      </w:tr>
      <w:tr>
        <w:trPr>
          <w:trHeight w:val="249"/>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43,850,083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45,575,342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approved increase of reserved common stock for 2019 Equity Incentive Plan and 2022 Employee Stock Purchase Plan is detailed in </w:t>
      </w:r>
      <w:r>
        <w:rPr>
          <w:rFonts w:ascii="Times New Roman" w:cs="Times New Roman" w:eastAsia="Times New Roman" w:hAnsi="Times New Roman"/>
          <w:sz w:val="18"/>
          <w:szCs w:val="18"/>
          <w:u w:val="single" w:color="auto"/>
          <w:color w:val="0000EE"/>
        </w:rPr>
        <w:t>Note 10</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60" w:hanging="428"/>
        <w:spacing w:after="0"/>
        <w:tabs>
          <w:tab w:leader="none" w:pos="76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February 2025 and March 2025, 100,532 and 29,150, respectively, of the warrants outstanding as of December 31, 2024, expired unexercised. The following 10,914 warrants for common stock were outstanding as of December 31, 2025, all of which contain standard anti-dilution protections in the event of subsequent rights offerings, stock splits, stock dividends or other extraordinary dividends, or other similar changes in the Company’s common stock or capital structure, and none of which have any participating rights for any losses:</w:t>
      </w:r>
    </w:p>
    <w:p>
      <w:pPr>
        <w:spacing w:after="0" w:line="211"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4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Securities into which warrants are convertible</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Warrants outstanding</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Exercise Price</w:t>
            </w:r>
          </w:p>
        </w:tc>
        <w:tc>
          <w:tcPr>
            <w:tcW w:w="80" w:type="dxa"/>
            <w:vAlign w:val="bottom"/>
          </w:tcPr>
          <w:p>
            <w:pPr>
              <w:spacing w:after="0"/>
              <w:rPr>
                <w:sz w:val="18"/>
                <w:szCs w:val="18"/>
                <w:color w:val="auto"/>
              </w:rPr>
            </w:pP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Expiration Date</w:t>
            </w:r>
          </w:p>
        </w:tc>
      </w:tr>
      <w:tr>
        <w:trPr>
          <w:trHeight w:val="213"/>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10,914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bottom w:val="single" w:sz="8" w:color="CCEEFF"/>
            </w:tcBorders>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22.99 December 2026</w:t>
            </w: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10,914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23, 2019, the Company’s stockholders approved the adoption of the 2019 Equity Incentive Plan (the “2019 Plan”), under which the Company is authorized to issue incentive stock options, nonqualified stock options, stock appreciation rights, restricted stock awards, restricted stock units (“RSUs”), other stock awards and performance awards that may be settled in cash, stock, or other property. The 2019 Plan is designed to secure and retain the services of employees, directors and consultants, provide incentives for the Company’s employees, directors and consultants to exert maximum efforts for the success of the Company and its affiliates, and provide a means by which employees, directors and consultants may be given an opportunity to benefit from increases in the value of the Company’s common stock. Following adoption of the 2019 Plan, all previous plans were frozen, and on forfeiture, cancellation and expiration, awards under those plans are not assumed by the 2019 Plan.</w:t>
      </w:r>
    </w:p>
    <w:p>
      <w:pPr>
        <w:spacing w:after="0" w:line="18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aggregate number of shares of common stock authorized for issuance under the 2019 Plan was initially 1,600,000 shares, which was increased through an amendment to the 2019 Plan adopted by the Company’s stockholders (a “Plan Amendment”) on June 8, 2020, to 8,000,000, by a Plan Amendment</w:t>
      </w:r>
    </w:p>
    <w:p>
      <w:pPr>
        <w:spacing w:after="0" w:line="1"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on June 16, 2021, to 16,900,000, by a Plan Amendment on August 4, 2022, to 28,900,000, and by a Plan Amendment on June 11, 2024, to 43,900,000. Further amendments to the 2019 Plan to increase the share reserve would require stockholder approval. Awards that are forfeited or canceled generally become available for issuance again under the 2019 Plan. Awards have a maximum term of ten years from the grant date and may vest over varying periods, as specified by the Company’s board of directors for each grant.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27, 2024, the Company’s board of directors adopted the Vaxart, Inc. 2024 Inducement Award Plan</w:t>
      </w:r>
    </w:p>
    <w:p>
      <w:pPr>
        <w:spacing w:after="0" w:line="2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“2024 Inducement Plan”). The 2024 Inducement Plan was adopted without stockholder approval pursuant to Nasdaq Listing Rule 5635(c)(4) and is administered by the Compensation Committee of the board of directors or the independent members of the board of directors. The board of directors reserved 3,000,000 shares of the Company’s common stock for issuance under the 2024 Inducement Plan, subject to adjustment as provided in the plan document. The terms of the 2024 Inducement Plan are substantially similar to the terms of the 2019 Plan, with the exception that incentive stock options may not be issued under the 2024 Inducement Plan and equity awards under the 2024 Inducement Plan (including nonqualified stock options, restricted stock, restricted stock units, and other stock-based awards) may be issued only to an employee who is commencing employment with the Company or any subsidiary or who is being rehired following a bona fide interruption of employment by the Company or any subsidiary, in either case if</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he or she is granted such award in connection with his or her commencement of employment and such grant is an inducement material to his or her entering into employment with the Company or such subsidiary.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and RSU transactions for the years ended December 31, 2025 and 2024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5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Average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RSU Average</w:t>
            </w:r>
          </w:p>
        </w:tc>
      </w:tr>
      <w:tr>
        <w:trPr>
          <w:trHeight w:val="216"/>
        </w:trPr>
        <w:tc>
          <w:tcPr>
            <w:tcW w:w="25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2500" w:type="dxa"/>
            <w:vAlign w:val="bottom"/>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5,685,806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17,938,726</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2,126,373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Authorized under 2024</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Plan</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Authorized under 2019 Plan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5,309,437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1,949,543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(599,260)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1,944,001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(1,483,826)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(460,175)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1,279,297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2500" w:type="dxa"/>
            <w:vAlign w:val="bottom"/>
            <w:tcBorders>
              <w:top w:val="single" w:sz="8" w:color="CCEEFF"/>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4"/>
        </w:trPr>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19,650,124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20,405,239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3,016,481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(12,969,746)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8,281,792</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4,687,954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Released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(1,041,423)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2,781,683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(1,851,977)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(929,706)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1,413,049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(1,424,130)</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10,875,110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5,733,306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25,407,299 options outstanding with a weighted average exercise price of $1.96, a weighted average remaining term of 7.28 years, and an aggregate intrinsic value of $4,000. Of these options, 14,808,497 were vested, with a weighted average exercise price of $2.84, a weighted average remaining term of 6.16 years, and an aggregate intrinsic value of $4,000.</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received $3,000 for the 3,625 options exercised in the year ended December 31, 2025, which had a minimal intrinsic value. The aggregate intrinsic value represents the total pre-tax value (i.e., the difference between the Company’s stock price and the exercise price) of stock options outstanding as of December 31, 2025, based on the Company’s common stock closing price of $0.35 on December 31, 2025, which would have been received by the option holders had all their in-the-money options been exercised as of that date. The Company received $30,000 for the 38,030 options exercised in the year ended December 31, 2024, which had an intrinsic value of $7,000.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awarded in the years ended December 31, 2025 and 2024, was $0.47 and $1.01, respectively. Fair values were estimated using the following assumptions: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64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6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 - 4.4%</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- 4.4%</w:t>
            </w:r>
          </w:p>
        </w:tc>
      </w:tr>
      <w:tr>
        <w:trPr>
          <w:trHeight w:val="196"/>
        </w:trPr>
        <w:tc>
          <w:tcPr>
            <w:tcW w:w="5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5.50 - 6.00</w:t>
            </w:r>
          </w:p>
        </w:tc>
        <w:tc>
          <w:tcPr>
            <w:tcW w:w="1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5.50 - 6.00</w:t>
            </w:r>
          </w:p>
        </w:tc>
      </w:tr>
      <w:tr>
        <w:trPr>
          <w:trHeight w:val="20"/>
        </w:trPr>
        <w:tc>
          <w:tcPr>
            <w:tcW w:w="56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125.6% - 128.6%</w:t>
            </w:r>
          </w:p>
        </w:tc>
        <w:tc>
          <w:tcPr>
            <w:tcW w:w="1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128.9% - 130.8%</w:t>
            </w:r>
          </w:p>
        </w:tc>
      </w:tr>
      <w:tr>
        <w:trPr>
          <w:trHeight w:val="197"/>
        </w:trPr>
        <w:tc>
          <w:tcPr>
            <w:tcW w:w="564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6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all stock-based awards on the grant date and records the fair value of these awards, net of estimated forfeitures, to compensation expense over the service period. Total stock-based compensation recognized for options, RSUs and ESPP was as follows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49"/>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stock-based compensation cost related to outstanding unvested stock options and RSUs expected to vest was $9.2 million, which the Company expects to recognize over an estimated weighted average period of 2.4 years.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4, 2022, the 2022 Employee Stock Purchase Plan (the “2022 ESPP”) was approved by the Company’s stockholders. The Company initially reserved 1,800,000 shares of the Company’s common stock for purchase under the 2022 ESPP, which was increased by 1,800,000 shares through an amendment to the 2022 ESPP adopted by the Company’s stockholders on June 11, 2024, to 3,600,000 shares. The 2022 ESPP generally has a six-month offering period comprised of one purchase period. In May 2024, the 2022 ESPP had a one-time modification following the end of the six-month offering period ended May 31, 2024, to commence the follow-on offering period on July 1, 2024 for a five-month offering period. The purchase price of the stock is equal to 85% of the lesser of the market value of such shares at the beginning of the six-month offering period or the end of such offering period. During the year ended December 31, 2025, the Company received $0.2 million and issued 539,448 treasury shares under the 2022 ESPP. During the year ended December 31, 2024, the Company received $0.5 million and issued 782,939 shares under the 2022 ESPP. As of December 31, 2025, 1,823,454 shares are available and reserved for future issuance under the 2022 ESPP.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related to the ESPP was $0.2 million for each of the years ended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Benefit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provides a tax-qualified employee savings and retirement plan commonly known as a 401(k) plan (the “Plan”), which covers the Company’s eligible employees. Pursuant to the Plan, employees may elect to defer their current compensation up to the IRS annual contribution limit of $23,500 for calendar year 2025 and $23,000 for calendar year 2024. Employees age 50 or over may elect to contribute an additional $7,500 annually for 2025 and 2024.</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Employees direct their contributions, which vest immediately, across a series of mutual funds. In the years ended December 31, 2025 and 2024, the Company matched employee contributions up to 3% of each employee’s eligible earnings, vesting immediately. The Company’s matching contributions totaled $0.5 million for each of the years ended December 31, 2025 and 2024. The costs of administering the Plan totaled $30,000 and $38,000 in the years ended December 31, 2025 and 2024, respectively.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worldwide pretax earnings by United States and foreign jurisdictions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(67,489)</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worldwide pretax earnings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56" w:lineRule="exact"/>
              <w:rPr>
                <w:sz w:val="20"/>
                <w:szCs w:val="20"/>
                <w:color w:val="auto"/>
              </w:rPr>
            </w:pPr>
            <w:r>
              <w:rPr>
                <w:rFonts w:ascii="Times New Roman" w:cs="Times New Roman" w:eastAsia="Times New Roman" w:hAnsi="Times New Roman"/>
                <w:sz w:val="16"/>
                <w:szCs w:val="16"/>
                <w:color w:val="auto"/>
              </w:rPr>
              <w:t>(66,688</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 of significant items comprising deferred tax assets are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54,574</w:t>
            </w: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1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100,532</w:t>
            </w:r>
          </w:p>
        </w:tc>
      </w:tr>
      <w:tr>
        <w:trPr>
          <w:trHeight w:val="21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(100,494)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(94,119)</w:t>
            </w:r>
          </w:p>
        </w:tc>
      </w:tr>
      <w:tr>
        <w:trPr>
          <w:trHeight w:val="210"/>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r>
    </w:tbl>
    <w:p>
      <w:pPr>
        <w:spacing w:after="0" w:line="1" w:lineRule="exact"/>
        <w:rPr>
          <w:sz w:val="20"/>
          <w:szCs w:val="20"/>
          <w:color w:val="auto"/>
        </w:rPr>
      </w:pPr>
    </w:p>
    <w:p>
      <w:pPr>
        <w:sectPr>
          <w:pgSz w:w="11900" w:h="16838" w:orient="portrait"/>
          <w:cols w:equalWidth="0" w:num="1">
            <w:col w:w="10139"/>
          </w:cols>
          <w:pgMar w:left="320" w:top="121" w:right="1440" w:bottom="1440" w:gutter="0" w:footer="0" w:header="0"/>
        </w:sectPr>
      </w:pPr>
    </w:p>
    <w:p>
      <w:pPr>
        <w:ind w:left="11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9" w:lineRule="exact"/>
        <w:rPr>
          <w:sz w:val="20"/>
          <w:szCs w:val="20"/>
          <w:color w:val="auto"/>
        </w:rPr>
      </w:pPr>
    </w:p>
    <w:p>
      <w:pPr>
        <w:ind w:left="1460" w:right="700" w:hanging="323"/>
        <w:spacing w:after="0" w:line="306" w:lineRule="auto"/>
        <w:rPr>
          <w:sz w:val="20"/>
          <w:szCs w:val="20"/>
          <w:color w:val="auto"/>
        </w:rPr>
      </w:pPr>
      <w:r>
        <w:rPr>
          <w:rFonts w:ascii="Times New Roman" w:cs="Times New Roman" w:eastAsia="Times New Roman" w:hAnsi="Times New Roman"/>
          <w:sz w:val="17"/>
          <w:szCs w:val="17"/>
          <w:color w:val="auto"/>
        </w:rPr>
        <w:t>Depreciation on property and equipment Total deferred tax liabilities</w:t>
      </w:r>
    </w:p>
    <w:p>
      <w:pPr>
        <w:spacing w:after="0" w:line="1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134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66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66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34"/>
        </w:trPr>
        <w:tc>
          <w:tcPr>
            <w:tcW w:w="5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5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r>
      <w:tr>
        <w:trPr>
          <w:trHeight w:val="426"/>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-865505</wp:posOffset>
            </wp:positionV>
            <wp:extent cx="570039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-590550</wp:posOffset>
            </wp:positionV>
            <wp:extent cx="570039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-307975</wp:posOffset>
            </wp:positionV>
            <wp:extent cx="5700395"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4679"/>
          </w:cols>
          <w:pgMar w:left="320" w:top="121" w:right="1440"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As further described in Recently Adopted Accounting Pronouncements in Note 2, we have elected to prospectively adopt the guidance in ASU 2023-09, </w:t>
      </w:r>
      <w:r>
        <w:rPr>
          <w:rFonts w:ascii="Times New Roman" w:cs="Times New Roman" w:eastAsia="Times New Roman" w:hAnsi="Times New Roman"/>
          <w:sz w:val="18"/>
          <w:szCs w:val="18"/>
          <w:i w:val="1"/>
          <w:iCs w:val="1"/>
          <w:color w:val="auto"/>
        </w:rPr>
        <w:t>Income Taxes (Topic 740): Improvements to Income Tax Disclosures.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Companies can adopt the new requirements prospectively without revisions of comparative period disclosures but the income tax footnote disclosures in the year of adoption would not be comparable (2025 disclosures would follow the new requirements of ASU 2023-09, while the comparative-period disclosures of 2024 would follow the current disclosure requirements in ASC 740-50 and related SEC requirements). To maintain comparability, retroactive application to comparative-period disclosures is allowed. The Company is electing to report the new requirements using the prospective method.</w:t>
      </w:r>
    </w:p>
    <w:p>
      <w:pPr>
        <w:spacing w:after="0" w:line="180"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The following table is a reconciliation of the provision for income taxes with the expected provision for income taxes computed by applying the federal statutory income tax rate of 21% to the net income (loss) before provision for income taxes in accordance with ASU 2023-09, as follows (in thousands):</w:t>
      </w:r>
    </w:p>
    <w:p>
      <w:pPr>
        <w:spacing w:after="0" w:line="149"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3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0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00" w:type="dxa"/>
            <w:vAlign w:val="bottom"/>
          </w:tcPr>
          <w:p>
            <w:pPr>
              <w:spacing w:after="0"/>
              <w:rPr>
                <w:sz w:val="18"/>
                <w:szCs w:val="18"/>
                <w:color w:val="auto"/>
              </w:rPr>
            </w:pPr>
          </w:p>
        </w:tc>
        <w:tc>
          <w:tcPr>
            <w:tcW w:w="228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true-up</w:t>
            </w:r>
          </w:p>
        </w:tc>
        <w:tc>
          <w:tcPr>
            <w:tcW w:w="3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w:t>
            </w:r>
          </w:p>
        </w:tc>
      </w:tr>
      <w:tr>
        <w:trPr>
          <w:trHeight w:val="22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w:t>
            </w:r>
          </w:p>
        </w:tc>
      </w:tr>
      <w:tr>
        <w:trPr>
          <w:trHeight w:val="210"/>
        </w:trPr>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43"/>
        </w:trPr>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3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actual tax expense differed from the statutory federal income tax expense using a tax rate of 21% for the years ended December 31, 2025 and 2024, respectively, primarily due to foreign income taxes being taxed at different rates, non-deductible expenses, research and development tax credits, and the change in valuation allowance.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net operating loss (“NOL”) carryforwards of $254.0 million and $221.1 million for federal purposes, and $18.9 million and $8.9 million for state purposes, respectively. If not utilized, federal net operating losses of $1.7 million will begin to expire in</w:t>
      </w:r>
    </w:p>
    <w:p>
      <w:pPr>
        <w:ind w:right="200"/>
        <w:spacing w:after="0" w:line="260" w:lineRule="auto"/>
        <w:rPr>
          <w:sz w:val="20"/>
          <w:szCs w:val="20"/>
          <w:color w:val="auto"/>
        </w:rPr>
      </w:pPr>
      <w:r>
        <w:rPr>
          <w:rFonts w:ascii="Times New Roman" w:cs="Times New Roman" w:eastAsia="Times New Roman" w:hAnsi="Times New Roman"/>
          <w:sz w:val="18"/>
          <w:szCs w:val="18"/>
          <w:color w:val="auto"/>
        </w:rPr>
        <w:t>2026 and $252.3 million will be carried forward indefinitely; state net operating losses of $7.3 million will begin to expire in 2028 and $11.6 million will be carried forward indefinitely.</w:t>
      </w:r>
    </w:p>
    <w:p>
      <w:pPr>
        <w:spacing w:after="0" w:line="1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also has accumulated tax losses of $0.5 million for Australia available for carryforward against future earnings, which under relevant tax laws do not expire but may not be available under certain circumstances.</w:t>
      </w:r>
    </w:p>
    <w:p>
      <w:pPr>
        <w:spacing w:after="0" w:line="16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research and development tax credit carryforwards for federal purposes of $24.3 million and $12.8 million, respectively, and state research and development tax credit carryforwards of $11.3 million and $10.0 million, respectively. The federal research and development tax credit carryforwards will expire at various dates between 2039 and 2045. The state research and development tax credit carryforwards do not expire.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Beginning on January 1, 2022, the Tax Cuts and Jobs Act (“the Act”), enacted in December 2017, eliminated the option to deduct research and development expenditures in the current period and requires taxpayers to capitalize and amortize U.S.-based and non-U.S. based research and development expenditures over five and fifteen years, respectively. However, the enactment of the bipartisan OBBB Act, signed into law in July 2025, repeals the mandatory capitalization requirement for domestic R&amp;D expenditures for tax years beginning after December 31, 2024. As a result, beginning with the 2025 tax year, domestic R&amp;D expenses are once again eligible for immediate deduction in the year incurred, while costs related to foreign R&amp;D activities remain subject to 15-year amortization under Section 174. The Company elects to amortize any remaining unamortized amount with respect to the domestic R&amp;D expenditures capitalized over the past few years ratably over the 2-taxable year period beginning with the first taxable year beginning after December 31, 2024. This legislation does not impact the Company's current tax obligations.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Sections 382 and 383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not that there were changes in ownership. Due to the existence of a full valuation allowance, limitations under Section 382 and 383 will not impact the Company’s effective tax rate. Further analyses will be performed prior to recognizing the benefits of any losses or credits in the consolidated financial statements.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2025 and 2024. The net change in total valuation allowance was an increase of approximately $6.4 million and $11.6 million for the years ended December 31,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paid for income taxes (net of refunds) during the year was as follows (in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 Extension</w:t>
            </w: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Massachusetts Extension</w:t>
            </w: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Refund</w:t>
            </w:r>
          </w:p>
        </w:tc>
        <w:tc>
          <w:tcPr>
            <w:tcW w:w="3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3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State and Local</w:t>
            </w:r>
          </w:p>
        </w:tc>
        <w:tc>
          <w:tcPr>
            <w:tcW w:w="38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Tax on Daiichi Royalty</w:t>
            </w:r>
          </w:p>
        </w:tc>
        <w:tc>
          <w:tcPr>
            <w:tcW w:w="3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96,464</w:t>
            </w:r>
          </w:p>
        </w:tc>
        <w:tc>
          <w:tcPr>
            <w:tcW w:w="1140" w:type="dxa"/>
            <w:vAlign w:val="bottom"/>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3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Foreign</w:t>
            </w:r>
          </w:p>
        </w:tc>
        <w:tc>
          <w:tcPr>
            <w:tcW w:w="38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96,464</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112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Taxes Paid</w:t>
            </w:r>
          </w:p>
        </w:tc>
        <w:tc>
          <w:tcPr>
            <w:tcW w:w="38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98,989</w:t>
            </w:r>
          </w:p>
        </w:tc>
        <w:tc>
          <w:tcPr>
            <w:tcW w:w="114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80" w:type="dxa"/>
            <w:vAlign w:val="bottom"/>
            <w:gridSpan w:val="2"/>
          </w:tcPr>
          <w:p>
            <w:pPr>
              <w:jc w:val="right"/>
              <w:ind w:right="2770"/>
              <w:spacing w:after="0"/>
              <w:rPr>
                <w:sz w:val="20"/>
                <w:szCs w:val="20"/>
                <w:color w:val="auto"/>
              </w:rPr>
            </w:pPr>
            <w:r>
              <w:rPr>
                <w:rFonts w:ascii="Times New Roman" w:cs="Times New Roman" w:eastAsia="Times New Roman" w:hAnsi="Times New Roman"/>
                <w:sz w:val="18"/>
                <w:szCs w:val="18"/>
                <w:color w:val="auto"/>
              </w:rPr>
              <w:t>F-60</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each year, the state and local income taxes which comprise the majority of the state and local income taxes, net of federal effect category were as follows (in dollars):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20" w:type="dxa"/>
            <w:vAlign w:val="bottom"/>
            <w:tcBorders>
              <w:bottom w:val="single" w:sz="8" w:color="auto"/>
            </w:tcBorders>
          </w:tcPr>
          <w:p>
            <w:pPr>
              <w:spacing w:after="0"/>
              <w:rPr>
                <w:sz w:val="20"/>
                <w:szCs w:val="20"/>
                <w:color w:val="auto"/>
              </w:rPr>
            </w:pPr>
          </w:p>
        </w:tc>
      </w:tr>
      <w:tr>
        <w:trPr>
          <w:trHeight w:val="209"/>
        </w:trPr>
        <w:tc>
          <w:tcPr>
            <w:tcW w:w="5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09"/>
        </w:trPr>
        <w:tc>
          <w:tcPr>
            <w:tcW w:w="5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records unrecognized tax benefits, where appropriate, for all uncertain income tax positions. The Company recorded unrecognized tax benefits for uncertain tax positions of approximately $13.6 million and $8.5 million as of December 31, 2025 and 2024, respectively, of which none would impact the effective tax rate, if recognized, because the benefit would be offset by an increase in the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unrecognized tax benefits is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09"/>
        </w:trPr>
        <w:tc>
          <w:tcPr>
            <w:tcW w:w="5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5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accrued on any unrecognized tax benefits as a component of income tax expense. During the years ended December 31, 2025 and 2024, the Company recognized no interest and penalties associated with unrecognized tax benefits. There are no tax positions for which it is reasonably possible that the total amounts of unrecognized tax benefits will significantly increase or decrease within twelve months of the reporting date.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Australia, as well as with various U.S. states. The Company is subject to tax audits in all jurisdictions in which it files income tax returns. Tax audits by their very nature are often complex and can require several years to complete. There are currently no tax audits that have commenced with respect to income tax returns in any jurisdiction.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tax statute of limitations applicable to the Internal Revenue Code, the Company and its U.S. subsidiary, either standalone or as part of the consolidated group, is no longer subject to U.S. federal income tax examinations by the Internal Revenue Service for tax years before tax year 2021. Under the statute of limitations applicable to most state income tax laws, the Company is no longer subject to state income tax examinations by tax authorities for tax year before 2020 in states in which it has filed income tax returns. However, because the Company is carrying forward income tax attributes, such as net operating losses and tax credits from 2005 and earlier tax years, these attributes can still be audited when utilized on returns filed in the future. The Company is subject to foreign tax examinations by tax authorities for fiscal year 2021 and forward.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Income (Loss) Per Share Attributable to Common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number of shares of our common stock outstanding.</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calculation of diluted net income (loss) per share, net income for basic net income per share is adjusted by the effect of dilutive securities, including awards under our equity compensation plans. Diluted net income (loss) per share is computed by dividing net income by the weighted-average number of fully diluted common shares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share and per share amounts):</w:t>
      </w:r>
    </w:p>
    <w:p>
      <w:pPr>
        <w:spacing w:after="0" w:line="22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19685</wp:posOffset>
            </wp:positionV>
            <wp:extent cx="20999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1" w:lineRule="exact"/>
        <w:rPr>
          <w:sz w:val="20"/>
          <w:szCs w:val="20"/>
          <w:color w:val="auto"/>
        </w:rPr>
      </w:pPr>
    </w:p>
    <w:p>
      <w:pPr>
        <w:ind w:left="7400"/>
        <w:spacing w:after="0"/>
        <w:tabs>
          <w:tab w:leader="none" w:pos="90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0999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16,327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 basic</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230,269,605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202,137,531</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76,596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68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230,346,201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202,137,531</w:t>
            </w:r>
          </w:p>
        </w:tc>
        <w:tc>
          <w:tcPr>
            <w:tcW w:w="0" w:type="dxa"/>
            <w:vAlign w:val="bottom"/>
          </w:tcPr>
          <w:p>
            <w:pPr>
              <w:spacing w:after="0"/>
              <w:rPr>
                <w:sz w:val="1"/>
                <w:szCs w:val="1"/>
                <w:color w:val="auto"/>
              </w:rPr>
            </w:pPr>
          </w:p>
        </w:tc>
      </w:tr>
      <w:tr>
        <w:trPr>
          <w:trHeight w:val="194"/>
        </w:trPr>
        <w:tc>
          <w:tcPr>
            <w:tcW w:w="56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34"/>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 adjustment has been made to the net income (loss) in the years ended December 31, 2025 and 2024, as the effect would be anti-dilutive due to the net loss.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weighted average securities were excluded from the computation of weighted average shares outstanding because they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24,809,770</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20,659,336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to purchase common stock</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5,182,676</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2,828,395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158,262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335,190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potentially dilutive securities excluded from denominator of the diluted</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30,003,360</w:t>
            </w:r>
          </w:p>
        </w:tc>
        <w:tc>
          <w:tcPr>
            <w:tcW w:w="1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23,981,183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57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earnings per share computation</w:t>
            </w:r>
          </w:p>
        </w:tc>
        <w:tc>
          <w:tcPr>
            <w:tcW w:w="16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20" w:type="dxa"/>
            <w:vAlign w:val="bottom"/>
            <w:vMerge w:val="restart"/>
          </w:tcPr>
          <w:p>
            <w:pPr>
              <w:ind w:left="4340"/>
              <w:spacing w:after="0"/>
              <w:rPr>
                <w:sz w:val="20"/>
                <w:szCs w:val="20"/>
                <w:color w:val="auto"/>
              </w:rPr>
            </w:pPr>
            <w:r>
              <w:rPr>
                <w:rFonts w:ascii="Times New Roman" w:cs="Times New Roman" w:eastAsia="Times New Roman" w:hAnsi="Times New Roman"/>
                <w:sz w:val="18"/>
                <w:szCs w:val="18"/>
                <w:color w:val="auto"/>
              </w:rPr>
              <w:t>F-62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7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which is the discovery and development of oral recombinant protein vaccines, based on its proprietary oral vaccine platform. The accounting policies of the segment are the same as those described in the summary of significant accounting policies. The determination of a single business segment is consistent with the consolidated financial information regularly reviewed by the Chief Executive Officer as chief operating decision maker (the “CODM”) in assessing segment performance and deciding how to allocate resources on a consolidated basis.</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CODM uses consolidated net income (loss) to evaluate the Company's spend and monitor budget versus actual results. The monitoring of budgeted versus actual results is used in assessing performance of the segment and in establishing resource allocation across the organization. The measure of segment assets is reported on the consolidated balance sheets as total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revenue, segment loss, significant segment expenses, and other segment items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237,258</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program costs: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Norovirus program</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r>
      <w:tr>
        <w:trPr>
          <w:trHeight w:val="216"/>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COVID-19 program</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155,049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programs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Preclinical research</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Process Development</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51,940</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r>
      <w:tr>
        <w:trPr>
          <w:trHeight w:val="216"/>
        </w:trPr>
        <w:tc>
          <w:tcPr>
            <w:tcW w:w="5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(A)</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(66,948)</w:t>
            </w: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income (loss)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(66,948)</w:t>
            </w: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Other segment items included in other income (expense),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Acquisition of Dynavax</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23, 2025, Sanofi, a French société anonyme, entered into an Agreement and Plan of Merger with Dynavax Technologies Corporation (“Dynavax”), pursuant to which Sanofi agreed to acquire all outstanding shares of Dynavax common stock for $15.50 per share in cash, reflecting a total equity value of approximately $2.2 billion. On January 12, 2026, Sanofi commenced a tender offer to acquire all outstanding shares of Dynavax. The tender offer expired on February 9, 2026, at which time approximately 73.92% of Dynavax’s outstanding shares were validly tendered. On February 10, 2026, Sanofi completed the acquisition through a merger in which Dynavax became an indirect wholly owned subsidiary of Sanofi.</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disclosed in Note 5, the Company entered into the 2025 License and Collaboration Agreement with Dynavax on November 4, 2025. Pursuant to the terms of the 2025 License and Collaboration Agreement, the agreement permits assignment without the Company’s consent in connection with a change of control involving the transfer or sale of substantially all of a party’s business related to the licensed products. Accordingly, upon completion of the Sanofi acquisition, the rights and obligations under the 2025 License and Collaboration Agreement were assigned to or assumed by Sanofi (or its affiliates) as the successor to Dynavax. In addition, the 2025 License and Collaboration Agreement provides Dynavax (or its successor) with the right to terminate the agreement for any reason upon 90 days’ prior written notice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2024 ATI-RRPV Contract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10, 2026, the Company entered into Modification No. 6 (the “Modification”) to the ATI-RRPV Project Award Agreement No. 001, dated June 13, 2024 (the “Project Agreement”), with Advanced Technology International, the Rapid Response Partnership Vehicle’s Consortium Management Firm funded by BARDA of the U.S. Department of Health and Human Services. As previously disclosed, pursuant to the Project Agreement, the Company received funding to conduct a Phase 2b comparative study (the “Trial”) evaluating the Company’s oral pill COVID-19 vaccine candidate against an mRNA vaccine comparator approved by the U.S. Food and Drug Administration. The Company previously announced that it had completed enrollment of the sentinel cohort portion of the study comprising approximately 400 participants comparing its oral pill XBB candidate against an mRNA XBB comparator and an independent data safety monitoring board recommended the study to proceed without modifications based on initial safety assessment of 30-day data from the sentinel cohort.</w:t>
      </w:r>
    </w:p>
    <w:p>
      <w:pPr>
        <w:spacing w:after="0" w:line="1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Modification increased the total amount of funding currently allotted to the Trial and available for payment to approximately $316.0 million. The Company anticipates a further modification to the 2024 ATI-RRPV Contract that will reflect the reduced scope of work and corresponding reduction in funding that resulted from previously issued stop work orders.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2"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b w:val="1"/>
          <w:bCs w:val="1"/>
          <w:color w:val="auto"/>
        </w:rPr>
        <w:t>32,914,599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6686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314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18, 2026</w:t>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1)"/>
      <w:numFmt w:val="decimal"/>
      <w:start w:val="1"/>
    </w:lvl>
    <w:lvl w:ilvl="1">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2"/>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2"/>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decimal"/>
      <w:start w:val="4"/>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1)"/>
      <w:numFmt w:val="decimal"/>
      <w:start w:val="2"/>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2"/>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1)"/>
      <w:numFmt w:val="lowerRoman"/>
      <w:start w:val="1"/>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lowerLetter"/>
      <w:start w:val="2"/>
    </w:lvl>
  </w:abstractNum>
  <w:abstractNum w:abstractNumId="89">
    <w:nsid w:val="488AC1A"/>
    <w:multiLevelType w:val="hybridMultilevel"/>
    <w:lvl w:ilvl="0">
      <w:lvlJc w:val="left"/>
      <w:lvlText w:val="(%1)"/>
      <w:numFmt w:val="lowerLetter"/>
      <w:start w:val="3"/>
    </w:lvl>
  </w:abstractNum>
  <w:abstractNum w:abstractNumId="90">
    <w:nsid w:val="5FB8011C"/>
    <w:multiLevelType w:val="hybridMultilevel"/>
    <w:lvl w:ilvl="0">
      <w:lvlJc w:val="left"/>
      <w:lvlText w:val="(%1)"/>
      <w:numFmt w:val="lowerLetter"/>
      <w:start w:val="6"/>
    </w:lvl>
  </w:abstractNum>
  <w:abstractNum w:abstractNumId="91">
    <w:nsid w:val="6AA78F7F"/>
    <w:multiLevelType w:val="hybridMultilevel"/>
    <w:lvl w:ilvl="0">
      <w:lvlJc w:val="left"/>
      <w:lvlText w:val="(%1)"/>
      <w:numFmt w:val="lowerLetter"/>
      <w:start w:val="7"/>
    </w:lvl>
  </w:abstractNum>
  <w:abstractNum w:abstractNumId="92">
    <w:nsid w:val="7672BD23"/>
    <w:multiLevelType w:val="hybridMultilevel"/>
    <w:lvl w:ilvl="0">
      <w:lvlJc w:val="left"/>
      <w:lvlText w:val="(%1)"/>
      <w:numFmt w:val="lowerLetter"/>
      <w:start w:val="8"/>
    </w:lvl>
  </w:abstractNum>
  <w:abstractNum w:abstractNumId="93">
    <w:nsid w:val="6FC75AF8"/>
    <w:multiLevelType w:val="hybridMultilevel"/>
    <w:lvl w:ilvl="0">
      <w:lvlJc w:val="left"/>
      <w:lvlText w:val="(%1)"/>
      <w:numFmt w:val="lowerRoman"/>
      <w:start w:val="1"/>
    </w:lvl>
  </w:abstractNum>
  <w:abstractNum w:abstractNumId="94">
    <w:nsid w:val="6A5F7029"/>
    <w:multiLevelType w:val="hybridMultilevel"/>
    <w:lvl w:ilvl="0">
      <w:lvlJc w:val="left"/>
      <w:lvlText w:val="(%1)"/>
      <w:numFmt w:val="lowerLetter"/>
      <w:start w:val="10"/>
    </w:lvl>
  </w:abstractNum>
  <w:abstractNum w:abstractNumId="95">
    <w:nsid w:val="7D5E18F8"/>
    <w:multiLevelType w:val="hybridMultilevel"/>
    <w:lvl w:ilvl="0">
      <w:lvlJc w:val="left"/>
      <w:lvlText w:val="(%1)"/>
      <w:numFmt w:val="lowerLetter"/>
      <w:start w:val="11"/>
    </w:lvl>
  </w:abstractNum>
  <w:abstractNum w:abstractNumId="96">
    <w:nsid w:val="5F3534A4"/>
    <w:multiLevelType w:val="hybridMultilevel"/>
    <w:lvl w:ilvl="0">
      <w:lvlJc w:val="left"/>
      <w:lvlText w:val="(%1)"/>
      <w:numFmt w:val="lowerLetter"/>
      <w:start w:val="12"/>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lowerLetter"/>
      <w:start w:val="2"/>
    </w:lvl>
  </w:abstractNum>
  <w:abstractNum w:abstractNumId="101">
    <w:nsid w:val="14FCE74E"/>
    <w:multiLevelType w:val="hybridMultilevel"/>
    <w:lvl w:ilvl="0">
      <w:lvlJc w:val="left"/>
      <w:lvlText w:val="(%1)"/>
      <w:numFmt w:val="lowerLetter"/>
      <w:start w:val="3"/>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lowerLetter"/>
      <w:start w:val="2"/>
    </w:lvl>
  </w:abstractNum>
  <w:abstractNum w:abstractNumId="104">
    <w:nsid w:val="9DAF6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2026-05-19T15:45:03Z</dcterms:created>
  <dcterms:modified xsi:type="dcterms:W3CDTF">2026-05-19T15:45:03Z</dcterms:modified>
</cp:coreProperties>
</file>