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SCHEDULE 14A</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(Rule 14a-101)</w:t>
      </w:r>
    </w:p>
    <w:p>
      <w:pPr>
        <w:spacing w:after="0" w:line="17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INFORMATION REQUIRED IN PROXY STATEMENT</w:t>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SCHEDULE 14A INFORMATION</w:t>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Proxy Statement Pursuant to Section 14(a) of the Securities Exchange Act of 1934</w:t>
      </w:r>
    </w:p>
    <w:p>
      <w:pPr>
        <w:spacing w:after="0" w:line="18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4"/>
          <w:szCs w:val="14"/>
          <w:color w:val="auto"/>
        </w:rPr>
        <w:t>(Amendment No. )</w:t>
      </w:r>
    </w:p>
    <w:p>
      <w:pPr>
        <w:spacing w:after="0" w:line="13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1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70" w:lineRule="exact"/>
        <w:rPr>
          <w:sz w:val="24"/>
          <w:szCs w:val="24"/>
          <w:color w:val="auto"/>
        </w:rPr>
      </w:pPr>
    </w:p>
    <w:p>
      <w:pPr>
        <w:ind w:left="1000" w:hanging="501"/>
        <w:spacing w:after="0"/>
        <w:tabs>
          <w:tab w:leader="none" w:pos="10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9" w:lineRule="exact"/>
        <w:rPr>
          <w:rFonts w:ascii="MS PGothic" w:cs="MS PGothic" w:eastAsia="MS PGothic" w:hAnsi="MS PGothic"/>
          <w:sz w:val="14"/>
          <w:szCs w:val="14"/>
          <w:color w:val="auto"/>
        </w:rPr>
      </w:pPr>
    </w:p>
    <w:p>
      <w:pPr>
        <w:ind w:left="1000" w:hanging="501"/>
        <w:spacing w:after="0"/>
        <w:tabs>
          <w:tab w:leader="none" w:pos="10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69" w:lineRule="exact"/>
        <w:rPr>
          <w:rFonts w:ascii="MS PGothic" w:cs="MS PGothic" w:eastAsia="MS PGothic" w:hAnsi="MS PGothic"/>
          <w:sz w:val="14"/>
          <w:szCs w:val="14"/>
          <w:color w:val="auto"/>
        </w:rPr>
      </w:pPr>
    </w:p>
    <w:p>
      <w:pPr>
        <w:ind w:left="1000" w:hanging="501"/>
        <w:spacing w:after="0"/>
        <w:tabs>
          <w:tab w:leader="none" w:pos="10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70" w:lineRule="exact"/>
        <w:rPr>
          <w:sz w:val="24"/>
          <w:szCs w:val="24"/>
          <w:color w:val="auto"/>
        </w:rPr>
      </w:pPr>
    </w:p>
    <w:p>
      <w:pPr>
        <w:ind w:left="1000" w:hanging="501"/>
        <w:spacing w:after="0"/>
        <w:tabs>
          <w:tab w:leader="none" w:pos="10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90" w:lineRule="exact"/>
        <w:rPr>
          <w:sz w:val="24"/>
          <w:szCs w:val="24"/>
          <w:color w:val="auto"/>
        </w:rPr>
      </w:pPr>
    </w:p>
    <w:p>
      <w:pPr>
        <w:ind w:left="1000" w:hanging="501"/>
        <w:spacing w:after="0"/>
        <w:tabs>
          <w:tab w:leader="none" w:pos="100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 240.14a-12</w:t>
      </w:r>
    </w:p>
    <w:p>
      <w:pPr>
        <w:spacing w:after="0" w:line="19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VAXART,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647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jc w:val="center"/>
        <w:ind w:right="-11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5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DANIEL P. HOULE</w:t>
      </w:r>
    </w:p>
    <w:p>
      <w:pPr>
        <w:jc w:val="center"/>
        <w:ind w:right="-1140"/>
        <w:spacing w:after="0" w:line="231" w:lineRule="auto"/>
        <w:rPr>
          <w:sz w:val="20"/>
          <w:szCs w:val="20"/>
          <w:color w:val="auto"/>
        </w:rPr>
      </w:pPr>
      <w:r>
        <w:rPr>
          <w:rFonts w:ascii="Times New Roman" w:cs="Times New Roman" w:eastAsia="Times New Roman" w:hAnsi="Times New Roman"/>
          <w:sz w:val="14"/>
          <w:szCs w:val="14"/>
          <w:color w:val="auto"/>
        </w:rPr>
        <w:t>MARK SILVERBERG, DDS, MD</w:t>
      </w:r>
    </w:p>
    <w:p>
      <w:pPr>
        <w:jc w:val="center"/>
        <w:ind w:right="-1140"/>
        <w:spacing w:after="0" w:line="215" w:lineRule="auto"/>
        <w:rPr>
          <w:sz w:val="20"/>
          <w:szCs w:val="20"/>
          <w:color w:val="auto"/>
        </w:rPr>
      </w:pPr>
      <w:r>
        <w:rPr>
          <w:rFonts w:ascii="Times New Roman" w:cs="Times New Roman" w:eastAsia="Times New Roman" w:hAnsi="Times New Roman"/>
          <w:sz w:val="14"/>
          <w:szCs w:val="14"/>
          <w:color w:val="auto"/>
        </w:rPr>
        <w:t>MATTHEW M. WALLACE, MD</w:t>
      </w:r>
    </w:p>
    <w:p>
      <w:pPr>
        <w:jc w:val="center"/>
        <w:ind w:right="-1140"/>
        <w:spacing w:after="0" w:line="231" w:lineRule="auto"/>
        <w:rPr>
          <w:sz w:val="20"/>
          <w:szCs w:val="20"/>
          <w:color w:val="auto"/>
        </w:rPr>
      </w:pPr>
      <w:r>
        <w:rPr>
          <w:rFonts w:ascii="Times New Roman" w:cs="Times New Roman" w:eastAsia="Times New Roman" w:hAnsi="Times New Roman"/>
          <w:sz w:val="14"/>
          <w:szCs w:val="14"/>
          <w:color w:val="auto"/>
        </w:rPr>
        <w:t>PATRICE RAFFY</w:t>
      </w:r>
    </w:p>
    <w:p>
      <w:pPr>
        <w:jc w:val="center"/>
        <w:ind w:right="-1140"/>
        <w:spacing w:after="0"/>
        <w:rPr>
          <w:sz w:val="20"/>
          <w:szCs w:val="20"/>
          <w:color w:val="auto"/>
        </w:rPr>
      </w:pPr>
      <w:r>
        <w:rPr>
          <w:rFonts w:ascii="Times New Roman" w:cs="Times New Roman" w:eastAsia="Times New Roman" w:hAnsi="Times New Roman"/>
          <w:sz w:val="14"/>
          <w:szCs w:val="14"/>
          <w:color w:val="auto"/>
        </w:rPr>
        <w:t>Q3 NOMINEES PTY LTD</w:t>
      </w:r>
    </w:p>
    <w:p>
      <w:pPr>
        <w:spacing w:after="0" w:line="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MARC EUSTACE PEREIRA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ind w:left="3620"/>
        <w:spacing w:after="0"/>
        <w:rPr>
          <w:sz w:val="20"/>
          <w:szCs w:val="20"/>
          <w:color w:val="auto"/>
        </w:rPr>
      </w:pPr>
      <w:r>
        <w:rPr>
          <w:rFonts w:ascii="Times New Roman" w:cs="Times New Roman" w:eastAsia="Times New Roman" w:hAnsi="Times New Roman"/>
          <w:sz w:val="14"/>
          <w:szCs w:val="14"/>
          <w:color w:val="auto"/>
        </w:rPr>
        <w:t>(Name of Persons(s) Filing Proxy Statement, if other than the Registrant)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70" w:lineRule="exact"/>
        <w:rPr>
          <w:sz w:val="24"/>
          <w:szCs w:val="24"/>
          <w:color w:val="auto"/>
        </w:rPr>
      </w:pPr>
    </w:p>
    <w:p>
      <w:pPr>
        <w:ind w:left="1000" w:hanging="501"/>
        <w:spacing w:after="0"/>
        <w:tabs>
          <w:tab w:leader="none" w:pos="100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90" w:lineRule="exact"/>
        <w:rPr>
          <w:sz w:val="24"/>
          <w:szCs w:val="24"/>
          <w:color w:val="auto"/>
        </w:rPr>
      </w:pPr>
    </w:p>
    <w:p>
      <w:pPr>
        <w:ind w:left="1000" w:hanging="501"/>
        <w:spacing w:after="0"/>
        <w:tabs>
          <w:tab w:leader="none" w:pos="10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90" w:lineRule="exact"/>
        <w:rPr>
          <w:rFonts w:ascii="MS PGothic" w:cs="MS PGothic" w:eastAsia="MS PGothic" w:hAnsi="MS PGothic"/>
          <w:sz w:val="14"/>
          <w:szCs w:val="14"/>
          <w:color w:val="auto"/>
        </w:rPr>
      </w:pPr>
    </w:p>
    <w:p>
      <w:pPr>
        <w:ind w:left="1000" w:hanging="501"/>
        <w:spacing w:after="0"/>
        <w:tabs>
          <w:tab w:leader="none" w:pos="100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0159"/>
          </w:cols>
          <w:pgMar w:left="300" w:top="205" w:right="1440" w:bottom="1440" w:gutter="0" w:footer="0" w:header="0"/>
        </w:sectPr>
      </w:pPr>
    </w:p>
    <w:bookmarkStart w:id="1" w:name="page2"/>
    <w:bookmarkEnd w:id="1"/>
    <w:p>
      <w:pPr>
        <w:jc w:val="both"/>
        <w:ind w:firstLine="496"/>
        <w:spacing w:after="0" w:line="262" w:lineRule="auto"/>
        <w:rPr>
          <w:sz w:val="20"/>
          <w:szCs w:val="20"/>
          <w:color w:val="auto"/>
        </w:rPr>
      </w:pPr>
      <w:r>
        <w:rPr>
          <w:rFonts w:ascii="Times New Roman" w:cs="Times New Roman" w:eastAsia="Times New Roman" w:hAnsi="Times New Roman"/>
          <w:sz w:val="14"/>
          <w:szCs w:val="14"/>
          <w:color w:val="auto"/>
        </w:rPr>
        <w:t xml:space="preserve">Daniel P. Houle and the other participants named herein (collectively, the “Concerned Vaxart Stockholders”) have filed a definitive proxy statement and accompanying </w:t>
      </w:r>
      <w:r>
        <w:rPr>
          <w:rFonts w:ascii="Times New Roman" w:cs="Times New Roman" w:eastAsia="Times New Roman" w:hAnsi="Times New Roman"/>
          <w:sz w:val="14"/>
          <w:szCs w:val="14"/>
          <w:b w:val="1"/>
          <w:bCs w:val="1"/>
          <w:color w:val="auto"/>
        </w:rPr>
        <w:t>GOLD</w:t>
      </w:r>
      <w:r>
        <w:rPr>
          <w:rFonts w:ascii="Times New Roman" w:cs="Times New Roman" w:eastAsia="Times New Roman" w:hAnsi="Times New Roman"/>
          <w:sz w:val="14"/>
          <w:szCs w:val="14"/>
          <w:color w:val="auto"/>
        </w:rPr>
        <w:t xml:space="preserve"> universal proxy card with the Securities and Exchange Commission to be used to solicit votes for the election of the Concerned Vaxart Stockholders’ slate of director nominees at the 2026 annual meeting of stockholders of Vaxart, Inc., a Delaware corporation (the “Company”).</w:t>
      </w:r>
    </w:p>
    <w:p>
      <w:pPr>
        <w:spacing w:after="0" w:line="303"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On June 22, 2026, the Concerned Vaxart Stockholders issued the following Investor Presentation titled “A Case for Change at Vaxart”. A copy of the Investor Presentation is also attached hereto as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716470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311785</wp:posOffset>
            </wp:positionV>
            <wp:extent cx="7211695" cy="4054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259715</wp:posOffset>
            </wp:positionV>
            <wp:extent cx="7211695" cy="4054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544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2026-06-22T16:43:21Z</dcterms:created>
  <dcterms:modified xsi:type="dcterms:W3CDTF">2026-06-22T16:43:21Z</dcterms:modified>
</cp:coreProperties>
</file>