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000"/>
        <w:spacing w:after="0"/>
        <w:tabs>
          <w:tab w:leader="none" w:pos="57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March 20, 2025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Vaxart,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001-35285</w:t>
            </w:r>
          </w:p>
        </w:tc>
        <w:tc>
          <w:tcPr>
            <w:tcW w:w="3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59-1212264</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 w:type="dxa"/>
            <w:vAlign w:val="bottom"/>
          </w:tcPr>
          <w:p>
            <w:pPr>
              <w:spacing w:after="0"/>
              <w:rPr>
                <w:sz w:val="19"/>
                <w:szCs w:val="19"/>
                <w:color w:val="auto"/>
              </w:rPr>
            </w:pPr>
          </w:p>
        </w:tc>
        <w:tc>
          <w:tcPr>
            <w:tcW w:w="3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42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8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170 Harbor Way, Suite 300, South San Francisco, California</w:t>
            </w:r>
          </w:p>
        </w:tc>
        <w:tc>
          <w:tcPr>
            <w:tcW w:w="30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94080</w:t>
            </w:r>
          </w:p>
        </w:tc>
      </w:tr>
      <w:tr>
        <w:trPr>
          <w:trHeight w:val="228"/>
        </w:trPr>
        <w:tc>
          <w:tcPr>
            <w:tcW w:w="5660" w:type="dxa"/>
            <w:vAlign w:val="bottom"/>
            <w:tcBorders>
              <w:top w:val="single" w:sz="8" w:color="auto"/>
            </w:tcBorders>
            <w:gridSpan w:val="3"/>
          </w:tcPr>
          <w:p>
            <w:pPr>
              <w:jc w:val="center"/>
              <w:ind w:left="2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6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(650) 550-3500</w:t>
            </w: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4397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2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4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4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7280" w:type="dxa"/>
            <w:vAlign w:val="bottom"/>
          </w:tcPr>
          <w:p>
            <w:pPr>
              <w:spacing w:after="0"/>
              <w:rPr>
                <w:sz w:val="24"/>
                <w:szCs w:val="24"/>
                <w:color w:val="auto"/>
              </w:rPr>
            </w:pPr>
          </w:p>
        </w:tc>
        <w:tc>
          <w:tcPr>
            <w:tcW w:w="3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1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If an emerging growth company, indicate by check mark if the registrant has elected not to use the extended transition period for complying with any new</w:t>
            </w:r>
          </w:p>
        </w:tc>
        <w:tc>
          <w:tcPr>
            <w:tcW w:w="160" w:type="dxa"/>
            <w:vAlign w:val="bottom"/>
          </w:tcPr>
          <w:p>
            <w:pPr>
              <w:spacing w:after="0"/>
              <w:rPr>
                <w:sz w:val="24"/>
                <w:szCs w:val="24"/>
                <w:color w:val="auto"/>
              </w:rPr>
            </w:pPr>
          </w:p>
        </w:tc>
      </w:tr>
      <w:tr>
        <w:trPr>
          <w:trHeight w:val="30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38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4"/>
                <w:szCs w:val="24"/>
                <w:color w:val="auto"/>
              </w:rPr>
            </w:pPr>
          </w:p>
        </w:tc>
      </w:tr>
      <w:tr>
        <w:trPr>
          <w:trHeight w:val="541"/>
        </w:trPr>
        <w:tc>
          <w:tcPr>
            <w:tcW w:w="7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20, 2025, Vaxart, Inc. (the “Company”) issued a press release (the “Press Release”) announcing its financial results for the year ended December 31, 2024. A copy of the Press Release is attached to this Current Report on Form 8-K as Exhibit 99.1 and, other than the quotes by Steven Lo, is incorporated herein by reference.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information in this report, including Exhibit 99.1 attached hereto, is being furnished and shall not be deemed “filed” for purposes of Section 18 of the Securities Exchange Act of 1934, as amended, or subject to the liabilities of that section or Sections 11 and 12(a)(2) of the Securities Act of 1933, as amended. The information contained herein and in the accompanying Exhibit 99.1 shall not be deemed incorporated by reference into any filing with the U.S. Securities and Exchange Commission made by Vaxart,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 w:name="page3"/>
    <w:bookmarkEnd w:id="2"/>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 .01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460" w:hanging="804"/>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80" w:type="dxa"/>
            <w:vAlign w:val="bottom"/>
          </w:tcPr>
          <w:p>
            <w:pPr>
              <w:spacing w:after="0"/>
              <w:rPr>
                <w:sz w:val="20"/>
                <w:szCs w:val="20"/>
                <w:color w:val="auto"/>
              </w:rPr>
            </w:pPr>
          </w:p>
        </w:tc>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660" w:type="dxa"/>
            <w:vAlign w:val="bottom"/>
          </w:tcPr>
          <w:p>
            <w:pPr>
              <w:spacing w:after="0"/>
              <w:rPr>
                <w:sz w:val="20"/>
                <w:szCs w:val="20"/>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4"/>
                <w:szCs w:val="14"/>
                <w:color w:val="auto"/>
              </w:rPr>
            </w:pPr>
          </w:p>
        </w:tc>
        <w:tc>
          <w:tcPr>
            <w:tcW w:w="72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March 20, 2025.</w:t>
            </w:r>
          </w:p>
        </w:tc>
        <w:tc>
          <w:tcPr>
            <w:tcW w:w="266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60" w:type="dxa"/>
            <w:vAlign w:val="bottom"/>
          </w:tcPr>
          <w:p>
            <w:pPr>
              <w:spacing w:after="0"/>
              <w:rPr>
                <w:sz w:val="24"/>
                <w:szCs w:val="24"/>
                <w:color w:val="auto"/>
              </w:rPr>
            </w:pPr>
          </w:p>
        </w:tc>
      </w:tr>
      <w:tr>
        <w:trPr>
          <w:trHeight w:val="574"/>
        </w:trPr>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7"/>
          <w:szCs w:val="17"/>
          <w:b w:val="1"/>
          <w:bCs w:val="1"/>
          <w:color w:val="auto"/>
        </w:rPr>
        <w:t>VAXART, INC.</w:t>
      </w:r>
    </w:p>
    <w:p>
      <w:pPr>
        <w:spacing w:after="0" w:line="2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/s/ Phillip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18415</wp:posOffset>
            </wp:positionV>
            <wp:extent cx="2880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Phillip Lee</w:t>
      </w:r>
    </w:p>
    <w:p>
      <w:pPr>
        <w:spacing w:after="0" w:line="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880"/>
          </w:cols>
          <w:pgMar w:left="320" w:top="576"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Provides Business Update and Reports Full Year 2024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Initiated Phase 1 clinical trial evaluating its second-generation oral norovirus vaccine constructs with topline data expected as early as mid-2025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Continues per protocol follow-up for the COVID-19 Phase 2b 400-person sentinel cohort</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Cash, cash equivalents and investments of $51.7 million as of December 31, 2024 provides runway through multiple development milestones and into the fourth quarter of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today at 4:30 p.m. 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 SAN FRANCISCO, Calif., March 20, 2025 — Vaxart, Inc. (Nasdaq: VXRT) today announced its business update and financial results for the full year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founding, Vaxart has been on a mission to transform global health with the goal of pioneering oral pill vaccines that can provide protection against common viral diseases safely and effectively,” said Steven Lo, Chief Executive Officer of Vaxart. “Developing a safe vaccine that improves convenience and reduces the risk of illness or death compared to existing options, or creates a solution where no vaccine or treatment exists, is crucial for bolstering U.S. and global public health.”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making important progress on our mission by executing on our key milestones, highlighted by the initiation of our Phase 1 norovirus trial evaluating our second-generation oral vaccine candidate. We believe our second-generation candidate may be more potent than our first-generation candidate, which already demonstrated a favorable safety profile in multiple clinical trials, showed protection in a human challenge model, and elicited mucosal and systemic immunity in older adults. At the same time, we are continuing our efforts with the per protocol follow up for the 400-person sentinel cohort from our COVID-19 Phase 2b trial, and will further update on the BARDA award as events warrant,” concluded Mr. Lo.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Norovirus Vaccine Developments</w:t>
      </w:r>
    </w:p>
    <w:p>
      <w:pPr>
        <w:spacing w:after="0" w:line="31" w:lineRule="exact"/>
        <w:rPr>
          <w:sz w:val="20"/>
          <w:szCs w:val="20"/>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Vaxart initiated its Phase 1, open label, dose ranging clinical trial evaluating its second-generation oral norovirus vaccine constructs head-to-head against its first-generation constructs. The study will measure safety and immune parameters that have correlated to protection in the completed norovirus challenge study, with topline data expected as early as mid-2025.</w:t>
      </w:r>
    </w:p>
    <w:p>
      <w:pPr>
        <w:spacing w:after="0" w:line="1" w:lineRule="exact"/>
        <w:rPr>
          <w:rFonts w:ascii="Times New Roman" w:cs="Times New Roman" w:eastAsia="Times New Roman" w:hAnsi="Times New Roman"/>
          <w:sz w:val="18"/>
          <w:szCs w:val="18"/>
          <w:color w:val="auto"/>
        </w:rPr>
      </w:pP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If the Phase 1 trial is successful, the next step, pending a partnership or other funding, would be to conduct a Phase 2b safety and immunogenicity study that could potentially begin as early as the second half of 2025 followed by an End of Phase 2 meeting with the U.S. Food and Drug Administration (FDA). A Phase 3 trial could then begin as early as 2026.</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Science Translational Medicine published the complete data from Vaxart’s Phase 1b trial of its first-generation oral pill norovirus vaccine candidate in elderly adults (55-80 years).</w:t>
      </w:r>
    </w:p>
    <w:p>
      <w:pPr>
        <w:ind w:left="130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Data from this study demonstrated strong and durable antibody responses and induction of norovirus-specific antibody and T cell responses, supporting the immunogenicity of the vaccine candidate in a patient population that often has age-related reductions in immune responses to injected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 Vaccine Developments</w:t>
      </w:r>
    </w:p>
    <w:p>
      <w:pPr>
        <w:spacing w:after="0" w:line="31" w:lineRule="exact"/>
        <w:rPr>
          <w:sz w:val="20"/>
          <w:szCs w:val="20"/>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Vaxart announced the 400-person sentinel cohort of the Phase 2b trial evaluating its COVID-19 vaccine candidate head-to-head against an approved mRNA comparator completed enrollment. Participants are monitored for up to 12 months post-vaccination to assess safety, immunogenicity, and efficacy for the sentinel cohort.</w:t>
      </w:r>
    </w:p>
    <w:p>
      <w:pPr>
        <w:spacing w:after="0" w:line="1" w:lineRule="exact"/>
        <w:rPr>
          <w:rFonts w:ascii="Times New Roman" w:cs="Times New Roman" w:eastAsia="Times New Roman" w:hAnsi="Times New Roman"/>
          <w:sz w:val="18"/>
          <w:szCs w:val="18"/>
          <w:color w:val="auto"/>
        </w:rPr>
      </w:pP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January 2025, an independent Data Safety Monitoring Board (DSMB) recommended the study to proceed without modifications based on initial safety assessment the sentinel cohort’s 30-day data.</w:t>
      </w: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2025, Vaxart received an order from Advanced Technology International on behalf of the U.S. government directing that it stop work on all its efforts on the COVID-19 Phase 2b trial, with the exception that Vaxart may continue work associated with the per protocol follow-up for the 400-person cohort. Within 90 days of the order, the stop work order will either be canceled, extended, or work on this project will be terminated.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Influenza Program Developments</w:t>
      </w:r>
    </w:p>
    <w:p>
      <w:pPr>
        <w:spacing w:after="0" w:line="31" w:lineRule="exact"/>
        <w:rPr>
          <w:sz w:val="20"/>
          <w:szCs w:val="20"/>
          <w:color w:val="auto"/>
        </w:rPr>
      </w:pPr>
    </w:p>
    <w:p>
      <w:pPr>
        <w:jc w:val="both"/>
        <w:ind w:left="66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continues to advance its avian influenza program. Vaxart previously published data demonstrating protection in a preclinical model against avian influenza after oral immunization (Clin Vaccine Immunol 2013). Vaxart recently created a new avian influenza vaccine candidate to cover the latest clade 2.3.4.4b. Vaxart is in the process of conducting several preclinical studies to evaluate the new construct and preparing to manufacture it for clinical use. Vaxart intends to publish the results of the preclinical studies when complete.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w:t>
      </w:r>
    </w:p>
    <w:p>
      <w:pPr>
        <w:spacing w:after="0" w:line="31" w:lineRule="exact"/>
        <w:rPr>
          <w:sz w:val="20"/>
          <w:szCs w:val="20"/>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Vaxart appointed Kevin Finney to Vaxart’s Board of Directors. Mr. Finney is a seasoned healthcare executive and experienced board member who brings decades of industry leadership experience and operational expertise.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Full Year Ended December 31, 2024</w:t>
      </w:r>
    </w:p>
    <w:p>
      <w:pPr>
        <w:spacing w:after="0" w:line="31" w:lineRule="exact"/>
        <w:rPr>
          <w:sz w:val="20"/>
          <w:szCs w:val="20"/>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totaled $51.7 million as of December 31, 2024. Currently, Vaxart anticipates cash runway into the fourth quarter of 2025. After receiving the February 2025 stop work order related to the COVID Phase 2b trial, Vaxart implemented a restructuring plan that led to an approximately 10% reduction of Vaxart’s workforce on a full-time equivalent basis.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reported a net loss of $66.9 million for the full year 2024, compared to $82.5 million for the full year 2023. Net loss per share for 2024 was $0.33, compared to a net loss of $0.57 per share for 2023.</w:t>
      </w: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full year 2024 was $28.7 million, compared to $7.4 million for 2023. Revenue in 2024 was primarily from government contracts related to the BARDA contracts awarded in January and June 2024. Revenue in 2023 was primarily from revenue recognized for work performed under Vaxart’s grant from the Bill &amp; Melinda Gates Foundation and non-cash royalty revenue from increased sales of Inavir in Japan.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$74.2 million for 2024, compared to $68.1 million for 2023. The increase is primarily due to increases in clinical trial expenses related to Vaxart’s COVID-19 vaccine candidate, an increase in manufacturing and preclinical expenses and facilities expenses, partially offset by a decrease in clinical trial expenses related to Vaxart’s norovirus vaccine candidate and a decrease in stock-based compensation expense and 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660" w:right="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$20.8 million for 2024, compared to $22.6 million for 2023. The decrease is primarily due to a decrease in personnel-related costs, including stock-based compensation expenses, and directors’ and officers’ insurance costs, offset by increases in severance costs, recruiting costs and other professional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Vaxart senior management team will host a conference call to discuss the business update and financial results for the full year 2024 today, beginning at 4:30 p.m. 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can be accessed using the following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u w:val="single" w:color="auto"/>
          <w:color w:val="auto"/>
        </w:rPr>
        <w:t>Click here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Thursday, March 20, 2025 – 4:30 p.m.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(877) 407-0832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(201) 689-8433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13751819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may submit written questions in advance of the conference call to ir@vaxart.com.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webcast will be available for 30 days on Vaxart’s website at www.vaxart.com following the conclusion of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facts, included in this press release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Vaxart’s expectations with respect to the effectiveness of its product candidates.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that the stop work order discussed above may result in further work on the COVID-19 Phase 2b trial being terminated;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described in the “Risk Factors” sections of Vaxart’s Quarterly and Annual Reports filed with the U.S. Securities and Exchange Commission. Vaxart does not assume any obligation to update any forward-looking statements, except as required by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Vaxart Media and Investor Relations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Steinberg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FINN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IR@vaxart.com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871-8481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189"/>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650"/>
              <w:spacing w:after="0" w:line="189" w:lineRule="exact"/>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6"/>
                <w:szCs w:val="16"/>
                <w:color w:val="auto"/>
              </w:rPr>
            </w:pPr>
          </w:p>
        </w:tc>
      </w:tr>
      <w:tr>
        <w:trPr>
          <w:trHeight w:val="236"/>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6"/>
          </w:tcPr>
          <w:p>
            <w:pPr>
              <w:ind w:left="106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25,229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34,755</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26,494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4,958</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receivable from government contracts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11,731</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clinical services, long-term</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24,840</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4,289</w:t>
            </w:r>
          </w:p>
        </w:tc>
      </w:tr>
      <w:tr>
        <w:trPr>
          <w:trHeight w:val="216"/>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166,389</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91,830</w:t>
            </w: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government revenue</w:t>
            </w:r>
          </w:p>
        </w:tc>
        <w:tc>
          <w:tcPr>
            <w:tcW w:w="20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65,400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5,927</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17,526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20,088</w:t>
            </w:r>
          </w:p>
        </w:tc>
      </w:tr>
      <w:tr>
        <w:trPr>
          <w:trHeight w:val="216"/>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34,025</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58,925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57,805</w:t>
            </w:r>
          </w:p>
        </w:tc>
      </w:tr>
      <w:tr>
        <w:trPr>
          <w:trHeight w:val="210"/>
        </w:trPr>
        <w:tc>
          <w:tcPr>
            <w:tcW w:w="756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166,389</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91,830</w:t>
            </w:r>
          </w:p>
        </w:tc>
        <w:tc>
          <w:tcPr>
            <w:tcW w:w="100" w:type="dxa"/>
            <w:vAlign w:val="bottom"/>
            <w:tcBorders>
              <w:top w:val="single" w:sz="8" w:color="CCEEFF"/>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36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financial statements of Vaxart, Inc. for the year ended December 31, 2023, included on the Form 10-K filed with the Securities and Exchange Commission on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6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189"/>
        </w:trPr>
        <w:tc>
          <w:tcPr>
            <w:tcW w:w="6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50"/>
              <w:spacing w:after="0" w:line="189" w:lineRule="exact"/>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w:t>
            </w:r>
          </w:p>
        </w:tc>
      </w:tr>
      <w:tr>
        <w:trPr>
          <w:trHeight w:val="236"/>
        </w:trPr>
        <w:tc>
          <w:tcPr>
            <w:tcW w:w="6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7,379</w:t>
            </w:r>
          </w:p>
        </w:tc>
      </w:tr>
      <w:tr>
        <w:trPr>
          <w:trHeight w:val="20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74,213</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68,142</w:t>
            </w:r>
          </w:p>
        </w:tc>
      </w:tr>
      <w:tr>
        <w:trPr>
          <w:trHeight w:val="216"/>
        </w:trPr>
        <w:tc>
          <w:tcPr>
            <w:tcW w:w="6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22,584</w:t>
            </w:r>
          </w:p>
        </w:tc>
      </w:tr>
      <w:tr>
        <w:trPr>
          <w:trHeight w:val="20"/>
        </w:trPr>
        <w:tc>
          <w:tcPr>
            <w:tcW w:w="60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94,993</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90,726</w:t>
            </w:r>
          </w:p>
        </w:tc>
      </w:tr>
      <w:tr>
        <w:trPr>
          <w:trHeight w:val="20"/>
        </w:trPr>
        <w:tc>
          <w:tcPr>
            <w:tcW w:w="6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(66,293)</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(83,347)</w:t>
            </w:r>
          </w:p>
        </w:tc>
      </w:tr>
      <w:tr>
        <w:trPr>
          <w:trHeight w:val="216"/>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6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(66,688)</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(82,204)</w:t>
            </w:r>
          </w:p>
        </w:tc>
      </w:tr>
      <w:tr>
        <w:trPr>
          <w:trHeight w:val="216"/>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6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(66,948)</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(82,465)</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0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(0.57)</w:t>
            </w:r>
          </w:p>
        </w:tc>
      </w:tr>
      <w:tr>
        <w:trPr>
          <w:trHeight w:val="20"/>
        </w:trPr>
        <w:tc>
          <w:tcPr>
            <w:tcW w:w="6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202,137,531</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144,819,781</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36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financial statements of Vaxart, Inc. for the year ended December 31, 2023, included on the Form 10-K filed with the Securities and Exchange Commission on March 14, 2024</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2025-03-21T05:15:32Z</dcterms:created>
  <dcterms:modified xsi:type="dcterms:W3CDTF">2025-03-21T05:15:32Z</dcterms:modified>
</cp:coreProperties>
</file>