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8,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r>
        <w:rPr>
          <w:rFonts w:ascii="Times New Roman" w:cs="Times New Roman" w:eastAsia="Times New Roman" w:hAnsi="Times New Roman"/>
          <w:sz w:val="14"/>
          <w:szCs w:val="14"/>
          <w:color w:val="auto"/>
        </w:rPr>
        <w:t xml:space="preserve">              ​</w:t>
      </w:r>
    </w:p>
    <w:p>
      <w:pPr>
        <w:spacing w:after="0" w:line="15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VAXART, INC.</w:t>
      </w:r>
    </w:p>
    <w:p>
      <w:pPr>
        <w:spacing w:after="0" w:line="159" w:lineRule="exact"/>
        <w:rPr>
          <w:sz w:val="24"/>
          <w:szCs w:val="24"/>
          <w:color w:val="auto"/>
        </w:rPr>
      </w:pPr>
    </w:p>
    <w:tbl>
      <w:tblPr>
        <w:tblLayout w:type="fixed"/>
        <w:tblInd w:w="1420" w:type="dxa"/>
        <w:tblCellMar>
          <w:top w:w="0" w:type="dxa"/>
          <w:left w:w="0" w:type="dxa"/>
          <w:bottom w:w="0" w:type="dxa"/>
          <w:right w:w="0" w:type="dxa"/>
        </w:tblCellMar>
      </w:tblPr>
      <w:tr>
        <w:trPr>
          <w:trHeight w:val="168"/>
        </w:trPr>
        <w:tc>
          <w:tcPr>
            <w:tcW w:w="2240" w:type="dxa"/>
            <w:vAlign w:val="bottom"/>
          </w:tcPr>
          <w:p>
            <w:pPr>
              <w:spacing w:after="0"/>
              <w:rPr>
                <w:sz w:val="14"/>
                <w:szCs w:val="14"/>
                <w:color w:val="auto"/>
              </w:rPr>
            </w:pPr>
          </w:p>
        </w:tc>
        <w:tc>
          <w:tcPr>
            <w:tcW w:w="408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940" w:type="dxa"/>
            <w:vAlign w:val="bottom"/>
          </w:tcPr>
          <w:p>
            <w:pPr>
              <w:spacing w:after="0"/>
              <w:rPr>
                <w:sz w:val="14"/>
                <w:szCs w:val="14"/>
                <w:color w:val="auto"/>
              </w:rPr>
            </w:pPr>
          </w:p>
        </w:tc>
      </w:tr>
      <w:tr>
        <w:trPr>
          <w:trHeight w:val="172"/>
        </w:trPr>
        <w:tc>
          <w:tcPr>
            <w:tcW w:w="2240" w:type="dxa"/>
            <w:vAlign w:val="bottom"/>
          </w:tcPr>
          <w:p>
            <w:pPr>
              <w:jc w:val="center"/>
              <w:ind w:right="46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0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1940" w:type="dxa"/>
            <w:vAlign w:val="bottom"/>
          </w:tcPr>
          <w:p>
            <w:pPr>
              <w:jc w:val="center"/>
              <w:ind w:left="589"/>
              <w:spacing w:after="0"/>
              <w:rPr>
                <w:sz w:val="20"/>
                <w:szCs w:val="20"/>
                <w:color w:val="auto"/>
              </w:rPr>
            </w:pPr>
            <w:r>
              <w:rPr>
                <w:rFonts w:ascii="Times New Roman" w:cs="Times New Roman" w:eastAsia="Times New Roman" w:hAnsi="Times New Roman"/>
                <w:sz w:val="14"/>
                <w:szCs w:val="14"/>
                <w:b w:val="1"/>
                <w:bCs w:val="1"/>
                <w:color w:val="auto"/>
              </w:rPr>
              <w:t>59-1212264</w:t>
            </w:r>
          </w:p>
        </w:tc>
      </w:tr>
      <w:tr>
        <w:trPr>
          <w:trHeight w:val="170"/>
        </w:trPr>
        <w:tc>
          <w:tcPr>
            <w:tcW w:w="224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08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w w:val="99"/>
              </w:rPr>
              <w:t>(Primary Standard Industrial</w:t>
            </w:r>
          </w:p>
        </w:tc>
        <w:tc>
          <w:tcPr>
            <w:tcW w:w="194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1940" w:type="dxa"/>
            <w:vAlign w:val="bottom"/>
          </w:tcPr>
          <w:p>
            <w:pPr>
              <w:jc w:val="center"/>
              <w:ind w:left="569"/>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23"/>
        </w:trPr>
        <w:tc>
          <w:tcPr>
            <w:tcW w:w="2240" w:type="dxa"/>
            <w:vAlign w:val="bottom"/>
          </w:tcPr>
          <w:p>
            <w:pPr>
              <w:spacing w:after="0"/>
              <w:rPr>
                <w:sz w:val="24"/>
                <w:szCs w:val="24"/>
                <w:color w:val="auto"/>
              </w:rPr>
            </w:pPr>
          </w:p>
        </w:tc>
        <w:tc>
          <w:tcPr>
            <w:tcW w:w="4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310 Utah Avenue, Suite 150</w:t>
            </w:r>
          </w:p>
        </w:tc>
        <w:tc>
          <w:tcPr>
            <w:tcW w:w="1940" w:type="dxa"/>
            <w:vAlign w:val="bottom"/>
          </w:tcPr>
          <w:p>
            <w:pPr>
              <w:spacing w:after="0"/>
              <w:rPr>
                <w:sz w:val="24"/>
                <w:szCs w:val="24"/>
                <w:color w:val="auto"/>
              </w:rPr>
            </w:pPr>
          </w:p>
        </w:tc>
      </w:tr>
      <w:tr>
        <w:trPr>
          <w:trHeight w:val="170"/>
        </w:trPr>
        <w:tc>
          <w:tcPr>
            <w:tcW w:w="2240" w:type="dxa"/>
            <w:vAlign w:val="bottom"/>
          </w:tcPr>
          <w:p>
            <w:pPr>
              <w:spacing w:after="0"/>
              <w:rPr>
                <w:sz w:val="14"/>
                <w:szCs w:val="14"/>
                <w:color w:val="auto"/>
              </w:rPr>
            </w:pPr>
          </w:p>
        </w:tc>
        <w:tc>
          <w:tcPr>
            <w:tcW w:w="408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South San Francisco, CA 94080</w:t>
            </w:r>
          </w:p>
        </w:tc>
        <w:tc>
          <w:tcPr>
            <w:tcW w:w="1940" w:type="dxa"/>
            <w:vAlign w:val="bottom"/>
          </w:tcPr>
          <w:p>
            <w:pPr>
              <w:spacing w:after="0"/>
              <w:rPr>
                <w:sz w:val="14"/>
                <w:szCs w:val="14"/>
                <w:color w:val="auto"/>
              </w:rPr>
            </w:pPr>
          </w:p>
        </w:tc>
      </w:tr>
      <w:tr>
        <w:trPr>
          <w:trHeight w:val="186"/>
        </w:trPr>
        <w:tc>
          <w:tcPr>
            <w:tcW w:w="2240" w:type="dxa"/>
            <w:vAlign w:val="bottom"/>
          </w:tcPr>
          <w:p>
            <w:pPr>
              <w:spacing w:after="0"/>
              <w:rPr>
                <w:sz w:val="16"/>
                <w:szCs w:val="16"/>
                <w:color w:val="auto"/>
              </w:rPr>
            </w:pPr>
          </w:p>
        </w:tc>
        <w:tc>
          <w:tcPr>
            <w:tcW w:w="408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(650) 550-3500</w:t>
            </w:r>
          </w:p>
        </w:tc>
        <w:tc>
          <w:tcPr>
            <w:tcW w:w="1940" w:type="dxa"/>
            <w:vAlign w:val="bottom"/>
          </w:tcPr>
          <w:p>
            <w:pPr>
              <w:spacing w:after="0"/>
              <w:rPr>
                <w:sz w:val="16"/>
                <w:szCs w:val="16"/>
                <w:color w:val="auto"/>
              </w:rPr>
            </w:pPr>
          </w:p>
        </w:tc>
      </w:tr>
    </w:tbl>
    <w:p>
      <w:pPr>
        <w:spacing w:after="0" w:line="1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Steven Lo</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310 Utah Avenue, Suite 150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South San Francisco, CA 94080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(650) 550-3500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6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Faith L. Charles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Thompson Hine LLP</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300 Madison Avenue, 27th Floor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(212) 908-3905</w:t>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As soon as practicable after the effective date of this registration statement.</w:t>
      </w:r>
    </w:p>
    <w:p>
      <w:pPr>
        <w:spacing w:after="0" w:line="133" w:lineRule="exact"/>
        <w:rPr>
          <w:sz w:val="24"/>
          <w:szCs w:val="24"/>
          <w:color w:val="auto"/>
        </w:rPr>
      </w:pPr>
    </w:p>
    <w:p>
      <w:pPr>
        <w:ind w:left="28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209" w:lineRule="exact"/>
        <w:rPr>
          <w:sz w:val="24"/>
          <w:szCs w:val="24"/>
          <w:color w:val="auto"/>
        </w:rPr>
      </w:pPr>
    </w:p>
    <w:p>
      <w:pPr>
        <w:ind w:right="540" w:firstLine="283"/>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right="160" w:firstLine="283"/>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right="200" w:firstLine="283"/>
        <w:spacing w:after="0" w:line="188"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35" w:lineRule="exact"/>
        <w:rPr>
          <w:sz w:val="24"/>
          <w:szCs w:val="24"/>
          <w:color w:val="auto"/>
        </w:rPr>
      </w:pPr>
    </w:p>
    <w:p>
      <w:pPr>
        <w:ind w:right="460" w:firstLine="283"/>
        <w:spacing w:after="0" w:line="28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96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Accelerated filer</w:t>
            </w:r>
          </w:p>
        </w:tc>
        <w:tc>
          <w:tcPr>
            <w:tcW w:w="214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0"/>
        </w:trPr>
        <w:tc>
          <w:tcPr>
            <w:tcW w:w="2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960" w:type="dxa"/>
            <w:vAlign w:val="bottom"/>
          </w:tcPr>
          <w:p>
            <w:pPr>
              <w:ind w:left="1620"/>
              <w:spacing w:after="0" w:line="141" w:lineRule="exact"/>
              <w:rPr>
                <w:sz w:val="20"/>
                <w:szCs w:val="20"/>
                <w:color w:val="auto"/>
              </w:rPr>
            </w:pPr>
            <w:r>
              <w:rPr>
                <w:rFonts w:ascii="MS PGothic" w:cs="MS PGothic" w:eastAsia="MS PGothic" w:hAnsi="MS PGothic"/>
                <w:sz w:val="14"/>
                <w:szCs w:val="14"/>
                <w:color w:val="auto"/>
              </w:rPr>
              <w:t>☐</w:t>
            </w:r>
          </w:p>
        </w:tc>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14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9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2140" w:type="dxa"/>
            <w:vAlign w:val="bottom"/>
          </w:tcPr>
          <w:p>
            <w:pPr>
              <w:ind w:left="20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30" w:lineRule="exact"/>
        <w:rPr>
          <w:sz w:val="24"/>
          <w:szCs w:val="24"/>
          <w:color w:val="auto"/>
        </w:rPr>
      </w:pPr>
    </w:p>
    <w:p>
      <w:pPr>
        <w:ind w:right="560" w:firstLine="283"/>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133" w:lineRule="exact"/>
        <w:rPr>
          <w:sz w:val="24"/>
          <w:szCs w:val="24"/>
          <w:color w:val="auto"/>
        </w:rPr>
      </w:pPr>
    </w:p>
    <w:p>
      <w:pPr>
        <w:ind w:right="220" w:firstLine="283"/>
        <w:spacing w:after="0" w:line="26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272415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320"/>
          </w:cols>
          <w:pgMar w:left="300" w:top="400" w:right="2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color w:val="FF0000"/>
        </w:rPr>
        <w:t>THE INFORMATION IN THIS PROSPECTUS IS NOT COMPLETE AND MAY BE CHANGED. THE SELLING STOCKHOLDER MAY NOT RESELL THESE SECURITIES UNTIL THE REGISTRATION STATEMENT FILED WITH THE SECURITIES AND EXCHANGE COMMISSION IS DECLARED EFFECTIVE. THIS PROSPECTUS IS NOT AN OFFER TO SELL THESE SECURITIES AND IS NOT SOLICITING AN OFFER TO BUY THESE SECURITIES IN ANY STATE WHERE THE OFFER OR SALE IS NOT PERMITTED.</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FF0000"/>
        </w:rPr>
        <w:t>PRELIMINARY PROSPECTUS</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FF0000"/>
        </w:rPr>
        <w:t>SUBJECT TO COMPLETION DATED May 7, 2026</w:t>
      </w:r>
    </w:p>
    <w:p>
      <w:pPr>
        <w:spacing w:after="0" w:line="1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32,914,599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123825</wp:posOffset>
            </wp:positionV>
            <wp:extent cx="2026285" cy="4978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6285" cy="497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Vaxart, Inc.</w:t>
      </w:r>
    </w:p>
    <w:p>
      <w:pPr>
        <w:spacing w:after="0" w:line="185" w:lineRule="exact"/>
        <w:rPr>
          <w:sz w:val="20"/>
          <w:szCs w:val="20"/>
          <w:color w:val="auto"/>
        </w:rPr>
      </w:pPr>
    </w:p>
    <w:p>
      <w:pPr>
        <w:jc w:val="both"/>
        <w:ind w:firstLine="254"/>
        <w:spacing w:after="0" w:line="286" w:lineRule="auto"/>
        <w:rPr>
          <w:sz w:val="20"/>
          <w:szCs w:val="20"/>
          <w:color w:val="auto"/>
        </w:rPr>
      </w:pPr>
      <w:r>
        <w:rPr>
          <w:rFonts w:ascii="Times New Roman" w:cs="Times New Roman" w:eastAsia="Times New Roman" w:hAnsi="Times New Roman"/>
          <w:sz w:val="14"/>
          <w:szCs w:val="14"/>
          <w:color w:val="auto"/>
        </w:rPr>
        <w:t>This prospectus relates to the offer and resale of up to 32,914,599 shares of our common stock by Lincoln Park Capital Fund, LLC, which we refer to in this prospectus as “Lincoln Park” or the “selling stockholder.”</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shares of common stock being offered by the selling stockholder consist of:</w:t>
      </w:r>
    </w:p>
    <w:p>
      <w:pPr>
        <w:spacing w:after="0" w:line="178" w:lineRule="exact"/>
        <w:rPr>
          <w:sz w:val="20"/>
          <w:szCs w:val="20"/>
          <w:color w:val="auto"/>
        </w:rPr>
      </w:pPr>
    </w:p>
    <w:p>
      <w:pPr>
        <w:jc w:val="both"/>
        <w:ind w:firstLine="259"/>
        <w:spacing w:after="0" w:line="269" w:lineRule="auto"/>
        <w:tabs>
          <w:tab w:leader="none" w:pos="75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 to 32,467,532 shares of common stock that we may elect to issue and sell to Lincoln Park, in our sole discretion from time to time after the date of this prospectus (the “Purchase Shares”), pursuant to a purchase agreement, dated as of April 16, 2026, that we entered into with Lincoln Park, which we refer to in this prospectus as the “Purchase Agreement”, providing for up to $25 million of committed equity financing; and</w:t>
      </w:r>
    </w:p>
    <w:p>
      <w:pPr>
        <w:spacing w:after="0" w:line="137" w:lineRule="exact"/>
        <w:rPr>
          <w:rFonts w:ascii="Times New Roman" w:cs="Times New Roman" w:eastAsia="Times New Roman" w:hAnsi="Times New Roman"/>
          <w:sz w:val="14"/>
          <w:szCs w:val="14"/>
          <w:color w:val="auto"/>
        </w:rPr>
      </w:pPr>
    </w:p>
    <w:p>
      <w:pPr>
        <w:ind w:firstLine="259"/>
        <w:spacing w:after="0" w:line="286" w:lineRule="auto"/>
        <w:tabs>
          <w:tab w:leader="none" w:pos="749"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447,067 shares of our common stock that we issued to Lincoln Park on April 16, 2026 as consideration for its irrevocable commitment to purchase our common stock pursuant to the Purchase Agreement (the “Commitment Shares”).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See “The Lincoln Park Transaction” for descriptions of the Purchase Agreement and “Selling Stockholder” for additional information regarding Lincoln Park.</w:t>
      </w:r>
    </w:p>
    <w:p>
      <w:pPr>
        <w:spacing w:after="0" w:line="178"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We are not selling any securities under this prospectus and will not receive any of the proceeds from the resale by the selling stockholder of shares of common stock under this prospectus. However, we may receive proceeds of up to $25 million from our sale of Purchase Shares, if any, to Lincoln Park under the Purchase Agreement, from time to time in our discretion after the date the registration statement of which this prospectus is a part is declared effective and the other conditions in the Purchase Agreement have been satisfied.</w:t>
      </w:r>
    </w:p>
    <w:p>
      <w:pPr>
        <w:spacing w:after="0" w:line="137"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Lincoln Park may sell the shares of our common stock described in this prospectus in a number of different ways and at varying prices. The price that Lincoln Park will pay for the shares to be resold pursuant to this prospectus will depend upon the timing of sales and will fluctuate based on the trading price of our common stock. Lincoln Park is an “underwriter” within the meaning of Section 2(a)(11) of the Securities Act of 1933, as amended (the “Securities Act”).</w:t>
      </w:r>
    </w:p>
    <w:p>
      <w:pPr>
        <w:spacing w:after="0" w:line="137"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 xml:space="preserve">The purchase price for the Purchase Shares will be based upon formulas set forth in the Purchase Agreement and described in this prospectus depending on the type of purchase notice we submit to Lincoln Park from time to time. We will pay the expenses incurred in registering the shares of our common stock, including legal and accounting fees. See “Plan of Distribution” beginning on page </w:t>
      </w:r>
      <w:r>
        <w:rPr>
          <w:rFonts w:ascii="Times New Roman" w:cs="Times New Roman" w:eastAsia="Times New Roman" w:hAnsi="Times New Roman"/>
          <w:sz w:val="14"/>
          <w:szCs w:val="14"/>
          <w:u w:val="single" w:color="auto"/>
          <w:color w:val="0000EE"/>
        </w:rPr>
        <w:t>130</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for more information about how Lincoln Park may sell the shares of common stock being registered pursuant to this prospectus.</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quoted on the OTCQX® Best Market (the “OTC”) under the symbol “VXRT.” On May 7, 2026, the closing price per share of our common stock on the OTC was $0.74.</w:t>
      </w:r>
    </w:p>
    <w:p>
      <w:pPr>
        <w:spacing w:after="0" w:line="176" w:lineRule="exact"/>
        <w:rPr>
          <w:sz w:val="20"/>
          <w:szCs w:val="20"/>
          <w:color w:val="auto"/>
        </w:rPr>
      </w:pPr>
    </w:p>
    <w:p>
      <w:pPr>
        <w:ind w:right="80" w:firstLine="283"/>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Investing in our common stock is highly speculative and involves a significant degree of risk. Please consider carefully the specific factors set forth under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beginning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 and in our filings with the Securities and Exchange Commission.</w:t>
      </w:r>
    </w:p>
    <w:p>
      <w:pPr>
        <w:spacing w:after="0" w:line="121" w:lineRule="exact"/>
        <w:rPr>
          <w:sz w:val="20"/>
          <w:szCs w:val="20"/>
          <w:color w:val="auto"/>
        </w:rPr>
      </w:pPr>
    </w:p>
    <w:p>
      <w:pPr>
        <w:ind w:right="200" w:firstLine="283"/>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720" w:type="dxa"/>
            <w:vAlign w:val="bottom"/>
            <w:gridSpan w:val="21"/>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1"/>
        </w:trPr>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76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8960" w:type="dxa"/>
            <w:vAlign w:val="bottom"/>
            <w:gridSpan w:val="11"/>
            <w:vMerge w:val="restart"/>
          </w:tcPr>
          <w:p>
            <w:pPr>
              <w:spacing w:after="0"/>
              <w:rPr>
                <w:sz w:val="24"/>
                <w:szCs w:val="24"/>
                <w:color w:val="auto"/>
              </w:rPr>
            </w:pPr>
          </w:p>
        </w:tc>
        <w:tc>
          <w:tcPr>
            <w:tcW w:w="5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29"/>
        </w:trPr>
        <w:tc>
          <w:tcPr>
            <w:tcW w:w="1760" w:type="dxa"/>
            <w:vAlign w:val="bottom"/>
            <w:tcBorders>
              <w:bottom w:val="single" w:sz="8" w:color="0000EE"/>
            </w:tcBorders>
            <w:gridSpan w:val="10"/>
            <w:vMerge w:val="continue"/>
          </w:tcPr>
          <w:p>
            <w:pPr>
              <w:spacing w:after="0"/>
              <w:rPr>
                <w:sz w:val="11"/>
                <w:szCs w:val="11"/>
                <w:color w:val="auto"/>
              </w:rPr>
            </w:pPr>
          </w:p>
        </w:tc>
        <w:tc>
          <w:tcPr>
            <w:tcW w:w="8960" w:type="dxa"/>
            <w:vAlign w:val="bottom"/>
            <w:gridSpan w:val="11"/>
            <w:vMerge w:val="continue"/>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0000EE"/>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1</w:t>
            </w:r>
          </w:p>
        </w:tc>
        <w:tc>
          <w:tcPr>
            <w:tcW w:w="24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PROSPECTUS SUMMARY</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5"/>
          </w:tcPr>
          <w:p>
            <w:pPr>
              <w:jc w:val="center"/>
              <w:ind w:right="220"/>
              <w:spacing w:after="0" w:line="15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2</w:t>
            </w:r>
          </w:p>
        </w:tc>
        <w:tc>
          <w:tcPr>
            <w:tcW w:w="0" w:type="dxa"/>
            <w:vAlign w:val="bottom"/>
          </w:tcPr>
          <w:p>
            <w:pPr>
              <w:spacing w:after="0"/>
              <w:rPr>
                <w:sz w:val="1"/>
                <w:szCs w:val="1"/>
                <w:color w:val="auto"/>
              </w:rPr>
            </w:pPr>
          </w:p>
        </w:tc>
      </w:tr>
      <w:tr>
        <w:trPr>
          <w:trHeight w:val="150"/>
        </w:trPr>
        <w:tc>
          <w:tcPr>
            <w:tcW w:w="1640" w:type="dxa"/>
            <w:vAlign w:val="bottom"/>
            <w:tcBorders>
              <w:top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THE OFFERING</w:t>
            </w:r>
          </w:p>
        </w:tc>
        <w:tc>
          <w:tcPr>
            <w:tcW w:w="9080" w:type="dxa"/>
            <w:vAlign w:val="bottom"/>
            <w:gridSpan w:val="13"/>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EE"/>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3</w:t>
            </w: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tcBorders>
              <w:top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9"/>
              </w:rPr>
              <w:t>RISK FACTORS</w:t>
            </w:r>
          </w:p>
        </w:tc>
        <w:tc>
          <w:tcPr>
            <w:tcW w:w="9720" w:type="dxa"/>
            <w:vAlign w:val="bottom"/>
            <w:gridSpan w:val="18"/>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EE"/>
            </w:tcBorders>
          </w:tcPr>
          <w:p>
            <w:pPr>
              <w:jc w:val="center"/>
              <w:spacing w:after="0" w:line="15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4</w:t>
            </w: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0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w w:val="99"/>
              </w:rPr>
              <w:t>SPECIAL NOTE REGARDING FORWARD-LOOKING STATEMENTS</w:t>
            </w:r>
          </w:p>
        </w:tc>
        <w:tc>
          <w:tcPr>
            <w:tcW w:w="652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0000EE"/>
            </w:tcBorders>
            <w:gridSpan w:val="3"/>
          </w:tcPr>
          <w:p>
            <w:pPr>
              <w:jc w:val="center"/>
              <w:spacing w:after="0" w:line="150"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color w:val="0000EE"/>
                <w:w w:val="99"/>
              </w:rPr>
              <w:t>59</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OUR AGREEMENTS WITH LINCOLN PARK</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5"/>
          </w:tcPr>
          <w:p>
            <w:pPr>
              <w:jc w:val="center"/>
              <w:ind w:right="200"/>
              <w:spacing w:after="0" w:line="150"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color w:val="0000EE"/>
                <w:w w:val="99"/>
              </w:rPr>
              <w:t>60</w:t>
            </w:r>
          </w:p>
        </w:tc>
        <w:tc>
          <w:tcPr>
            <w:tcW w:w="0" w:type="dxa"/>
            <w:vAlign w:val="bottom"/>
          </w:tcPr>
          <w:p>
            <w:pPr>
              <w:spacing w:after="0"/>
              <w:rPr>
                <w:sz w:val="1"/>
                <w:szCs w:val="1"/>
                <w:color w:val="auto"/>
              </w:rPr>
            </w:pPr>
          </w:p>
        </w:tc>
      </w:tr>
      <w:tr>
        <w:trPr>
          <w:trHeight w:val="150"/>
        </w:trPr>
        <w:tc>
          <w:tcPr>
            <w:tcW w:w="2740" w:type="dxa"/>
            <w:vAlign w:val="bottom"/>
            <w:tcBorders>
              <w:top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7980" w:type="dxa"/>
            <w:vAlign w:val="bottom"/>
            <w:gridSpan w:val="8"/>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0000EE"/>
            </w:tcBorders>
            <w:gridSpan w:val="3"/>
          </w:tcPr>
          <w:p>
            <w:pPr>
              <w:jc w:val="center"/>
              <w:spacing w:after="0" w:line="150"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color w:val="0000EE"/>
                <w:w w:val="99"/>
              </w:rPr>
              <w:t>66</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MARKET FOR COMMON STOCK AND DIVIDEND POLICY</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5"/>
          </w:tcPr>
          <w:p>
            <w:pPr>
              <w:jc w:val="center"/>
              <w:ind w:right="200"/>
              <w:spacing w:after="0" w:line="150" w:lineRule="exact"/>
              <w:rPr>
                <w:sz w:val="20"/>
                <w:szCs w:val="20"/>
                <w:color w:val="auto"/>
              </w:rPr>
            </w:pPr>
            <w:r>
              <w:rPr>
                <w:rFonts w:ascii="Times New Roman" w:cs="Times New Roman" w:eastAsia="Times New Roman" w:hAnsi="Times New Roman"/>
                <w:sz w:val="14"/>
                <w:szCs w:val="14"/>
                <w:color w:val="auto"/>
                <w:w w:val="99"/>
              </w:rPr>
              <w:t>​</w:t>
            </w:r>
            <w:r>
              <w:rPr>
                <w:rFonts w:ascii="Times New Roman" w:cs="Times New Roman" w:eastAsia="Times New Roman" w:hAnsi="Times New Roman"/>
                <w:sz w:val="14"/>
                <w:szCs w:val="14"/>
                <w:color w:val="0000EE"/>
                <w:w w:val="99"/>
              </w:rPr>
              <w:t>67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DESCRIPTION OF BUSINESS</w:t>
            </w:r>
          </w:p>
        </w:tc>
        <w:tc>
          <w:tcPr>
            <w:tcW w:w="7080" w:type="dxa"/>
            <w:vAlign w:val="bottom"/>
            <w:gridSpan w:val="5"/>
          </w:tcPr>
          <w:p>
            <w:pPr>
              <w:spacing w:after="0"/>
              <w:rPr>
                <w:sz w:val="13"/>
                <w:szCs w:val="13"/>
                <w:color w:val="auto"/>
              </w:rPr>
            </w:pPr>
          </w:p>
        </w:tc>
        <w:tc>
          <w:tcPr>
            <w:tcW w:w="360" w:type="dxa"/>
            <w:vAlign w:val="bottom"/>
            <w:gridSpan w:val="5"/>
          </w:tcPr>
          <w:p>
            <w:pPr>
              <w:jc w:val="center"/>
              <w:ind w:left="149"/>
              <w:spacing w:after="0" w:line="150" w:lineRule="exact"/>
              <w:rPr>
                <w:sz w:val="20"/>
                <w:szCs w:val="20"/>
                <w:color w:val="auto"/>
              </w:rPr>
            </w:pPr>
            <w:r>
              <w:rPr>
                <w:rFonts w:ascii="Times New Roman" w:cs="Times New Roman" w:eastAsia="Times New Roman" w:hAnsi="Times New Roman"/>
                <w:sz w:val="14"/>
                <w:szCs w:val="14"/>
                <w:color w:val="0000EE"/>
                <w:w w:val="99"/>
              </w:rPr>
              <w:t>68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MANAGEMENT’S DISCUSSION AND ANALYSIS OF FINANCIAL CONDITION AND RESULTS OF OPERATIONS</w:t>
            </w:r>
          </w:p>
        </w:tc>
        <w:tc>
          <w:tcPr>
            <w:tcW w:w="360" w:type="dxa"/>
            <w:vAlign w:val="bottom"/>
            <w:gridSpan w:val="5"/>
          </w:tcPr>
          <w:p>
            <w:pPr>
              <w:jc w:val="center"/>
              <w:ind w:left="149"/>
              <w:spacing w:after="0" w:line="150" w:lineRule="exact"/>
              <w:rPr>
                <w:sz w:val="20"/>
                <w:szCs w:val="20"/>
                <w:color w:val="auto"/>
              </w:rPr>
            </w:pPr>
            <w:r>
              <w:rPr>
                <w:rFonts w:ascii="Times New Roman" w:cs="Times New Roman" w:eastAsia="Times New Roman" w:hAnsi="Times New Roman"/>
                <w:sz w:val="14"/>
                <w:szCs w:val="14"/>
                <w:color w:val="0000EE"/>
                <w:w w:val="99"/>
              </w:rPr>
              <w:t>92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00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MANAGEMENT</w:t>
            </w:r>
          </w:p>
        </w:tc>
        <w:tc>
          <w:tcPr>
            <w:tcW w:w="3720" w:type="dxa"/>
            <w:vAlign w:val="bottom"/>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0000EE"/>
                <w:w w:val="95"/>
              </w:rPr>
              <w:t>108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EXECUTIVE COMPENSATION</w:t>
            </w:r>
          </w:p>
        </w:tc>
        <w:tc>
          <w:tcPr>
            <w:tcW w:w="380" w:type="dxa"/>
            <w:vAlign w:val="bottom"/>
            <w:gridSpan w:val="6"/>
          </w:tcPr>
          <w:p>
            <w:pPr>
              <w:jc w:val="center"/>
              <w:ind w:left="109"/>
              <w:spacing w:after="0" w:line="150" w:lineRule="exact"/>
              <w:rPr>
                <w:sz w:val="20"/>
                <w:szCs w:val="20"/>
                <w:color w:val="auto"/>
              </w:rPr>
            </w:pPr>
            <w:r>
              <w:rPr>
                <w:rFonts w:ascii="Times New Roman" w:cs="Times New Roman" w:eastAsia="Times New Roman" w:hAnsi="Times New Roman"/>
                <w:sz w:val="14"/>
                <w:szCs w:val="14"/>
                <w:color w:val="0000EE"/>
                <w:w w:val="95"/>
              </w:rPr>
              <w:t>118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SECURITY OWNERSHIP OF CERTAIN BENEFICIAL OWNERS AND MANAGEMENT</w:t>
            </w: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0000EE"/>
                <w:w w:val="95"/>
              </w:rPr>
              <w:t>125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280" w:type="dxa"/>
            <w:vAlign w:val="bottom"/>
            <w:gridSpan w:val="19"/>
          </w:tcPr>
          <w:p>
            <w:pPr>
              <w:spacing w:after="0" w:line="150" w:lineRule="exact"/>
              <w:rPr>
                <w:sz w:val="20"/>
                <w:szCs w:val="20"/>
                <w:color w:val="auto"/>
              </w:rPr>
            </w:pPr>
            <w:r>
              <w:rPr>
                <w:rFonts w:ascii="Times New Roman" w:cs="Times New Roman" w:eastAsia="Times New Roman" w:hAnsi="Times New Roman"/>
                <w:sz w:val="14"/>
                <w:szCs w:val="14"/>
                <w:color w:val="0000EE"/>
              </w:rPr>
              <w:t>CERTAIN RELATIONSHIP AND RELATED PARTY TRANSACTIONS</w:t>
            </w:r>
          </w:p>
        </w:tc>
        <w:tc>
          <w:tcPr>
            <w:tcW w:w="5440" w:type="dxa"/>
            <w:vAlign w:val="bottom"/>
            <w:gridSpan w:val="2"/>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0000EE"/>
                <w:w w:val="95"/>
              </w:rPr>
              <w:t>127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220" w:type="dxa"/>
            <w:vAlign w:val="bottom"/>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SELLING STOCKHOLDER</w:t>
            </w:r>
          </w:p>
        </w:tc>
        <w:tc>
          <w:tcPr>
            <w:tcW w:w="6500" w:type="dxa"/>
            <w:vAlign w:val="bottom"/>
            <w:gridSpan w:val="3"/>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4"/>
                <w:szCs w:val="14"/>
                <w:color w:val="0000EE"/>
                <w:w w:val="94"/>
              </w:rPr>
              <w:t>128</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62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40" w:type="dxa"/>
            <w:vAlign w:val="bottom"/>
            <w:gridSpan w:val="2"/>
          </w:tcPr>
          <w:p>
            <w:pPr>
              <w:spacing w:after="0"/>
              <w:rPr>
                <w:sz w:val="13"/>
                <w:szCs w:val="13"/>
                <w:color w:val="auto"/>
              </w:rPr>
            </w:pPr>
          </w:p>
        </w:tc>
        <w:tc>
          <w:tcPr>
            <w:tcW w:w="9060" w:type="dxa"/>
            <w:vAlign w:val="bottom"/>
            <w:gridSpan w:val="12"/>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4"/>
                <w:szCs w:val="14"/>
                <w:color w:val="0000EE"/>
                <w:w w:val="94"/>
              </w:rPr>
              <w:t>130</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DESCRIPTION OF OUR SECURITIES TO BE REGISTERED</w:t>
            </w: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4"/>
                <w:szCs w:val="14"/>
                <w:color w:val="0000EE"/>
                <w:w w:val="94"/>
              </w:rPr>
              <w:t>132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860" w:type="dxa"/>
            <w:vAlign w:val="bottom"/>
            <w:gridSpan w:val="9"/>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80" w:type="dxa"/>
            <w:vAlign w:val="bottom"/>
            <w:gridSpan w:val="5"/>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40" w:type="dxa"/>
            <w:vAlign w:val="bottom"/>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7080" w:type="dxa"/>
            <w:vAlign w:val="bottom"/>
            <w:gridSpan w:val="5"/>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4"/>
                <w:szCs w:val="14"/>
                <w:color w:val="0000EE"/>
                <w:w w:val="94"/>
              </w:rPr>
              <w:t>133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86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40" w:type="dxa"/>
            <w:vAlign w:val="bottom"/>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9580" w:type="dxa"/>
            <w:vAlign w:val="bottom"/>
            <w:gridSpan w:val="16"/>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4"/>
                <w:szCs w:val="14"/>
                <w:color w:val="0000EE"/>
                <w:w w:val="94"/>
              </w:rPr>
              <w:t>133</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gridSpan w:val="14"/>
          </w:tcPr>
          <w:p>
            <w:pPr>
              <w:spacing w:after="0" w:line="150"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7720" w:type="dxa"/>
            <w:vAlign w:val="bottom"/>
            <w:gridSpan w:val="7"/>
          </w:tcPr>
          <w:p>
            <w:pPr>
              <w:spacing w:after="0"/>
              <w:rPr>
                <w:sz w:val="13"/>
                <w:szCs w:val="13"/>
                <w:color w:val="auto"/>
              </w:rPr>
            </w:pPr>
          </w:p>
        </w:tc>
        <w:tc>
          <w:tcPr>
            <w:tcW w:w="560" w:type="dxa"/>
            <w:vAlign w:val="bottom"/>
            <w:gridSpan w:val="7"/>
          </w:tcPr>
          <w:p>
            <w:pPr>
              <w:jc w:val="center"/>
              <w:spacing w:after="0" w:line="150"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4"/>
                <w:szCs w:val="14"/>
                <w:color w:val="0000EE"/>
                <w:w w:val="94"/>
              </w:rPr>
              <w:t>133</w:t>
            </w:r>
          </w:p>
        </w:tc>
        <w:tc>
          <w:tcPr>
            <w:tcW w:w="0" w:type="dxa"/>
            <w:vAlign w:val="bottom"/>
          </w:tcPr>
          <w:p>
            <w:pPr>
              <w:spacing w:after="0"/>
              <w:rPr>
                <w:sz w:val="1"/>
                <w:szCs w:val="1"/>
                <w:color w:val="auto"/>
              </w:rPr>
            </w:pPr>
          </w:p>
        </w:tc>
      </w:tr>
      <w:tr>
        <w:trPr>
          <w:trHeight w:val="20"/>
        </w:trPr>
        <w:tc>
          <w:tcPr>
            <w:tcW w:w="3000" w:type="dxa"/>
            <w:vAlign w:val="bottom"/>
            <w:gridSpan w:val="1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20" w:type="dxa"/>
            <w:vAlign w:val="bottom"/>
            <w:gridSpan w:val="6"/>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072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INDEX TO CONSOLIDATED FINANCIAL STATEMENTS</w:t>
            </w:r>
          </w:p>
        </w:tc>
        <w:tc>
          <w:tcPr>
            <w:tcW w:w="200" w:type="dxa"/>
            <w:vAlign w:val="bottom"/>
          </w:tcPr>
          <w:p>
            <w:pPr>
              <w:spacing w:after="0"/>
              <w:rPr>
                <w:sz w:val="13"/>
                <w:szCs w:val="13"/>
                <w:color w:val="auto"/>
              </w:rPr>
            </w:pPr>
          </w:p>
        </w:tc>
        <w:tc>
          <w:tcPr>
            <w:tcW w:w="360" w:type="dxa"/>
            <w:vAlign w:val="bottom"/>
            <w:gridSpan w:val="6"/>
          </w:tcPr>
          <w:p>
            <w:pPr>
              <w:jc w:val="center"/>
              <w:ind w:right="180"/>
              <w:spacing w:after="0" w:line="150" w:lineRule="exact"/>
              <w:rPr>
                <w:sz w:val="20"/>
                <w:szCs w:val="20"/>
                <w:color w:val="auto"/>
              </w:rPr>
            </w:pPr>
            <w:r>
              <w:rPr>
                <w:rFonts w:ascii="Times New Roman" w:cs="Times New Roman" w:eastAsia="Times New Roman" w:hAnsi="Times New Roman"/>
                <w:sz w:val="14"/>
                <w:szCs w:val="14"/>
                <w:color w:val="auto"/>
                <w:w w:val="92"/>
              </w:rPr>
              <w:t>​</w:t>
            </w:r>
            <w:r>
              <w:rPr>
                <w:rFonts w:ascii="Times New Roman" w:cs="Times New Roman" w:eastAsia="Times New Roman" w:hAnsi="Times New Roman"/>
                <w:sz w:val="14"/>
                <w:szCs w:val="14"/>
                <w:color w:val="0000EE"/>
                <w:w w:val="92"/>
              </w:rPr>
              <w:t>F-1</w:t>
            </w:r>
          </w:p>
        </w:tc>
        <w:tc>
          <w:tcPr>
            <w:tcW w:w="0" w:type="dxa"/>
            <w:vAlign w:val="bottom"/>
          </w:tcPr>
          <w:p>
            <w:pPr>
              <w:spacing w:after="0"/>
              <w:rPr>
                <w:sz w:val="1"/>
                <w:szCs w:val="1"/>
                <w:color w:val="auto"/>
              </w:rPr>
            </w:pPr>
          </w:p>
        </w:tc>
      </w:tr>
      <w:tr>
        <w:trPr>
          <w:trHeight w:val="458"/>
        </w:trPr>
        <w:tc>
          <w:tcPr>
            <w:tcW w:w="6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ind w:right="40" w:firstLine="283"/>
        <w:spacing w:after="0" w:line="261" w:lineRule="auto"/>
        <w:rPr>
          <w:sz w:val="20"/>
          <w:szCs w:val="20"/>
          <w:color w:val="auto"/>
        </w:rPr>
      </w:pPr>
      <w:r>
        <w:rPr>
          <w:rFonts w:ascii="Times New Roman" w:cs="Times New Roman" w:eastAsia="Times New Roman" w:hAnsi="Times New Roman"/>
          <w:sz w:val="14"/>
          <w:szCs w:val="14"/>
          <w:color w:val="auto"/>
        </w:rPr>
        <w:t>The registration statement we filed with the Securities and Exchange Commission (the “SEC”) includes exhibits that provide more detail of the matters discussed in this prospectus. You should read this prospectus, the related exhibits filed with the SEC. You should rely only on the information provided in this prospectus or any amendment thereto. In addition,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42" w:lineRule="exact"/>
        <w:rPr>
          <w:sz w:val="20"/>
          <w:szCs w:val="20"/>
          <w:color w:val="auto"/>
        </w:rPr>
      </w:pPr>
    </w:p>
    <w:p>
      <w:pPr>
        <w:ind w:right="100" w:firstLine="283"/>
        <w:spacing w:after="0" w:line="269" w:lineRule="auto"/>
        <w:rPr>
          <w:sz w:val="20"/>
          <w:szCs w:val="20"/>
          <w:color w:val="auto"/>
        </w:rPr>
      </w:pPr>
      <w:r>
        <w:rPr>
          <w:rFonts w:ascii="Times New Roman" w:cs="Times New Roman" w:eastAsia="Times New Roman" w:hAnsi="Times New Roman"/>
          <w:sz w:val="14"/>
          <w:szCs w:val="14"/>
          <w:color w:val="auto"/>
        </w:rPr>
        <w:t>The selling stockholder named in this prospectus may sell up to 32,467,532 shares of our common stock previously issued and issuable pursuant to the Purchase Agreement from time to time. This prospectus also covers any shares of common stock that may become issuable as a result of share splits, share dividends, or similar transactions. We have agreed to pay the expenses incurred in registering these shares, including legal and accounting fees.</w:t>
      </w:r>
    </w:p>
    <w:p>
      <w:pPr>
        <w:spacing w:after="0" w:line="137" w:lineRule="exact"/>
        <w:rPr>
          <w:sz w:val="20"/>
          <w:szCs w:val="20"/>
          <w:color w:val="auto"/>
        </w:rPr>
      </w:pPr>
    </w:p>
    <w:p>
      <w:pPr>
        <w:ind w:firstLine="283"/>
        <w:spacing w:after="0" w:line="264" w:lineRule="auto"/>
        <w:rPr>
          <w:sz w:val="20"/>
          <w:szCs w:val="20"/>
          <w:color w:val="auto"/>
        </w:rPr>
      </w:pPr>
      <w:r>
        <w:rPr>
          <w:rFonts w:ascii="Times New Roman" w:cs="Times New Roman" w:eastAsia="Times New Roman" w:hAnsi="Times New Roman"/>
          <w:sz w:val="14"/>
          <w:szCs w:val="14"/>
          <w:color w:val="auto"/>
        </w:rPr>
        <w:t>We have not, and the selling stockholder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40" w:lineRule="exact"/>
        <w:rPr>
          <w:sz w:val="20"/>
          <w:szCs w:val="20"/>
          <w:color w:val="auto"/>
        </w:rPr>
      </w:pPr>
    </w:p>
    <w:p>
      <w:pPr>
        <w:ind w:firstLine="283"/>
        <w:spacing w:after="0" w:line="286" w:lineRule="auto"/>
        <w:rPr>
          <w:sz w:val="20"/>
          <w:szCs w:val="20"/>
          <w:color w:val="auto"/>
        </w:rPr>
      </w:pPr>
      <w:r>
        <w:rPr>
          <w:rFonts w:ascii="Times New Roman" w:cs="Times New Roman" w:eastAsia="Times New Roman" w:hAnsi="Times New Roman"/>
          <w:sz w:val="14"/>
          <w:szCs w:val="14"/>
          <w:color w:val="auto"/>
        </w:rPr>
        <w:t>The selling stockholder is offering to sell, and seeking offers to buy, shares of our common stock only under circumstances and in jurisdictions where it is lawful to do so. The selling stockholder is not making an offer to sell these securities in any state or jurisdiction where the offer or sale is not permitted.</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Unless the context otherwise requires, “Vaxart,” “VXRT,” “the Company,” “we,” “us,” “our” and similar terms refer to Vaxart, Inc.</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8" w:lineRule="exact"/>
        <w:rPr>
          <w:sz w:val="20"/>
          <w:szCs w:val="20"/>
          <w:color w:val="auto"/>
        </w:rPr>
      </w:pPr>
    </w:p>
    <w:p>
      <w:pPr>
        <w:ind w:right="100" w:firstLine="283"/>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is a summary of what we believe to be the most important aspects of our business and the offering of our securities under this prospectus. We urge you to read this entire prospectus, including the more detailed audited and unaudited financial statements, notes to the financial statements and other information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80" w:lineRule="exact"/>
        <w:rPr>
          <w:sz w:val="20"/>
          <w:szCs w:val="20"/>
          <w:color w:val="auto"/>
        </w:rPr>
      </w:pPr>
    </w:p>
    <w:p>
      <w:pPr>
        <w:ind w:firstLine="283"/>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w:t>
      </w:r>
    </w:p>
    <w:p>
      <w:pPr>
        <w:spacing w:after="0" w:line="1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Corporate History and Reorganization</w:t>
      </w:r>
    </w:p>
    <w:p>
      <w:pPr>
        <w:spacing w:after="0" w:line="180" w:lineRule="exact"/>
        <w:rPr>
          <w:sz w:val="20"/>
          <w:szCs w:val="20"/>
          <w:color w:val="auto"/>
        </w:rPr>
      </w:pPr>
    </w:p>
    <w:p>
      <w:pPr>
        <w:ind w:right="260" w:firstLine="283"/>
        <w:spacing w:after="0" w:line="286" w:lineRule="auto"/>
        <w:rPr>
          <w:sz w:val="20"/>
          <w:szCs w:val="20"/>
          <w:color w:val="auto"/>
        </w:rPr>
      </w:pPr>
      <w:r>
        <w:rPr>
          <w:rFonts w:ascii="Times New Roman" w:cs="Times New Roman" w:eastAsia="Times New Roman" w:hAnsi="Times New Roman"/>
          <w:sz w:val="14"/>
          <w:szCs w:val="14"/>
          <w:color w:val="auto"/>
        </w:rPr>
        <w:t>Vaxart Biosciences, Inc. was originally incorporated in California under the name West Coast Biologicals, Inc. in March 2004 and changed its name to Vaxart, Inc. (“Private Vaxart”) in July 2007, when it reincorporated in the state of Delaware.</w:t>
      </w:r>
    </w:p>
    <w:p>
      <w:pPr>
        <w:spacing w:after="0" w:line="125" w:lineRule="exact"/>
        <w:rPr>
          <w:sz w:val="20"/>
          <w:szCs w:val="20"/>
          <w:color w:val="auto"/>
        </w:rPr>
      </w:pPr>
    </w:p>
    <w:p>
      <w:pPr>
        <w:ind w:right="40" w:firstLine="283"/>
        <w:spacing w:after="0" w:line="264" w:lineRule="auto"/>
        <w:rPr>
          <w:sz w:val="20"/>
          <w:szCs w:val="20"/>
          <w:color w:val="auto"/>
        </w:rPr>
      </w:pPr>
      <w:r>
        <w:rPr>
          <w:rFonts w:ascii="Times New Roman" w:cs="Times New Roman" w:eastAsia="Times New Roman" w:hAnsi="Times New Roman"/>
          <w:sz w:val="14"/>
          <w:szCs w:val="14"/>
          <w:color w:val="auto"/>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 Our common stock subsequently began trading on The Nasdaq Capital Market under the symbol “VXRT.” In November 2025, our common stock was delisted from Nasdaq. In July 2025, our common stock began being listed on the on the OTCQX® Best Market under the trading symbol “VXRT.”</w:t>
      </w:r>
    </w:p>
    <w:p>
      <w:pPr>
        <w:spacing w:after="0" w:line="140" w:lineRule="exact"/>
        <w:rPr>
          <w:sz w:val="20"/>
          <w:szCs w:val="20"/>
          <w:color w:val="auto"/>
        </w:rPr>
      </w:pPr>
    </w:p>
    <w:p>
      <w:pPr>
        <w:ind w:right="100" w:firstLine="283"/>
        <w:spacing w:after="0" w:line="269" w:lineRule="auto"/>
        <w:rPr>
          <w:sz w:val="20"/>
          <w:szCs w:val="20"/>
          <w:color w:val="auto"/>
        </w:rPr>
      </w:pPr>
      <w:r>
        <w:rPr>
          <w:rFonts w:ascii="Times New Roman" w:cs="Times New Roman" w:eastAsia="Times New Roman" w:hAnsi="Times New Roman"/>
          <w:sz w:val="14"/>
          <w:szCs w:val="14"/>
          <w:color w:val="auto"/>
        </w:rPr>
        <w:t>Our corporate headquarters and laboratory are located at 310 Utah Avenue, Suite 150, South San Francisco, California 94080, and our telephone number is (650) 550-3500. We maintain a website at https://www.vaxart.com, to which we regularly post copies of our press releases as well as additional information about us. The information contained on, or that can be accessed through, our website is not a part of this prospectus or the accompanying prospectus supplement. We have included our website address in this prospectus solely as an inactive textual reference.</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We are a smaller reporting company as defined in Item 10(f)(1) of Regulation S-K, and we will remain a smaller reporting company until the fiscal year following:</w:t>
      </w:r>
    </w:p>
    <w:p>
      <w:pPr>
        <w:spacing w:after="0" w:line="178" w:lineRule="exact"/>
        <w:rPr>
          <w:sz w:val="20"/>
          <w:szCs w:val="20"/>
          <w:color w:val="auto"/>
        </w:rPr>
      </w:pPr>
    </w:p>
    <w:p>
      <w:pPr>
        <w:ind w:left="120" w:hanging="115"/>
        <w:spacing w:after="0"/>
        <w:tabs>
          <w:tab w:leader="none" w:pos="1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determination that the value of our voting and non-voting common stock held by non-affiliates is more than $250 million measured on the last business day of our second fiscal quarter; or</w:t>
      </w:r>
    </w:p>
    <w:p>
      <w:pPr>
        <w:spacing w:after="0" w:line="178" w:lineRule="exact"/>
        <w:rPr>
          <w:rFonts w:ascii="Times New Roman" w:cs="Times New Roman" w:eastAsia="Times New Roman" w:hAnsi="Times New Roman"/>
          <w:sz w:val="14"/>
          <w:szCs w:val="14"/>
          <w:color w:val="auto"/>
        </w:rPr>
      </w:pPr>
    </w:p>
    <w:p>
      <w:pPr>
        <w:ind w:left="5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440" w:firstLine="5"/>
        <w:spacing w:after="0" w:line="286" w:lineRule="auto"/>
        <w:tabs>
          <w:tab w:leader="none" w:pos="121"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annual revenue is more than $100 million during the most recently completed fiscal year and our voting and non-voting common stock held by non-affiliates is valued over $700 million measured on the last business day of our second fiscal quarter.</w:t>
      </w:r>
    </w:p>
    <w:p>
      <w:pPr>
        <w:spacing w:after="0" w:line="1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Smaller reporting companies are able to provide simplified executive compensation disclosures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4"/>
          <w:szCs w:val="14"/>
          <w:color w:val="auto"/>
        </w:rPr>
        <w:t>Further, as a smaller reporting company, we will not be required to provide an auditor attestation of management’s assessment of internal control over financial reporting, which is generally required for SEC reporting companies under Sarbanes-Oxley Act Section 404(b), and, in contrast to other reporting companies, we’ll have more time to file our annual and periodic reports.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348"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4"/>
          <w:szCs w:val="14"/>
          <w:b w:val="1"/>
          <w:bCs w:val="1"/>
          <w:color w:val="auto"/>
        </w:rPr>
        <w:t>Issuer</w:t>
      </w:r>
      <w:r>
        <w:rPr>
          <w:sz w:val="20"/>
          <w:szCs w:val="20"/>
          <w:color w:val="auto"/>
        </w:rPr>
        <w:tab/>
      </w:r>
      <w:r>
        <w:rPr>
          <w:rFonts w:ascii="Times New Roman" w:cs="Times New Roman" w:eastAsia="Times New Roman" w:hAnsi="Times New Roman"/>
          <w:sz w:val="14"/>
          <w:szCs w:val="14"/>
          <w:color w:val="auto"/>
        </w:rPr>
        <w:t>Vaxart, Inc.</w:t>
      </w:r>
    </w:p>
    <w:p>
      <w:pPr>
        <w:sectPr>
          <w:pgSz w:w="11900" w:h="16838" w:orient="portrait"/>
          <w:cols w:equalWidth="0" w:num="1">
            <w:col w:w="11280"/>
          </w:cols>
          <w:pgMar w:left="300" w:top="125" w:right="319" w:bottom="1440" w:gutter="0" w:footer="0" w:header="0"/>
        </w:sectPr>
      </w:pPr>
    </w:p>
    <w:p>
      <w:pPr>
        <w:spacing w:after="0" w:line="178"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4"/>
          <w:szCs w:val="14"/>
          <w:b w:val="1"/>
          <w:bCs w:val="1"/>
          <w:color w:val="auto"/>
        </w:rPr>
        <w:t>Shares of Common Stock Offered by the Selling Stockholder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b w:val="1"/>
          <w:bCs w:val="1"/>
          <w:color w:val="auto"/>
        </w:rPr>
        <w:t>Number of Shares of Common Stock Outstanding Prior to this Offering</w:t>
      </w:r>
      <w:r>
        <w:rPr>
          <w:rFonts w:ascii="Times New Roman" w:cs="Times New Roman" w:eastAsia="Times New Roman" w:hAnsi="Times New Roman"/>
          <w:sz w:val="23"/>
          <w:szCs w:val="23"/>
          <w:b w:val="1"/>
          <w:bCs w:val="1"/>
          <w:color w:val="auto"/>
          <w:vertAlign w:val="superscript"/>
        </w:rPr>
        <w:t>(1)</w:t>
      </w:r>
    </w:p>
    <w:p>
      <w:pPr>
        <w:ind w:right="20"/>
        <w:spacing w:after="0" w:line="294" w:lineRule="auto"/>
        <w:rPr>
          <w:sz w:val="20"/>
          <w:szCs w:val="20"/>
          <w:color w:val="auto"/>
        </w:rPr>
      </w:pPr>
      <w:r>
        <w:rPr>
          <w:rFonts w:ascii="Times New Roman" w:cs="Times New Roman" w:eastAsia="Times New Roman" w:hAnsi="Times New Roman"/>
          <w:sz w:val="14"/>
          <w:szCs w:val="14"/>
          <w:b w:val="1"/>
          <w:bCs w:val="1"/>
          <w:color w:val="auto"/>
        </w:rPr>
        <w:t>Number of Shares of Common Stock to be Outstanding After this Offering</w:t>
      </w:r>
      <w:r>
        <w:rPr>
          <w:rFonts w:ascii="Times New Roman" w:cs="Times New Roman" w:eastAsia="Times New Roman" w:hAnsi="Times New Roman"/>
          <w:sz w:val="23"/>
          <w:szCs w:val="23"/>
          <w:b w:val="1"/>
          <w:bCs w:val="1"/>
          <w:color w:val="auto"/>
          <w:vertAlign w:val="superscript"/>
        </w:rPr>
        <w:t>(1)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Terms of Offering</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Up to 32,914,599 shares of our common stock, comprised of (i) up to 32,467,532 shares of common stock that we may elect to issue and sell to Lincoln Park as Purchase Shares, in our sole discretion from time to time after the date of this prospectus, pursuant to the Purchase Agreement; and (ii) 447,067 Commitment Shares we issued to Lincoln Park on April 16, 2026 as consideration for its irrevocable commitment to purchase our common stock under the Purchase Agreement, for which we will not receive any cash consideration.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241,973,011 shares, which include the Commitment Shares.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274,440,543 shares, which include the Commitment Shares.</w:t>
      </w:r>
    </w:p>
    <w:p>
      <w:pPr>
        <w:spacing w:after="0" w:line="200" w:lineRule="exact"/>
        <w:rPr>
          <w:sz w:val="20"/>
          <w:szCs w:val="20"/>
          <w:color w:val="auto"/>
        </w:rPr>
      </w:pPr>
    </w:p>
    <w:p>
      <w:pPr>
        <w:spacing w:after="0" w:line="31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4"/>
          <w:szCs w:val="14"/>
          <w:color w:val="auto"/>
        </w:rPr>
        <w:t>The selling stockholder will determine when and how it sells the Purchase Shares offered in this prospectus, as described in the “</w:t>
      </w:r>
      <w:r>
        <w:rPr>
          <w:rFonts w:ascii="Times New Roman" w:cs="Times New Roman" w:eastAsia="Times New Roman" w:hAnsi="Times New Roman"/>
          <w:sz w:val="14"/>
          <w:szCs w:val="14"/>
          <w:i w:val="1"/>
          <w:iCs w:val="1"/>
          <w:color w:val="auto"/>
        </w:rPr>
        <w:t>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Distribution</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will receive no proceeds from the sale of shares of our common stock by Lincoln Park pursuant to this prospectus. We may receive up to $25 million aggregate gross proceeds under the Purchase Agreement from any sales of shares of our common stock we make to Lincoln Park pursuant to the Purchase Agreement after the date of this prospectus, assuming that we sell the full amount of our common stock available to us that we have the right, but not the obligation to sell to Lincoln Park under the Purchase Agreement. Any proceeds that we receive from sales of shares of our common stock to Lincoln Park under the Purchase Agreement will be used for working capital and general corporate purposes, including investing further in research and development efforts. See “</w:t>
      </w:r>
      <w:r>
        <w:rPr>
          <w:rFonts w:ascii="Times New Roman" w:cs="Times New Roman" w:eastAsia="Times New Roman" w:hAnsi="Times New Roman"/>
          <w:sz w:val="14"/>
          <w:szCs w:val="14"/>
          <w:i w:val="1"/>
          <w:iCs w:val="1"/>
          <w:color w:val="auto"/>
        </w:rPr>
        <w:t>Use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Proceeds</w:t>
      </w:r>
      <w:r>
        <w:rPr>
          <w:rFonts w:ascii="Times New Roman" w:cs="Times New Roman" w:eastAsia="Times New Roman" w:hAnsi="Times New Roman"/>
          <w:sz w:val="14"/>
          <w:szCs w:val="14"/>
          <w:color w:val="auto"/>
        </w:rPr>
        <w:t>” for a more complete description.</w:t>
      </w:r>
    </w:p>
    <w:p>
      <w:pPr>
        <w:spacing w:after="0" w:line="137" w:lineRule="exact"/>
        <w:rPr>
          <w:sz w:val="20"/>
          <w:szCs w:val="20"/>
          <w:color w:val="auto"/>
        </w:rPr>
      </w:pPr>
    </w:p>
    <w:p>
      <w:pPr>
        <w:sectPr>
          <w:pgSz w:w="11900" w:h="16838" w:orient="portrait"/>
          <w:cols w:equalWidth="0" w:num="2">
            <w:col w:w="3360" w:space="260"/>
            <w:col w:w="766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83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Investing in our securities is highly speculative and involves a high degree of risk. See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beginning on page </w:t>
            </w:r>
            <w:r>
              <w:rPr>
                <w:rFonts w:ascii="Times New Roman" w:cs="Times New Roman" w:eastAsia="Times New Roman" w:hAnsi="Times New Roman"/>
                <w:sz w:val="14"/>
                <w:szCs w:val="14"/>
                <w:color w:val="0000EE"/>
              </w:rPr>
              <w:t>4</w:t>
            </w:r>
            <w:r>
              <w:rPr>
                <w:rFonts w:ascii="Times New Roman" w:cs="Times New Roman" w:eastAsia="Times New Roman" w:hAnsi="Times New Roman"/>
                <w:sz w:val="14"/>
                <w:szCs w:val="14"/>
                <w:color w:val="auto"/>
              </w:rPr>
              <w:t xml:space="preserve"> of this</w:t>
            </w:r>
          </w:p>
        </w:tc>
      </w:tr>
      <w:tr>
        <w:trPr>
          <w:trHeight w:val="20"/>
        </w:trPr>
        <w:tc>
          <w:tcPr>
            <w:tcW w:w="29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67"/>
        </w:trPr>
        <w:tc>
          <w:tcPr>
            <w:tcW w:w="2920" w:type="dxa"/>
            <w:vAlign w:val="bottom"/>
          </w:tcPr>
          <w:p>
            <w:pPr>
              <w:spacing w:after="0"/>
              <w:rPr>
                <w:sz w:val="14"/>
                <w:szCs w:val="14"/>
                <w:color w:val="auto"/>
              </w:rPr>
            </w:pPr>
          </w:p>
        </w:tc>
        <w:tc>
          <w:tcPr>
            <w:tcW w:w="83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prospectus, and the other information included in this prospectus for a discussion of factors you should consider carefully before</w:t>
            </w:r>
          </w:p>
        </w:tc>
      </w:tr>
      <w:tr>
        <w:trPr>
          <w:trHeight w:val="184"/>
        </w:trPr>
        <w:tc>
          <w:tcPr>
            <w:tcW w:w="2920" w:type="dxa"/>
            <w:vAlign w:val="bottom"/>
          </w:tcPr>
          <w:p>
            <w:pPr>
              <w:spacing w:after="0"/>
              <w:rPr>
                <w:sz w:val="15"/>
                <w:szCs w:val="15"/>
                <w:color w:val="auto"/>
              </w:rPr>
            </w:pPr>
          </w:p>
        </w:tc>
        <w:tc>
          <w:tcPr>
            <w:tcW w:w="83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deciding to invest in our securities.</w:t>
            </w:r>
          </w:p>
        </w:tc>
      </w:tr>
      <w:tr>
        <w:trPr>
          <w:trHeight w:val="339"/>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OTC Symbol for our Common Stock</w:t>
            </w:r>
          </w:p>
        </w:tc>
        <w:tc>
          <w:tcPr>
            <w:tcW w:w="8360" w:type="dxa"/>
            <w:vAlign w:val="bottom"/>
            <w:gridSpan w:val="3"/>
          </w:tcPr>
          <w:p>
            <w:pPr>
              <w:ind w:left="700"/>
              <w:spacing w:after="0"/>
              <w:rPr>
                <w:sz w:val="20"/>
                <w:szCs w:val="20"/>
                <w:color w:val="auto"/>
              </w:rPr>
            </w:pPr>
            <w:r>
              <w:rPr>
                <w:rFonts w:ascii="Times New Roman" w:cs="Times New Roman" w:eastAsia="Times New Roman" w:hAnsi="Times New Roman"/>
                <w:sz w:val="14"/>
                <w:szCs w:val="14"/>
                <w:color w:val="auto"/>
              </w:rPr>
              <w:t>“VXRT”</w:t>
            </w:r>
          </w:p>
        </w:tc>
      </w:tr>
    </w:tbl>
    <w:p>
      <w:pPr>
        <w:spacing w:after="0" w:line="155" w:lineRule="exact"/>
        <w:rPr>
          <w:sz w:val="20"/>
          <w:szCs w:val="20"/>
          <w:color w:val="auto"/>
        </w:rPr>
      </w:pPr>
    </w:p>
    <w:p>
      <w:pPr>
        <w:ind w:left="260" w:hanging="255"/>
        <w:spacing w:after="0" w:line="286" w:lineRule="auto"/>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the purchase of all Purchase Shares by Lincoln Park. The number of shares of our common stock to be outstanding after this offering is based on 241,973,011 shares of common stock outstanding as of May 1, 2026, and excludes:</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26,700,507 shares issuable upon the exercise of outstanding stock options at May 1, 2026, with a weighted-average exercise price of $1.52 per share;</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6,770,405 shares issuable upon the vesting of outstanding restricted stock units (“RSUs”) at May 1, 2026;</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6,920,277 shares reserved for future issuance under our 2019 Equity Incentive Plan as of May 1, 2026;</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76,250 shares reserved for future issuance under our 2024 Inducement Award Plan as of May 1, 2026;</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10,914 shares issuable upon the exercise of outstanding warrants at May 1, 2026, with a weighted-average exercise price of $22.99 per share; and</w:t>
      </w:r>
    </w:p>
    <w:p>
      <w:pPr>
        <w:spacing w:after="0" w:line="2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1,823,454 shares reserved for future issuance under our 2022 Employee Stock Purchase Plan (“ESPP”) at May 1, 2026.</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8" w:lineRule="exact"/>
        <w:rPr>
          <w:sz w:val="20"/>
          <w:szCs w:val="20"/>
          <w:color w:val="auto"/>
        </w:rPr>
      </w:pPr>
    </w:p>
    <w:p>
      <w:pPr>
        <w:ind w:firstLine="28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Investing in our securities involves a high degree of risk. You should carefully consider and evaluate all of the information contained in this prospectus before you decide to purchase our securities. In particular, you should carefully consider and evaluate the risks and uncertainties described under the heading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in our Annual Report on Form 10-K for the year ended December 31, 2025 and Quarterly Report on Form 10-Q for the quarter ended March 31, 2026. Any of the risks and uncertainties set forth below and in the Annual Report, as updated by annual, quarterly and other reports and documents that we file with the SEC, or any prospectus, could materially and adversely affect our business, results of operations and financial condition, which in turn could materially and adversely affect the value of any securities offered by this prospectus. As a result, you could lose all or part of your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is subject to numerous risks and uncertainties, discussed in more detail in the following section. These risks include, among others, the following key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this Offering</w:t>
      </w:r>
    </w:p>
    <w:p>
      <w:pPr>
        <w:spacing w:after="0" w:line="180"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our common stock to Lincoln Park may cause dilution and the price of our common stock to fall.</w:t>
      </w:r>
    </w:p>
    <w:p>
      <w:pPr>
        <w:spacing w:after="0" w:line="17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not possible to predict the actual number of shares of common stock we will sell to Lincoln Park, the purchase price for those shares, or the actual gross proceeds we will receive.</w:t>
      </w:r>
    </w:p>
    <w:p>
      <w:pPr>
        <w:spacing w:after="0" w:line="17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who buy shares at different times will likely pay different prices and experience different levels of dilution.</w:t>
      </w:r>
    </w:p>
    <w:p>
      <w:pPr>
        <w:spacing w:after="0" w:line="178" w:lineRule="exact"/>
        <w:rPr>
          <w:rFonts w:ascii="Times New Roman" w:cs="Times New Roman" w:eastAsia="Times New Roman" w:hAnsi="Times New Roman"/>
          <w:sz w:val="14"/>
          <w:szCs w:val="14"/>
          <w:color w:val="auto"/>
        </w:rPr>
      </w:pPr>
    </w:p>
    <w:p>
      <w:pPr>
        <w:ind w:left="120" w:hanging="115"/>
        <w:spacing w:after="0"/>
        <w:tabs>
          <w:tab w:leader="none" w:pos="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management will have broad discretion over the use of the net proceeds, if any, from sales of shares of our common stock to Lincoln Park.</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Our Business, Financial Position and Capital Requirements</w:t>
      </w:r>
    </w:p>
    <w:p>
      <w:pPr>
        <w:spacing w:after="0" w:line="180" w:lineRule="exact"/>
        <w:rPr>
          <w:sz w:val="20"/>
          <w:szCs w:val="20"/>
          <w:color w:val="auto"/>
        </w:rPr>
      </w:pPr>
    </w:p>
    <w:p>
      <w:pPr>
        <w:ind w:left="140" w:hanging="135"/>
        <w:spacing w:after="0"/>
        <w:tabs>
          <w:tab w:leader="none" w:pos="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Throughout our operating history, we have generated limited product revenue.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significant losses since our inception and expect to continue to incur significant losses for the foreseeable future and may never achieve or maintain profitability.</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largely dependent on the success of our tablet vaccine candidates for the prevention of norovirus and coronavirus infection.</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yet produced a commercially viable vaccine and we may be never able to.</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require additional capital to fund our operations.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need to expand our organization and may experience difficulties in managing growth.</w:t>
      </w:r>
    </w:p>
    <w:p>
      <w:pPr>
        <w:spacing w:after="0" w:line="178" w:lineRule="exact"/>
        <w:rPr>
          <w:rFonts w:ascii="Times New Roman" w:cs="Times New Roman" w:eastAsia="Times New Roman" w:hAnsi="Times New Roman"/>
          <w:sz w:val="14"/>
          <w:szCs w:val="14"/>
          <w:color w:val="auto"/>
        </w:rPr>
      </w:pPr>
    </w:p>
    <w:p>
      <w:pPr>
        <w:jc w:val="center"/>
        <w:ind w:left="5600" w:right="540" w:hanging="5595"/>
        <w:spacing w:after="0" w:line="539" w:lineRule="auto"/>
        <w:tabs>
          <w:tab w:leader="none" w:pos="123"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may be adversely affected by a pandemic, epidemic, or outbreak of an infectious disease, such as the ongoing coronavirus pandemic and the emergence of additional variants.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Clinical Development, Regulatory Approval and Commercialization</w:t>
      </w:r>
    </w:p>
    <w:p>
      <w:pPr>
        <w:spacing w:after="0" w:line="180" w:lineRule="exact"/>
        <w:rPr>
          <w:sz w:val="20"/>
          <w:szCs w:val="20"/>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regulatory pathway for coronavirus vaccines is evolving, as is the random appearance of novel variants, which may result in unexpected or unforeseen challenges.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are very expensive, time-consuming, difficult to design and implement and involve an uncertain outcome.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from other biotechnology and pharmaceutical companies.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tablet vaccine candidates may cause adverse effects resulting in failure to obtain approval from the U.S. Food and Drug Administration (the “FDA”) and/or product liability lawsuits against us.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manufacture sufficient bulk vaccine for our ongoing needs.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third parties for manufacturing and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numerous risks associated with our intellectual property.</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Dependence on Third Parties</w:t>
      </w:r>
    </w:p>
    <w:p>
      <w:pPr>
        <w:spacing w:after="0" w:line="180" w:lineRule="exact"/>
        <w:rPr>
          <w:sz w:val="20"/>
          <w:szCs w:val="20"/>
          <w:color w:val="auto"/>
        </w:rPr>
      </w:pPr>
    </w:p>
    <w:p>
      <w:pPr>
        <w:ind w:left="140" w:hanging="135"/>
        <w:spacing w:after="0"/>
        <w:tabs>
          <w:tab w:leader="none" w:pos="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 parties could delay or prevent the development, approval, manufacturing, or any eventual commercialization of our product candidates.</w:t>
      </w:r>
    </w:p>
    <w:p>
      <w:pPr>
        <w:spacing w:after="0" w:line="178" w:lineRule="exact"/>
        <w:rPr>
          <w:rFonts w:ascii="Times New Roman" w:cs="Times New Roman" w:eastAsia="Times New Roman" w:hAnsi="Times New Roman"/>
          <w:sz w:val="14"/>
          <w:szCs w:val="14"/>
          <w:color w:val="auto"/>
        </w:rPr>
      </w:pPr>
    </w:p>
    <w:p>
      <w:pPr>
        <w:ind w:left="140" w:right="320" w:hanging="135"/>
        <w:spacing w:after="0" w:line="269" w:lineRule="auto"/>
        <w:tabs>
          <w:tab w:leader="none" w:pos="1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contract manufacturers for certain portions of our manufacturing process. If third-party contract manufacturers do not perform,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Intellectual Property</w:t>
      </w:r>
    </w:p>
    <w:p>
      <w:pPr>
        <w:spacing w:after="0" w:line="180" w:lineRule="exact"/>
        <w:rPr>
          <w:sz w:val="20"/>
          <w:szCs w:val="20"/>
          <w:color w:val="auto"/>
        </w:rPr>
      </w:pPr>
    </w:p>
    <w:p>
      <w:pPr>
        <w:ind w:left="140" w:right="120" w:hanging="135"/>
        <w:spacing w:after="0" w:line="286" w:lineRule="auto"/>
        <w:tabs>
          <w:tab w:leader="none" w:pos="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involved in lawsuits to protect or enforce our patents, the patents of our licensors or our other intellectual property rights, which could be expensive, time consuming and unsuccessful.</w:t>
      </w:r>
    </w:p>
    <w:p>
      <w:pPr>
        <w:spacing w:after="0" w:line="178" w:lineRule="exact"/>
        <w:rPr>
          <w:rFonts w:ascii="Times New Roman" w:cs="Times New Roman" w:eastAsia="Times New Roman" w:hAnsi="Times New Roman"/>
          <w:sz w:val="14"/>
          <w:szCs w:val="14"/>
          <w:color w:val="auto"/>
        </w:rPr>
      </w:pPr>
    </w:p>
    <w:p>
      <w:pPr>
        <w:ind w:left="140" w:right="100" w:hanging="135"/>
        <w:spacing w:after="0" w:line="286" w:lineRule="auto"/>
        <w:tabs>
          <w:tab w:leader="none" w:pos="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25" w:lineRule="exact"/>
        <w:rPr>
          <w:rFonts w:ascii="Times New Roman" w:cs="Times New Roman" w:eastAsia="Times New Roman" w:hAnsi="Times New Roman"/>
          <w:sz w:val="14"/>
          <w:szCs w:val="14"/>
          <w:color w:val="auto"/>
        </w:rPr>
      </w:pPr>
    </w:p>
    <w:p>
      <w:pPr>
        <w:ind w:left="140" w:right="340" w:hanging="135"/>
        <w:spacing w:after="0" w:line="286" w:lineRule="auto"/>
        <w:tabs>
          <w:tab w:leader="none" w:pos="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rights throughout the world, which could impair our business.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Our reliance on third parties requires us to share our trade secrets, which increases the possibility that a competitor will discover them or that our trade secrets will be misappropriated or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Risks Related to our Common Stock</w:t>
      </w:r>
    </w:p>
    <w:p>
      <w:pPr>
        <w:spacing w:after="0" w:line="180" w:lineRule="exact"/>
        <w:rPr>
          <w:sz w:val="20"/>
          <w:szCs w:val="20"/>
          <w:color w:val="auto"/>
        </w:rPr>
      </w:pPr>
    </w:p>
    <w:p>
      <w:pPr>
        <w:ind w:left="140" w:hanging="135"/>
        <w:spacing w:after="0"/>
        <w:tabs>
          <w:tab w:leader="none" w:pos="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is currently traded on the OTCQX, which may have an unfavorable impact on our stock price, liquidity, and the ability of investors to purchase or sell our shares.</w:t>
      </w:r>
    </w:p>
    <w:p>
      <w:pPr>
        <w:spacing w:after="0" w:line="178" w:lineRule="exact"/>
        <w:rPr>
          <w:rFonts w:ascii="Times New Roman" w:cs="Times New Roman" w:eastAsia="Times New Roman" w:hAnsi="Times New Roman"/>
          <w:sz w:val="14"/>
          <w:szCs w:val="14"/>
          <w:color w:val="auto"/>
        </w:rPr>
      </w:pPr>
    </w:p>
    <w:p>
      <w:pPr>
        <w:ind w:left="140" w:right="460" w:hanging="135"/>
        <w:spacing w:after="0" w:line="286" w:lineRule="auto"/>
        <w:tabs>
          <w:tab w:leader="none" w:pos="1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our common stock is currently quoted on the OTCQX our stockholders may face significant restrictions on the resale of our common stock due to state “blue sky” laws and the sale of common stock in this offering is subject to state “blue sky” laws.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17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sale of our common stock to Lincoln Park may cause dilution and the subsequent sale of the shares of common stock acquired by Lincoln Park, or the perception that such sales may occur, could cause the price of our common stock to fall.</w:t>
      </w:r>
    </w:p>
    <w:p>
      <w:pPr>
        <w:spacing w:after="0" w:line="123" w:lineRule="exact"/>
        <w:rPr>
          <w:sz w:val="20"/>
          <w:szCs w:val="20"/>
          <w:color w:val="auto"/>
        </w:rPr>
      </w:pPr>
    </w:p>
    <w:p>
      <w:pPr>
        <w:ind w:right="60" w:firstLine="283"/>
        <w:spacing w:after="0" w:line="261" w:lineRule="auto"/>
        <w:rPr>
          <w:sz w:val="20"/>
          <w:szCs w:val="20"/>
          <w:color w:val="auto"/>
        </w:rPr>
      </w:pPr>
      <w:r>
        <w:rPr>
          <w:rFonts w:ascii="Times New Roman" w:cs="Times New Roman" w:eastAsia="Times New Roman" w:hAnsi="Times New Roman"/>
          <w:sz w:val="14"/>
          <w:szCs w:val="14"/>
          <w:color w:val="auto"/>
        </w:rPr>
        <w:t>On April 16, 2026, we entered into the Purchase Agreement with Lincoln Park, pursuant to which Lincoln Park committed to purchase up to $25 million of our common stock. Other than the Commitment Shares, the shares of our common stock that may be issued under the Purchase Agreement may be sold by us to Lincoln Park from time to time at our discretion over a 24-month period from the Commencement Date through April 16, 2028, unless the Purchase Agreement is terminated prior to such date. The purchase price for the shares that we may sell to Lincoln Park under the Purchase Agreement will vary based on the price of our common stock at the time we initiate the sale. Depending on market liquidity at the time, sales of such shares may cause the trading price of our common stock to fall.</w:t>
      </w:r>
    </w:p>
    <w:p>
      <w:pPr>
        <w:spacing w:after="0" w:line="142" w:lineRule="exact"/>
        <w:rPr>
          <w:sz w:val="20"/>
          <w:szCs w:val="20"/>
          <w:color w:val="auto"/>
        </w:rPr>
      </w:pPr>
    </w:p>
    <w:p>
      <w:pPr>
        <w:ind w:firstLine="283"/>
        <w:spacing w:after="0" w:line="259" w:lineRule="auto"/>
        <w:rPr>
          <w:sz w:val="20"/>
          <w:szCs w:val="20"/>
          <w:color w:val="auto"/>
        </w:rPr>
      </w:pPr>
      <w:r>
        <w:rPr>
          <w:rFonts w:ascii="Times New Roman" w:cs="Times New Roman" w:eastAsia="Times New Roman" w:hAnsi="Times New Roman"/>
          <w:sz w:val="14"/>
          <w:szCs w:val="14"/>
          <w:color w:val="auto"/>
        </w:rPr>
        <w:t>We generally have the right to control the timing and amount of any future sales of our shares to Lincoln Park. Sales of shares of our common stock to Lincoln Park under the Purchase Agreement, if any, will depend upon market conditions and other factors to be determined by us. We may ultimately decide to sell to Lincoln Park all, some or none of the shares of our common stock that may be available for us to sell pursuant to the Purchase Agreement. If and when we do sell shares to Lincoln Park, after Lincoln Park has acquired the shares, Lincoln Park may resell all, some or none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desire, potentially limiting our access to capital markets when we may need additional financing.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actual number of shares of common stock we will sell to Lincoln Park, the purchase price for those shares, or the actual gross proceeds we will receive.</w:t>
      </w:r>
    </w:p>
    <w:p>
      <w:pPr>
        <w:spacing w:after="0" w:line="180" w:lineRule="exact"/>
        <w:rPr>
          <w:sz w:val="20"/>
          <w:szCs w:val="20"/>
          <w:color w:val="auto"/>
        </w:rPr>
      </w:pPr>
    </w:p>
    <w:p>
      <w:pPr>
        <w:ind w:right="40" w:firstLine="283"/>
        <w:spacing w:after="0" w:line="259" w:lineRule="auto"/>
        <w:rPr>
          <w:sz w:val="20"/>
          <w:szCs w:val="20"/>
          <w:color w:val="auto"/>
        </w:rPr>
      </w:pPr>
      <w:r>
        <w:rPr>
          <w:rFonts w:ascii="Times New Roman" w:cs="Times New Roman" w:eastAsia="Times New Roman" w:hAnsi="Times New Roman"/>
          <w:sz w:val="14"/>
          <w:szCs w:val="14"/>
          <w:color w:val="auto"/>
        </w:rPr>
        <w:t>Because the purchase price per share to be paid by Lincoln Park for the shares of common stock that we may elect to sell to Lincoln Park under the Purchase Agreement, if any, will fluctuate based on the market prices of our common stock at the time we elect to sell shares to Lincoln Park pursuant to the Purchase Agreement, if any, it is not possible for us to predict, as of the date of this prospectus and prior to any such sales, the number of shares of common stock that we will sell to Lincoln Park under the Purchase Agreement, the purchase price per share that Lincoln Park will pay for shares purchased from us under the Purchase Agreement, or the aggregate gross proceeds that we will receive from those purchases by Lincoln Park under the Purchase Agreement. Depending on market prices and the volume limitations in the Purchase Agreement, we may need to register additional shares under the Securities Act for resale by Lincoln Park in order to receive the full $25 million commitment, which would result in additional dilution to existing stockholders beyond what is disclosed in this prospectus.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0" w:firstLine="283"/>
        <w:spacing w:after="0" w:line="286" w:lineRule="auto"/>
        <w:rPr>
          <w:sz w:val="20"/>
          <w:szCs w:val="20"/>
          <w:color w:val="auto"/>
        </w:rPr>
      </w:pPr>
      <w:r>
        <w:rPr>
          <w:rFonts w:ascii="Times New Roman" w:cs="Times New Roman" w:eastAsia="Times New Roman" w:hAnsi="Times New Roman"/>
          <w:sz w:val="14"/>
          <w:szCs w:val="14"/>
          <w:color w:val="auto"/>
        </w:rPr>
        <w:t>Lincoln Park may sell the shares of our common stock described in this prospectus in a number of different ways and at varying prices. The number of shares of our common stock ultimately offered for sale by Lincoln Park is dependent upon the number of shares of common stock, if any, we ultimately sell to Lincoln Park under the Purchase Agreement.</w:t>
      </w:r>
    </w:p>
    <w:p>
      <w:pPr>
        <w:spacing w:after="0" w:line="12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Investors who buy shares at different times will likely pay different prices and experience different levels of dilution, and the sale of the shares of common stock acquired by Lincoln Park could cause the price of our common stock to decline.</w:t>
      </w:r>
    </w:p>
    <w:p>
      <w:pPr>
        <w:spacing w:after="0" w:line="123" w:lineRule="exact"/>
        <w:rPr>
          <w:sz w:val="20"/>
          <w:szCs w:val="20"/>
          <w:color w:val="auto"/>
        </w:rPr>
      </w:pPr>
    </w:p>
    <w:p>
      <w:pPr>
        <w:ind w:firstLine="283"/>
        <w:spacing w:after="0" w:line="257" w:lineRule="auto"/>
        <w:rPr>
          <w:sz w:val="20"/>
          <w:szCs w:val="20"/>
          <w:color w:val="auto"/>
        </w:rPr>
      </w:pPr>
      <w:r>
        <w:rPr>
          <w:rFonts w:ascii="Times New Roman" w:cs="Times New Roman" w:eastAsia="Times New Roman" w:hAnsi="Times New Roman"/>
          <w:sz w:val="14"/>
          <w:szCs w:val="14"/>
          <w:color w:val="auto"/>
        </w:rPr>
        <w:t>Pursuant to the Purchase Agreement, we have discretion, subject to market demand and the conditions in the Purchase Agreement, to vary the timing, prices, and numbers of shares sold to Lincoln Park. If and when we do elect to sell shares of our common stock to Lincoln Park pursuant to the Purchase Agreement, after Lincoln Park has acquired such shares, Lincoln Park may resell all, some or none of such shares at any time or from time to time in its discretion and at varying prices. As a result, investors who purchase shares from Lincoln Park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Lincoln Park in this offering as a result of future sales made by us to Lincoln Park at prices lower than the prices such investors paid. The discount at which we sell shares to Lincoln Park means that Lincoln Park can sell shares at prices lower than the market price at the time of our sale to Lincoln Park while still realizing a profit, which could exert additional downward pressure on our stock price. Further, the sale of a substantial number of shares of our common stock by Lincoln Park, or anticipation of such sales, could cause the trading price of our common stock to decline or make it more difficult for us to sell equity or equity-related securities in the future at a time and at a price that we might otherwise desire.</w:t>
      </w:r>
    </w:p>
    <w:p>
      <w:pPr>
        <w:spacing w:after="0" w:line="315"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management will have broad discretion over the use of the net proceeds, if any, from sales of shares of our common stock to Lincoln Park, you may not agree with how we use the proceeds and the proceeds may not be used effectively.</w:t>
      </w:r>
    </w:p>
    <w:p>
      <w:pPr>
        <w:spacing w:after="0" w:line="123" w:lineRule="exact"/>
        <w:rPr>
          <w:sz w:val="20"/>
          <w:szCs w:val="20"/>
          <w:color w:val="auto"/>
        </w:rPr>
      </w:pPr>
    </w:p>
    <w:p>
      <w:pPr>
        <w:ind w:right="20" w:firstLine="283"/>
        <w:spacing w:after="0" w:line="257" w:lineRule="auto"/>
        <w:rPr>
          <w:sz w:val="20"/>
          <w:szCs w:val="20"/>
          <w:color w:val="auto"/>
        </w:rPr>
      </w:pPr>
      <w:r>
        <w:rPr>
          <w:rFonts w:ascii="Times New Roman" w:cs="Times New Roman" w:eastAsia="Times New Roman" w:hAnsi="Times New Roman"/>
          <w:sz w:val="14"/>
          <w:szCs w:val="14"/>
          <w:color w:val="auto"/>
        </w:rPr>
        <w:t>This prospectus relates to shares of our common stock that may be offered and sold from time to time by Lincoln Park. We will not receive any proceeds upon the sale of shares by Lincoln Park. However, we may receive gross proceeds of up to $25 million from the sale of shares being registered for resale under this prospectus under the Purchase Agreement to Lincoln Park. The anticipated use of net proceeds from the sale of our common stock to Lincoln Park under the Purchase Agreement represents our intentions based upon our current plans and business conditions. Because we have not designated the amount of net proceeds from the sale of shares under the Purchase Agreement to be used for any particular purpose, our management will have broad discretion as to the use of the net proceeds from our sale of shares of common stock to Lincoln Park. Accordingly, you will be relying on the judgment of our management with regard to the use of those net proceeds, and you will not have the opportunity, as part of your investment decision, to assess whether the proceeds are being used appropriately. It is possible that, pending their use, we may invest those net proceeds in a way that does not yield a favorable, or any, return for us. Further, our management may use the net proceeds for corporate purposes that may not improve our financial condition or market value. The failure of our management to use such funds effectively could have a material adverse effect on our business, financial condition, operating results and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is currently traded on the OTCQX, which may have an unfavorable impact on our stock price, liquidity, and the ability of investors to purchase or sell our shares.</w:t>
      </w:r>
    </w:p>
    <w:p>
      <w:pPr>
        <w:spacing w:after="0" w:line="180" w:lineRule="exact"/>
        <w:rPr>
          <w:sz w:val="20"/>
          <w:szCs w:val="20"/>
          <w:color w:val="auto"/>
        </w:rPr>
      </w:pPr>
    </w:p>
    <w:p>
      <w:pPr>
        <w:ind w:right="100" w:firstLine="254"/>
        <w:spacing w:after="0" w:line="258" w:lineRule="auto"/>
        <w:rPr>
          <w:sz w:val="20"/>
          <w:szCs w:val="20"/>
          <w:color w:val="auto"/>
        </w:rPr>
      </w:pPr>
      <w:r>
        <w:rPr>
          <w:rFonts w:ascii="Times New Roman" w:cs="Times New Roman" w:eastAsia="Times New Roman" w:hAnsi="Times New Roman"/>
          <w:sz w:val="14"/>
          <w:szCs w:val="14"/>
          <w:color w:val="auto"/>
        </w:rPr>
        <w:t>Our common stock is currently quoted on the OTCQX following our delisting from The Nasdaq Capital Market in November 2025. The OTCQX is a significantly more limited market than national securities exchanges such as the New York Stock Exchange or The Nasdaq Stock Market. The OTCQX is an inter-dealer quotation system with lower financial and qualitative standards for listing, less regulatory oversight, and generally lower trading volumes and liquidity than national exchanges. As a result, trading in our common stock may be subject to wider bid-ask spreads, increased volatility, and potential manipulation, which may have little to do with our actual business operations or prospects. This volatility could depress the market price of our common stock for reasons unrelated to our operating performance. Additionally, the Financial Industry Regulatory Authority (“FINRA”) has adopted rules that require broker-dealers to have reasonable grounds for believing an investment is suitable for a customer before recommending that investment. Because speculative low-priced securities may not be suitable for many customers, broker-dealers may be less likely to recommend our common stock, which could further limit the ability of investors to buy and sell our shares, reduce liquidity, and adversely affect our stock price.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 xml:space="preserve">Since our common stock is currently quoted on the OTCQX our stockholders may face significant restrictions on the resale of our common stock due to 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blue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laws and the sale of common stock in this offering is subject to state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blue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laws.</w:t>
      </w:r>
    </w:p>
    <w:p>
      <w:pPr>
        <w:spacing w:after="0" w:line="123"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Each state has its own securities laws, often called “blue sky” laws, which (i) limit sales of securities to a state’s residents unless the securities are registered in that state or qualify for an exemption from registration, and (ii) govern the reporting requirements for broker-dealers doing business directly or indirectly in the state. Before a security is sold in a state, there must be a registration in place to cover the transaction, or the transaction must be exempt from registration. The applicable broker must also be registered in that state. Since our common stock is currently quoted on the OTCQX, a determination regarding registration will be made by those broker-dealers, if any, who agree to serve as the market-makers for our common stock. There may be significant state blue sky law restrictions on the ability of investors to sell, and on purchasers to buy, our securities. You should therefore consider the resale market for our securities to be limited, as you may be unable to resell your common stock without the significant expense of state registration or qualification.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Financial Position and Capital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Throughout our operating history, we have generated limited product revenue.</w:t>
      </w:r>
    </w:p>
    <w:p>
      <w:pPr>
        <w:spacing w:after="0" w:line="18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Even though we generate royalty revenue from Inavir, our commercialized influenza product, we are at an early stage in our clinical development process and have not yet successfully completed a large-scale, pivotal clinical trial, obtained marketing approval, manufactured our tablet vaccine candidates at commercial scale, or conducted sales and marketing activities that will be necessary to successfully commercialize our product candidates. Consequently, predictions about our future success or viability may not be as accurate as they could be if we had a history of successfully developing and commercializing product candidates.</w:t>
      </w:r>
    </w:p>
    <w:p>
      <w:pPr>
        <w:spacing w:after="0" w:line="140" w:lineRule="exact"/>
        <w:rPr>
          <w:sz w:val="20"/>
          <w:szCs w:val="20"/>
          <w:color w:val="auto"/>
        </w:rPr>
      </w:pPr>
    </w:p>
    <w:p>
      <w:pPr>
        <w:jc w:val="both"/>
        <w:ind w:right="80" w:firstLine="254"/>
        <w:spacing w:after="0" w:line="269" w:lineRule="auto"/>
        <w:rPr>
          <w:sz w:val="20"/>
          <w:szCs w:val="20"/>
          <w:color w:val="auto"/>
        </w:rPr>
      </w:pPr>
      <w:r>
        <w:rPr>
          <w:rFonts w:ascii="Times New Roman" w:cs="Times New Roman" w:eastAsia="Times New Roman" w:hAnsi="Times New Roman"/>
          <w:sz w:val="14"/>
          <w:szCs w:val="14"/>
          <w:color w:val="auto"/>
        </w:rPr>
        <w:t>Our ability to generate significant revenue and achieve and maintain profitability will depend upon our ability to successfully complete the development of our tablet vaccine candidates for the prevention of norovirus, coronavirus and influenza infection and the treatment of cervical cancer and dysplasia caused by human papillomavirus (“HPV”) and other infectious diseases, and to obtain the necessary regulatory approvals. As disclosed elsewhere in this document, the Company is evaluating the best way to progress certain programs.</w:t>
      </w:r>
    </w:p>
    <w:p>
      <w:pPr>
        <w:spacing w:after="0" w:line="137" w:lineRule="exact"/>
        <w:rPr>
          <w:sz w:val="20"/>
          <w:szCs w:val="20"/>
          <w:color w:val="auto"/>
        </w:rPr>
      </w:pPr>
    </w:p>
    <w:p>
      <w:pPr>
        <w:ind w:right="560" w:firstLine="254"/>
        <w:spacing w:after="0" w:line="286" w:lineRule="auto"/>
        <w:rPr>
          <w:sz w:val="20"/>
          <w:szCs w:val="20"/>
          <w:color w:val="auto"/>
        </w:rPr>
      </w:pPr>
      <w:r>
        <w:rPr>
          <w:rFonts w:ascii="Times New Roman" w:cs="Times New Roman" w:eastAsia="Times New Roman" w:hAnsi="Times New Roman"/>
          <w:sz w:val="14"/>
          <w:szCs w:val="14"/>
          <w:color w:val="auto"/>
        </w:rPr>
        <w:t>Even if we receive regulatory approval for the sale of any of our product candidates, we do not know when we will begin to generate significant revenue, if at all. Our ability to generate significant revenue depends on a number of factors, including our ability to:</w:t>
      </w:r>
    </w:p>
    <w:p>
      <w:pPr>
        <w:spacing w:after="0" w:line="125" w:lineRule="exact"/>
        <w:rPr>
          <w:sz w:val="20"/>
          <w:szCs w:val="20"/>
          <w:color w:val="auto"/>
        </w:rPr>
      </w:pPr>
    </w:p>
    <w:p>
      <w:pPr>
        <w:ind w:left="140" w:hanging="135"/>
        <w:spacing w:after="0"/>
        <w:tabs>
          <w:tab w:leader="none" w:pos="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an acceptable price for our product candidates and obtain coverage and adequate reimbursement from third-party payors;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royalties on our products and product candidates including in connection with sales of Inavir;</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sales, marketing, manufacturing and distribution systems;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right="420" w:hanging="135"/>
        <w:spacing w:after="0" w:line="286" w:lineRule="auto"/>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or continue to scale our operational, financial and management information systems and personnel, including personnel to support our clinical, manufacturing and planned future clinical development and commercialization efforts;</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in collaboration with others, manufacturing capabilities for bulk materials and manufacture commercial quantities of our product candidates at acceptable cost levels;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achieve broad market acceptance of our product candidates in the medical community and with third-party payors and consumers;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an experienced management and advisory team;</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launch commercial sales of our product candidates, whether alone or in collaboration with others;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in-license or acquire product candidates or commercial-stage products that we believe can be successfully developed and commercialized;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expand and protect our intellectual property portfolio.</w:t>
      </w:r>
    </w:p>
    <w:p>
      <w:pPr>
        <w:spacing w:after="0" w:line="178" w:lineRule="exact"/>
        <w:rPr>
          <w:sz w:val="20"/>
          <w:szCs w:val="20"/>
          <w:color w:val="auto"/>
        </w:rPr>
      </w:pPr>
    </w:p>
    <w:p>
      <w:pPr>
        <w:ind w:right="40" w:firstLine="254"/>
        <w:spacing w:after="0" w:line="261" w:lineRule="auto"/>
        <w:rPr>
          <w:sz w:val="20"/>
          <w:szCs w:val="20"/>
          <w:color w:val="auto"/>
        </w:rPr>
      </w:pPr>
      <w:r>
        <w:rPr>
          <w:rFonts w:ascii="Times New Roman" w:cs="Times New Roman" w:eastAsia="Times New Roman" w:hAnsi="Times New Roman"/>
          <w:sz w:val="14"/>
          <w:szCs w:val="14"/>
          <w:color w:val="auto"/>
        </w:rPr>
        <w:t>Because of the numerous risks and uncertainties associated with vaccine development and manufacturing, we are unable to predict the timing or amount of increased development expenses, or when we will be able to achieve or maintain profitability, if at all. Our expenses could increase beyond expectations if we are required by the FDA, or comparable non-U.S. regulatory authorities, to perform studies or clinical trials in addition to those we currently anticipate. Even if our product candidates are approved for commercial sale, we anticipate incurring significant costs associated with the commercial launch of and the related commercial-scale manufacturing requirements for our product candidates. If we cannot successfully execute on any of the factors listed above, our business may not succeed.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significant losses since our inception and expect to continue to incur significant losses for the foreseeable future and may never achieve or maintain profitability.</w:t>
      </w:r>
    </w:p>
    <w:p>
      <w:pPr>
        <w:spacing w:after="0" w:line="180"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We expect to continue to incur substantial and increasing losses as we continue to pursue our business strategy. Our product candidates have not been approved for marketing in the U.S. and may never receive such approval. As a result, we are uncertain when or if we will achieve profitability and, if so, whether we will be able to sustain it. Our ability to generate significant revenue and achieve profitability is dependent on our ability to complete development, obtain necessary regulatory approvals, and have our product candidates manufactured and successfully marketed. We cannot be sure that we will be profitable even if we successfully commercialize one of our product candidates. If we do successfully obtain regulatory approval to market our tablet vaccine candidates, our revenues will be dependent, in part, upon the size of the markets in the territories for which regulatory approval is received, the number of competitors in such markets, the price at which we can offer our product candidates and whether we own the commercial rights for that territory. If the indication approved by regulatory authorities is narrower than we expect, or the treatment population is narrowed by competition, physician choice or treatment guidelines, we may not generate significant revenue from sales of our product candidates, even if approved. Even if we do achieve profitability, we may not be able to sustain or increase profitability on a quarterly or annual basis. If we fail to become and remain profitable, the market price of our common stock and our ability to raise capital and continue operations will be adversely affected.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40" w:firstLine="283"/>
        <w:spacing w:after="0" w:line="261" w:lineRule="auto"/>
        <w:rPr>
          <w:sz w:val="20"/>
          <w:szCs w:val="20"/>
          <w:color w:val="auto"/>
        </w:rPr>
      </w:pPr>
      <w:r>
        <w:rPr>
          <w:rFonts w:ascii="Times New Roman" w:cs="Times New Roman" w:eastAsia="Times New Roman" w:hAnsi="Times New Roman"/>
          <w:sz w:val="14"/>
          <w:szCs w:val="14"/>
          <w:color w:val="auto"/>
        </w:rPr>
        <w:t>We expect overall research and development expenses to increase significantly for any of our tablet vaccines, including those for the prevention of norovirus, coronavirus and influenza, as well as those for the treatment of HPV-related dysplasia and cancer, although we intend to fund a significant portion of these costs through partnering and collaboration agreements. In addition, even if we obtain regulatory approval, significant sales and marketing expenses will be required to commercialize the tablet vaccine candidates. As a result, we expect to continue to incur significant and increasing operating losses and negative cash flows for the foreseeable future. These losses have had and will continue to have an adverse effect on our financial position and working capital. As of March 31, 2026, we had an accumulated deficit of $455.0 million.</w:t>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recurring losses from operations and negative cash flows had previously raised substantial doubt regarding our ability to continue as a going concern. Although management has concluded that such conditions have been alleviated as described elsewhere in this prospectus, we will require substantial additional funding to finance our operations, and if we are unable to raise capital, we could be forced to delay, reduce the scope of or eliminate certain of our development programs, or explore other strategic options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right="120" w:firstLine="283"/>
        <w:spacing w:after="0" w:line="259" w:lineRule="auto"/>
        <w:rPr>
          <w:sz w:val="20"/>
          <w:szCs w:val="20"/>
          <w:color w:val="auto"/>
        </w:rPr>
      </w:pPr>
      <w:r>
        <w:rPr>
          <w:rFonts w:ascii="Times New Roman" w:cs="Times New Roman" w:eastAsia="Times New Roman" w:hAnsi="Times New Roman"/>
          <w:sz w:val="14"/>
          <w:szCs w:val="14"/>
          <w:color w:val="auto"/>
        </w:rPr>
        <w:t>As of March 31, 2026, we had $61.0 million of cash, cash equivalents and investments. We believe these funds are sufficient to fund our operations into the second quarter of 2027. Our ability to continue as a going concern is dependent upon our ability to raise additional capital through outside sources. We plan to raise additional capital through the sale of convertible stock, additional equity, debt financings, government programs, or strategic alliances with third parties. Such financing and funding may not be available at all, or on terms that are favorable to us. Failure to raise additional capital could have a material adverse effect on our business, results of operations, financial condition and/or our ability to fund our scheduled obligations on a timely basis or at all. If we are unable to continue as a going concern, we may be forced to liquidate our assets and the values we receive for our assets in liquidation or dissolution could be significantly lower than the values reflected in our consolidated financial statements.</w:t>
      </w:r>
    </w:p>
    <w:p>
      <w:pPr>
        <w:spacing w:after="0" w:line="14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are largely dependent on the success of our tablet vaccines for the prevention of norovirus and coronavirus infection, which are still in their clinical development stage, and if one or both of these tablet vaccines do not receive regulatory approval or are not successfully commercialized, our business may be harmed.</w:t>
      </w:r>
    </w:p>
    <w:p>
      <w:pPr>
        <w:spacing w:after="0" w:line="123"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None of our product candidates are in late-stage clinical development or approved for commercial sale and we may never be able to develop marketable tablet vaccine candidates. We expect that a substantial portion of our efforts and expenditures over the next few years will be devoted to our tablet vaccine candidates for norovirus and coronavirus. We are committing financial resources to the development of a norovirus vaccine and a coronavirus vaccine, which may cause delays in or otherwise negatively impact our other development programs. In addition, our management and scientific teams have dedicated substantial efforts to our norovirus vaccine and coronavirus vaccine development. Accordingly, our business currently depends heavily on the successful development, regulatory approval and commercialization of our norovirus and coronavirus tablet vaccines. These tablet vaccines may not receive regulatory approval or be successfully commercialized even if regulatory approval is received. The research, testing, manufacturing, labeling, approval, sale, marketing and distribution of tablet vaccine candidates are and will remain subject to extensive regulation by the FDA and other regulatory authorities in the U.S. and other countries that each have differing regulations. We are not permitted to market our tablet vaccines in the U.S. until we receive approval of a Biologics License Application (“BLA”) from the FDA, or in any foreign countries until we receive the requisite approval from such countries. Clinical studies for our norovirus vaccine candidate and our COVID-19 vaccine candidate have not been completed. As a result, we have not submitted a BLA to the FDA or comparable applications to other regulatory authorities and do not expect to be in a position to do so for the foreseeable future. Obtaining approval of a BLA is an extensive, lengthy, expensive and inherently uncertain process, and the FDA may delay, limit or deny approval of our tablet vaccines for many reasons, including:</w:t>
      </w:r>
    </w:p>
    <w:p>
      <w:pPr>
        <w:spacing w:after="0" w:line="146" w:lineRule="exact"/>
        <w:rPr>
          <w:sz w:val="20"/>
          <w:szCs w:val="20"/>
          <w:color w:val="auto"/>
        </w:rPr>
      </w:pPr>
    </w:p>
    <w:p>
      <w:pPr>
        <w:ind w:left="140" w:hanging="135"/>
        <w:spacing w:after="0"/>
        <w:tabs>
          <w:tab w:leader="none" w:pos="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demonstrate that our tablet vaccine is safe and effective to the satisfaction of the FDA;</w:t>
      </w:r>
    </w:p>
    <w:p>
      <w:pPr>
        <w:spacing w:after="0" w:line="178" w:lineRule="exact"/>
        <w:rPr>
          <w:rFonts w:ascii="Times New Roman" w:cs="Times New Roman" w:eastAsia="Times New Roman" w:hAnsi="Times New Roman"/>
          <w:sz w:val="14"/>
          <w:szCs w:val="14"/>
          <w:color w:val="auto"/>
        </w:rPr>
      </w:pPr>
    </w:p>
    <w:p>
      <w:pPr>
        <w:ind w:left="140" w:right="460" w:hanging="135"/>
        <w:spacing w:after="0" w:line="286" w:lineRule="auto"/>
        <w:tabs>
          <w:tab w:leader="none" w:pos="1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not agree that the completed Phase 1 and Phase 2 clinical trials of the norovirus vaccine and the Phase 1 and Phase 2 clinical trials of the COVID-19 vaccine satisfy the FDA’s requirements and may require us to conduct additional testing;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clinical trials may not meet the level of statistical or clinical significance required by the FDA for marketing approval;</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disagree with the number, design, size, conduct or implementation of one or more of our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 research organizations, or CROs, that we retain to conduct clinical trials may take actions outside of our control that materially and adversely impact our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not find the data from our preclinical studies and clinical trials sufficient to demonstrate that the clinical and other benefits of our tablet vaccines outweigh the safety risks;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disagree with our interpretation of data from our preclinical studies and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not accept data generated at our clinical trial sites;</w:t>
      </w:r>
    </w:p>
    <w:p>
      <w:pPr>
        <w:spacing w:after="0" w:line="178" w:lineRule="exact"/>
        <w:rPr>
          <w:rFonts w:ascii="Times New Roman" w:cs="Times New Roman" w:eastAsia="Times New Roman" w:hAnsi="Times New Roman"/>
          <w:sz w:val="14"/>
          <w:szCs w:val="14"/>
          <w:color w:val="auto"/>
        </w:rPr>
      </w:pPr>
    </w:p>
    <w:p>
      <w:pPr>
        <w:ind w:left="140" w:hanging="135"/>
        <w:spacing w:after="0" w:line="269" w:lineRule="auto"/>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NDA or BLA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37"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require development of a risk evaluation and mitigation strategy as a condition of approval;</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identify deficiencies in our manufacturing processes or facilities;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may change its approval policies or adopt new regulations.</w:t>
      </w:r>
    </w:p>
    <w:p>
      <w:pPr>
        <w:spacing w:after="0" w:line="176"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Currently, a significant portion of the funding to further develop our COVID-19 vaccine candidate is expected to come from BARDA funds. If BARDA were to eliminate, reduce, delay, or object to funding available to us under the 2024 ATI-RRPV Contract, this could have a significant, negative impact on our revenues and cash flows, and we may be forced to suspend or terminate the continued development of the product candidate or obtain alternative sources of funding.</w:t>
      </w:r>
    </w:p>
    <w:p>
      <w:pPr>
        <w:spacing w:after="0" w:line="135" w:lineRule="exact"/>
        <w:rPr>
          <w:sz w:val="20"/>
          <w:szCs w:val="20"/>
          <w:color w:val="auto"/>
        </w:rPr>
      </w:pPr>
    </w:p>
    <w:p>
      <w:pPr>
        <w:ind w:right="120" w:firstLine="283"/>
        <w:spacing w:after="0" w:line="264" w:lineRule="auto"/>
        <w:rPr>
          <w:sz w:val="20"/>
          <w:szCs w:val="20"/>
          <w:color w:val="auto"/>
        </w:rPr>
      </w:pPr>
      <w:r>
        <w:rPr>
          <w:rFonts w:ascii="Times New Roman" w:cs="Times New Roman" w:eastAsia="Times New Roman" w:hAnsi="Times New Roman"/>
          <w:sz w:val="14"/>
          <w:szCs w:val="14"/>
          <w:color w:val="auto"/>
        </w:rPr>
        <w:t>In June 2024, we entered into the 2024 ATI-RRPV Contract with ATI, the Rapid Response Partnership Vehicle’s Consortium Management Firm funded by HHS BARDA. The 2024 ATI-RRPV Contract, as modified and amended to date, provides for a funding ceiling of approximately $460.7 million. Funding has been released pursuant to authorized milestones delineated in a series of contract modifications. Pursuant to Modification No. 6 to the 2024 ATI-RRPV Contract, dated March 10, 2026 (the most recent contract modification), the total amount of funding available for payment under the 2024 ATI-RRPV Contract is approximately $316.0 million.</w:t>
      </w:r>
    </w:p>
    <w:p>
      <w:pPr>
        <w:spacing w:after="0" w:line="140" w:lineRule="exact"/>
        <w:rPr>
          <w:sz w:val="20"/>
          <w:szCs w:val="20"/>
          <w:color w:val="auto"/>
        </w:rPr>
      </w:pPr>
    </w:p>
    <w:p>
      <w:pPr>
        <w:ind w:right="60" w:firstLine="283"/>
        <w:spacing w:after="0" w:line="257" w:lineRule="auto"/>
        <w:rPr>
          <w:sz w:val="20"/>
          <w:szCs w:val="20"/>
          <w:color w:val="auto"/>
        </w:rPr>
      </w:pPr>
      <w:r>
        <w:rPr>
          <w:rFonts w:ascii="Times New Roman" w:cs="Times New Roman" w:eastAsia="Times New Roman" w:hAnsi="Times New Roman"/>
          <w:sz w:val="14"/>
          <w:szCs w:val="14"/>
          <w:color w:val="auto"/>
        </w:rPr>
        <w:t>We anticipate that a significant portion of the funding to further develop our COVID-19 vaccine candidate will come from the remaining amounts to be received under the 2024 ATI-RRPV Contract. The 2024 ATI-RRPV Contract provides that the government has the right to determine whether to fund the continued performance of the study after the initial funding. In the second half of 2024, the Company initiated and completed enrollment of the 400-participant sentinel cohort of its Phase 2b study comparing the Company’s XBB COVID-19 vaccine candidate to an approved mRNA XBB comparator. In January 2025, the independent data safety monitoring board (DSMB) reviewed 30-day sentinel cohort data and recommended the study proceed without modifications. Twelve-month follow-up data from the sentinel cohort is expected in the first half of 2026. In February 2025, ATI issued a stop work order on the 2024 ATI-RRPV Contract. Subsequently, in April 2025, the Company received written notification from ATI lifting the stop work order, permitting the Company to resume incurring costs, participating in meetings, and communicating with the Government and ATI concerning the project award. In May 2025, HHS BARDA approved initiation of dosing in the 10,000-participant main cohort of the Phase 2b study, and the Company announced the first participant dosed later that month.</w:t>
      </w:r>
    </w:p>
    <w:p>
      <w:pPr>
        <w:spacing w:after="0" w:line="147" w:lineRule="exact"/>
        <w:rPr>
          <w:sz w:val="20"/>
          <w:szCs w:val="20"/>
          <w:color w:val="auto"/>
        </w:rPr>
      </w:pPr>
    </w:p>
    <w:p>
      <w:pPr>
        <w:ind w:right="20" w:firstLine="283"/>
        <w:spacing w:after="0" w:line="261" w:lineRule="auto"/>
        <w:rPr>
          <w:sz w:val="20"/>
          <w:szCs w:val="20"/>
          <w:color w:val="auto"/>
        </w:rPr>
      </w:pPr>
      <w:r>
        <w:rPr>
          <w:rFonts w:ascii="Times New Roman" w:cs="Times New Roman" w:eastAsia="Times New Roman" w:hAnsi="Times New Roman"/>
          <w:sz w:val="14"/>
          <w:szCs w:val="14"/>
          <w:color w:val="auto"/>
        </w:rPr>
        <w:t>In August 2025, ATI issued a second stop work order directing the Company to halt further screening and enrollment for the COVID-19 Phase 2b trial under the 2024 ATI-RRPV Contract. As of the August notification date, the Company had enrolled approximately half of the targeted number of participants for the main cohort of the study. On October 8, 2025, ATI issued a Follow-Up Notice confirming BARDA’s intent to stop all ongoing enrollment under the contract while permitting continued follow-up and planned analyses of both the sentinel cohort and the enrolled main study population. Contract funding is currently under review and is likely to be reduced commensurate with the reduced enrollment of approximately 5,000 participants versus the original planned enrollment of 10,000 participants in the main cohort of the Phase 2b study.</w:t>
      </w:r>
    </w:p>
    <w:p>
      <w:pPr>
        <w:spacing w:after="0" w:line="142" w:lineRule="exact"/>
        <w:rPr>
          <w:sz w:val="20"/>
          <w:szCs w:val="20"/>
          <w:color w:val="auto"/>
        </w:rPr>
      </w:pPr>
    </w:p>
    <w:p>
      <w:pPr>
        <w:jc w:val="both"/>
        <w:ind w:right="540" w:firstLine="283"/>
        <w:spacing w:after="0" w:line="269" w:lineRule="auto"/>
        <w:rPr>
          <w:sz w:val="20"/>
          <w:szCs w:val="20"/>
          <w:color w:val="auto"/>
        </w:rPr>
      </w:pPr>
      <w:r>
        <w:rPr>
          <w:rFonts w:ascii="Times New Roman" w:cs="Times New Roman" w:eastAsia="Times New Roman" w:hAnsi="Times New Roman"/>
          <w:sz w:val="14"/>
          <w:szCs w:val="14"/>
          <w:color w:val="auto"/>
        </w:rPr>
        <w:t>Even as we continue to receive funds under the 2024 ATI-RRPV Contract, the terms of the grant may unfavorably change, or the amount of funding may further decrease. If there is any government decision to discontinue funding under the 2024 ATI-RRPV Contract, our revenues and cash flows would be significantly and negatively impacted and we may be forced to seek alternative sources of funding, which may not be available on non-dilutive terms, terms favorable to us, or at all.</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There can be no assurance that Dynavax Technologies Corporation, a Sanofi company (“Dynavax”) will continue to perform the obligations under the 2025 License and Collaboration Agreement or that Dynavax will not exercise its right to terminate the agreement.</w:t>
      </w:r>
    </w:p>
    <w:p>
      <w:pPr>
        <w:spacing w:after="0" w:line="123" w:lineRule="exact"/>
        <w:rPr>
          <w:sz w:val="20"/>
          <w:szCs w:val="20"/>
          <w:color w:val="auto"/>
        </w:rPr>
      </w:pPr>
    </w:p>
    <w:p>
      <w:pPr>
        <w:ind w:right="120" w:firstLine="283"/>
        <w:spacing w:after="0" w:line="264" w:lineRule="auto"/>
        <w:rPr>
          <w:sz w:val="20"/>
          <w:szCs w:val="20"/>
          <w:color w:val="auto"/>
        </w:rPr>
      </w:pPr>
      <w:r>
        <w:rPr>
          <w:rFonts w:ascii="Times New Roman" w:cs="Times New Roman" w:eastAsia="Times New Roman" w:hAnsi="Times New Roman"/>
          <w:sz w:val="14"/>
          <w:szCs w:val="14"/>
          <w:color w:val="auto"/>
        </w:rPr>
        <w:t>On February 10, 2026, Sanofi, a French société anonyme (“Sanofi”) completed its acquisition of Dynavax. As a result of the consummation of the merger, Dynavax became an indirect wholly owned subsidiary of Sanofi. Sanofi’s vaccine portfolio includes multiple influenza vaccines (Fluzone High-Dose, Flublok, Fluzone) and a co-commercialized protein-based COVID-19 vaccine, Nuvaxovid. Sanofi is also developing a combination, single-shot COVID-19/flu vaccine for adults 50+ using Novavax technology, targeting a non-mRNA approach. Sanofi can be expected to make their decision for further investments in our Dynavax partnered COVID-19 vaccine and potentially other Vaxart assets in the context of this larger vaccine portfolio.</w:t>
      </w:r>
    </w:p>
    <w:p>
      <w:pPr>
        <w:spacing w:after="0" w:line="138"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development of a norovirus vaccine candidate and a coronavirus vaccine candidate is at an early stage. We may be unable to produce an effective vaccine that successfully immunizes humans against norovirus or an effective vaccine that successfully immunizes humans against coronavirus in a timely manner, if at all.</w:t>
      </w:r>
    </w:p>
    <w:p>
      <w:pPr>
        <w:spacing w:after="0" w:line="123" w:lineRule="exact"/>
        <w:rPr>
          <w:sz w:val="20"/>
          <w:szCs w:val="20"/>
          <w:color w:val="auto"/>
        </w:rPr>
      </w:pPr>
    </w:p>
    <w:p>
      <w:pPr>
        <w:ind w:right="20" w:firstLine="254"/>
        <w:spacing w:after="0" w:line="269" w:lineRule="auto"/>
        <w:rPr>
          <w:sz w:val="20"/>
          <w:szCs w:val="20"/>
          <w:color w:val="auto"/>
        </w:rPr>
      </w:pPr>
      <w:r>
        <w:rPr>
          <w:rFonts w:ascii="Times New Roman" w:cs="Times New Roman" w:eastAsia="Times New Roman" w:hAnsi="Times New Roman"/>
          <w:sz w:val="14"/>
          <w:szCs w:val="14"/>
          <w:color w:val="auto"/>
        </w:rPr>
        <w:t>We are in the business of developing oral vaccines that are administered by tablet rather than by injection. Our development of the norovirus vaccine and a coronavirus vaccine is at an early stage, and we may be unable to produce an effective vaccine that successfully immunizes humans against norovirus or an effective vaccine that successfully immunizes humans against coronavirus in a timely manner, if at all.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fail to produce an effective vaccine that successfully immunizes against norovirus or coronavirus in a timely manner, if at all.</w:t>
      </w:r>
    </w:p>
    <w:p>
      <w:pPr>
        <w:spacing w:after="0" w:line="180" w:lineRule="exact"/>
        <w:rPr>
          <w:sz w:val="20"/>
          <w:szCs w:val="20"/>
          <w:color w:val="auto"/>
        </w:rPr>
      </w:pPr>
    </w:p>
    <w:p>
      <w:pPr>
        <w:ind w:right="100" w:firstLine="254"/>
        <w:spacing w:after="0" w:line="269" w:lineRule="auto"/>
        <w:rPr>
          <w:sz w:val="20"/>
          <w:szCs w:val="20"/>
          <w:color w:val="auto"/>
        </w:rPr>
      </w:pPr>
      <w:r>
        <w:rPr>
          <w:rFonts w:ascii="Times New Roman" w:cs="Times New Roman" w:eastAsia="Times New Roman" w:hAnsi="Times New Roman"/>
          <w:sz w:val="14"/>
          <w:szCs w:val="14"/>
          <w:color w:val="auto"/>
        </w:rPr>
        <w:t>We are pursuing clinical development of vaccine candidates, employing our proprietary oral vaccine platform. While we have begun the Phase 2b clinical trial of our coronavirus vaccine candidate, none of our product candidates has advanced into late-stage clinical trials for the indications that we are pursuing development for. As such, clinical studies of our vaccine candidates may not be completed in a timely manner, and we may not be able to produce an effective vaccine that successfully immunizes against norovirus or coronavirus any time soon, if at all.</w:t>
      </w:r>
    </w:p>
    <w:p>
      <w:pPr>
        <w:spacing w:after="0" w:line="137"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Even if we complete our clinical trials as planned and our vaccine candidates successfully demonstrate safety and efficacy, we cannot predict the probability or timing of subsequently obtaining regulatory approval. Regulatory agencies may not complete their review processes in a timely manner, and we may not be able to obtain timely regulatory approval, if at all. Further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Delays or failure to obtain necessary regulatory approvals in time could have a material adverse effect on our business, results of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likelihood and timing of our success further depends on our partners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performance and our ability to maintain relationships with them.</w:t>
      </w:r>
    </w:p>
    <w:p>
      <w:pPr>
        <w:spacing w:after="0" w:line="180" w:lineRule="exact"/>
        <w:rPr>
          <w:sz w:val="20"/>
          <w:szCs w:val="20"/>
          <w:color w:val="auto"/>
        </w:rPr>
      </w:pPr>
    </w:p>
    <w:p>
      <w:pPr>
        <w:ind w:right="140" w:firstLine="254"/>
        <w:spacing w:after="0" w:line="261" w:lineRule="auto"/>
        <w:rPr>
          <w:sz w:val="20"/>
          <w:szCs w:val="20"/>
          <w:color w:val="auto"/>
        </w:rPr>
      </w:pPr>
      <w:r>
        <w:rPr>
          <w:rFonts w:ascii="Times New Roman" w:cs="Times New Roman" w:eastAsia="Times New Roman" w:hAnsi="Times New Roman"/>
          <w:sz w:val="14"/>
          <w:szCs w:val="14"/>
          <w:color w:val="auto"/>
        </w:rPr>
        <w:t>If we are unsuccessful in maintaining our relationships with critical third parties such as CROs and CMOs, our ability to develop our oral norovirus vaccine candidate or our oral coronavirus vaccine candidate and consequently compete in the marketplace could be impaired, and our results of operations may suffer. Even if we are successful, we cannot assure you that these relationships will result in successful development and commercialization of our oral norovirus vaccine candidate. Our failure, or the failure of such partners or potential partners, to comply with applicable regulations could result in sanctions being imposed on us, including clinical holds, delays, suspension or withdrawal of approval to conduct clinical investigations, license revocation, operating restrictions and criminal prosecutions, any of which could significantly and adversely affect supplies of our potential norovirus vaccine.</w:t>
      </w:r>
    </w:p>
    <w:p>
      <w:pPr>
        <w:spacing w:after="0" w:line="142"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Manufacturing any drug product with recombinant technology such as our adenovirus type 5 based vaccines presents technical challenges. Our manufacturing partners may not be able to successfully manufacture any vaccine with our VAAST platform, or to comply with cGMP, regulations or similar regulatory requirements. The number of doses of our potential vaccine that we are able to produce is dependent on our ability to successfully and rapidly scale-up manufacturing capacity. The number of doses that we will be able to produce is also dependent in large part on the dose of the vaccine required to be administered to patients which will be determined in our clinical trials. To properly scale-up and develop a commercial process, we may need to expend significant resources, expertise, and capital.</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80" w:firstLine="254"/>
        <w:spacing w:after="0" w:line="269" w:lineRule="auto"/>
        <w:rPr>
          <w:sz w:val="20"/>
          <w:szCs w:val="20"/>
          <w:color w:val="auto"/>
        </w:rPr>
      </w:pPr>
      <w:r>
        <w:rPr>
          <w:rFonts w:ascii="Times New Roman" w:cs="Times New Roman" w:eastAsia="Times New Roman" w:hAnsi="Times New Roman"/>
          <w:sz w:val="14"/>
          <w:szCs w:val="14"/>
          <w:color w:val="auto"/>
        </w:rPr>
        <w:t>Scale up can present problems such as difficulties with production costs and yields, quality control, including stability of the product candidate and quality assurance testing, shortages of qualified personnel or key raw materials, and compliance with strictly enforced federal, state, and foreign regulations. Our contract manufacturers may not perform as agreed. If any manufacturer encounters these or other difficulties, our ability to provide product candidates to patients in our clinical trials could be jeopardized.</w:t>
      </w:r>
    </w:p>
    <w:p>
      <w:pPr>
        <w:spacing w:after="0" w:line="135"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will require additional capital to fund our operations, and if we fail to obtain necessary financing, we may not be able to complete the development and commercialization of our tablet vaccine candidates.</w:t>
      </w:r>
    </w:p>
    <w:p>
      <w:pPr>
        <w:spacing w:after="0" w:line="123" w:lineRule="exact"/>
        <w:rPr>
          <w:sz w:val="20"/>
          <w:szCs w:val="20"/>
          <w:color w:val="auto"/>
        </w:rPr>
      </w:pPr>
    </w:p>
    <w:p>
      <w:pPr>
        <w:ind w:right="60" w:firstLine="254"/>
        <w:spacing w:after="0" w:line="261" w:lineRule="auto"/>
        <w:rPr>
          <w:sz w:val="20"/>
          <w:szCs w:val="20"/>
          <w:color w:val="auto"/>
        </w:rPr>
      </w:pPr>
      <w:r>
        <w:rPr>
          <w:rFonts w:ascii="Times New Roman" w:cs="Times New Roman" w:eastAsia="Times New Roman" w:hAnsi="Times New Roman"/>
          <w:sz w:val="14"/>
          <w:szCs w:val="14"/>
          <w:color w:val="auto"/>
        </w:rPr>
        <w:t>We expect to spend substantial amounts to complete the development of, seek regulatory approvals for and commercialize our tablet vaccine candidates. We will require substantial additional capital to complete the development and potential commercialization of our tablet vaccine candidates for norovirus, coronavirus, influenza and HPV and the development of other product candidates. If we are unable to raise capital or find appropriate partnering or licensing collaborations, when needed or on acceptable terms, we could be forced to delay, reduce or eliminate one or more of our development programs or any future commercialization efforts. In addition, attempting to secure additional financing may divert the time and attention of our management from day-to-day activities and harm our development efforts.</w:t>
      </w:r>
    </w:p>
    <w:p>
      <w:pPr>
        <w:spacing w:after="0" w:line="142" w:lineRule="exact"/>
        <w:rPr>
          <w:sz w:val="20"/>
          <w:szCs w:val="20"/>
          <w:color w:val="auto"/>
        </w:rPr>
      </w:pPr>
    </w:p>
    <w:p>
      <w:pPr>
        <w:ind w:right="320" w:firstLine="254"/>
        <w:spacing w:after="0" w:line="264" w:lineRule="auto"/>
        <w:rPr>
          <w:sz w:val="20"/>
          <w:szCs w:val="20"/>
          <w:color w:val="auto"/>
        </w:rPr>
      </w:pPr>
      <w:r>
        <w:rPr>
          <w:rFonts w:ascii="Times New Roman" w:cs="Times New Roman" w:eastAsia="Times New Roman" w:hAnsi="Times New Roman"/>
          <w:sz w:val="14"/>
          <w:szCs w:val="14"/>
          <w:color w:val="auto"/>
        </w:rPr>
        <w:t>As of March 31, 2026, we had $61.0 million of cash, cash equivalents and short-term investments. We maintain our cash, cash equivalents and short-term investments with high quality, accredited financial institutions. However, some of these accounts exceed federally insured limits, and, while we believe the Company is not exposed to significant credit risk due to the financial strength of these depository institutions or investments, the failure or collapse of one or more of these depository institutions or default on these investments could materially adversely affect our ability to recover these assets and/or materially harm our financial condition.</w:t>
      </w:r>
    </w:p>
    <w:p>
      <w:pPr>
        <w:spacing w:after="0" w:line="140"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Although we believe such cash, cash equivalents and short-term investments are sufficient to fund our operations under our current operating plan for at least one year from the date of issuance of this prospectus, our estimate as to what we will be able to accomplish is based on assumptions that may prove to be inaccurate, and we could exhaust our available capital resources sooner than is currently expected. Because the length of time and activities associated with successful development of our product candidates is highly uncertain, we are unable to estimate the actual funds we will require for development and any approved marketing and commercialization activities. Our future funding requirements, both near and long-term, will depend on many factors, including, but not limited to:</w:t>
      </w:r>
    </w:p>
    <w:p>
      <w:pPr>
        <w:spacing w:after="0" w:line="142" w:lineRule="exact"/>
        <w:rPr>
          <w:sz w:val="20"/>
          <w:szCs w:val="20"/>
          <w:color w:val="auto"/>
        </w:rPr>
      </w:pPr>
    </w:p>
    <w:p>
      <w:pPr>
        <w:ind w:left="140" w:hanging="135"/>
        <w:spacing w:after="0"/>
        <w:tabs>
          <w:tab w:leader="none" w:pos="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enter into partnering and collaboration agreements;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costs and results of our planned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 of meeting regulatory requirements established by the FDA, the European Medicines Agency, or EMA, and other comparable foreign regulatory authorities;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filing, prosecuting, defending and enforcing our patent claims and other intellectual property rights;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defending potential intellectual property disputes, including any patent infringement actions brought by third parties against us now or in the future;</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technological and market developments;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establishing sales, marketing and distribution capabilities in regions where we choose to commercialize our product candidates on our own;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progress, timing and results of the commercialization of our product candidates, if approved, for commercial sale.</w:t>
      </w:r>
    </w:p>
    <w:p>
      <w:pPr>
        <w:spacing w:after="0" w:line="178" w:lineRule="exact"/>
        <w:rPr>
          <w:sz w:val="20"/>
          <w:szCs w:val="20"/>
          <w:color w:val="auto"/>
        </w:rPr>
      </w:pPr>
    </w:p>
    <w:p>
      <w:pPr>
        <w:ind w:right="60" w:firstLine="254"/>
        <w:spacing w:after="0" w:line="286" w:lineRule="auto"/>
        <w:rPr>
          <w:sz w:val="20"/>
          <w:szCs w:val="20"/>
          <w:color w:val="auto"/>
        </w:rPr>
      </w:pPr>
      <w:r>
        <w:rPr>
          <w:rFonts w:ascii="Times New Roman" w:cs="Times New Roman" w:eastAsia="Times New Roman" w:hAnsi="Times New Roman"/>
          <w:sz w:val="14"/>
          <w:szCs w:val="14"/>
          <w:color w:val="auto"/>
        </w:rPr>
        <w:t>Additional funding may not be available on acceptable terms, or at all. If we are unable to raise additional capital in sufficient amounts or on terms acceptable to us, we may have to significantly delay, scale back or discontinue the development or commercialization of our product candidates or potentially discontinue operations.</w:t>
      </w:r>
    </w:p>
    <w:p>
      <w:pPr>
        <w:spacing w:after="0" w:line="12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23"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government programs,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45" w:lineRule="exact"/>
        <w:rPr>
          <w:sz w:val="20"/>
          <w:szCs w:val="20"/>
          <w:color w:val="auto"/>
        </w:rPr>
      </w:pPr>
    </w:p>
    <w:p>
      <w:pPr>
        <w:ind w:right="160" w:firstLine="254"/>
        <w:spacing w:after="0" w:line="261"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common stock has been volatile and fluctuates substantially, which could result in substantial losses for stockholders.</w:t>
      </w:r>
    </w:p>
    <w:p>
      <w:pPr>
        <w:spacing w:after="0" w:line="180" w:lineRule="exact"/>
        <w:rPr>
          <w:sz w:val="20"/>
          <w:szCs w:val="20"/>
          <w:color w:val="auto"/>
        </w:rPr>
      </w:pPr>
    </w:p>
    <w:p>
      <w:pPr>
        <w:ind w:right="140" w:firstLine="254"/>
        <w:spacing w:after="0" w:line="269" w:lineRule="auto"/>
        <w:rPr>
          <w:sz w:val="20"/>
          <w:szCs w:val="20"/>
          <w:color w:val="auto"/>
        </w:rPr>
      </w:pPr>
      <w:r>
        <w:rPr>
          <w:rFonts w:ascii="Times New Roman" w:cs="Times New Roman" w:eastAsia="Times New Roman" w:hAnsi="Times New Roman"/>
          <w:sz w:val="14"/>
          <w:szCs w:val="14"/>
          <w:color w:val="auto"/>
        </w:rPr>
        <w:t>Our stock price has been, and in the future may be, subject to substantial volatility. As a result of this volatility, our stockholders could incur substantial losses.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your initial purchase price.</w:t>
      </w:r>
    </w:p>
    <w:p>
      <w:pPr>
        <w:spacing w:after="0" w:line="137" w:lineRule="exact"/>
        <w:rPr>
          <w:sz w:val="20"/>
          <w:szCs w:val="20"/>
          <w:color w:val="auto"/>
        </w:rPr>
      </w:pPr>
    </w:p>
    <w:p>
      <w:pPr>
        <w:jc w:val="both"/>
        <w:ind w:right="80" w:firstLine="254"/>
        <w:spacing w:after="0" w:line="264" w:lineRule="auto"/>
        <w:rPr>
          <w:sz w:val="20"/>
          <w:szCs w:val="20"/>
          <w:color w:val="auto"/>
        </w:rPr>
      </w:pPr>
      <w:r>
        <w:rPr>
          <w:rFonts w:ascii="Times New Roman" w:cs="Times New Roman" w:eastAsia="Times New Roman" w:hAnsi="Times New Roman"/>
          <w:sz w:val="14"/>
          <w:szCs w:val="14"/>
          <w:color w:val="auto"/>
        </w:rPr>
        <w:t>The market price for our common stock may be influenced by many factors, including the results of clinical trials of our products or those of our competitors, regulatory or legal developments, developments, disputes, or other matters concerning patent applications, issued patents, or other proprietary rights, our ability to recruit and retain key personnel, public announcements by us or our strategic collaborators regarding the progress of our development candidates similar public announcements by our competitors, and other factors set forth in this document and our other reports filed with the SEC.</w:t>
      </w:r>
    </w:p>
    <w:p>
      <w:pPr>
        <w:spacing w:after="0" w:line="140"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If our quarterly or annual results fall below the expectations of investors or securities analysts, the price of our common stock could decline substantially. Furthermore, any quarterly or annual fluctuations in our results may, in turn, cause the price of our stock to fluctuate substantially. We believe that period-to-period comparisons of our results are not necessarily meaningful and should not be relied upon as an indication of our future performance.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In addition, public statements by us, government agencies, the media or others relating to the SARS-CoV-2 outbreak (including regarding efforts to develop a COVID-19 vaccine) have in the past resulted, and may in the future result, in significant fluctuations in our stock price. Given the global focus on the coronavirus outbreak, any information in the public arena on this topic, whether or not accurate, could have an outsized impact (either positive or negative) on our stock price. Information related to our development, manufacturing and distribution efforts with respect to our vaccine candidates, or information regarding such efforts by competitors with respect to their potential vaccines, may also impact our stock price.</w:t>
      </w:r>
    </w:p>
    <w:p>
      <w:pPr>
        <w:spacing w:after="0" w:line="140" w:lineRule="exact"/>
        <w:rPr>
          <w:sz w:val="20"/>
          <w:szCs w:val="20"/>
          <w:color w:val="auto"/>
        </w:rPr>
      </w:pPr>
    </w:p>
    <w:p>
      <w:pPr>
        <w:ind w:right="360" w:firstLine="254"/>
        <w:spacing w:after="0" w:line="269" w:lineRule="auto"/>
        <w:rPr>
          <w:sz w:val="20"/>
          <w:szCs w:val="20"/>
          <w:color w:val="auto"/>
        </w:rPr>
      </w:pPr>
      <w:r>
        <w:rPr>
          <w:rFonts w:ascii="Times New Roman" w:cs="Times New Roman" w:eastAsia="Times New Roman" w:hAnsi="Times New Roman"/>
          <w:sz w:val="14"/>
          <w:szCs w:val="14"/>
          <w:color w:val="auto"/>
        </w:rPr>
        <w:t>Our stock price is likely to continue to be volatile and subject to significant price and volume fluctuations in response to market and other factors, including: the other factors discussed in in future periodic reports; variations in our quarterly operating results from our expectations or those of securities analysts or investors; downward revisions in securities analysts’ estimates; and announcement by us or our competitors of significant acquisitions, strategic partnerships, joint ventures or capital commitments.</w:t>
      </w:r>
    </w:p>
    <w:p>
      <w:pPr>
        <w:spacing w:after="0" w:line="137" w:lineRule="exact"/>
        <w:rPr>
          <w:sz w:val="20"/>
          <w:szCs w:val="20"/>
          <w:color w:val="auto"/>
        </w:rPr>
      </w:pPr>
    </w:p>
    <w:p>
      <w:pPr>
        <w:ind w:right="120" w:firstLine="254"/>
        <w:spacing w:after="0" w:line="286" w:lineRule="auto"/>
        <w:rPr>
          <w:sz w:val="20"/>
          <w:szCs w:val="20"/>
          <w:color w:val="auto"/>
        </w:rPr>
      </w:pPr>
      <w:r>
        <w:rPr>
          <w:rFonts w:ascii="Times New Roman" w:cs="Times New Roman" w:eastAsia="Times New Roman" w:hAnsi="Times New Roman"/>
          <w:sz w:val="14"/>
          <w:szCs w:val="14"/>
          <w:color w:val="auto"/>
        </w:rPr>
        <w:t>Market prices for securities of early-stage pharmaceutical, biotechnology and other life sciences companies have historically been particularly volatile. Some of the factors that cause the market price of our common stock to fluctuate include:</w:t>
      </w:r>
    </w:p>
    <w:p>
      <w:pPr>
        <w:spacing w:after="0" w:line="125" w:lineRule="exact"/>
        <w:rPr>
          <w:sz w:val="20"/>
          <w:szCs w:val="20"/>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product candidates and conduct clinical trials that demonstrate our product candidates are safe and effective;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negotiate and receive royalty payments on the sales of our product candidates including Inavir;</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approvals for our product candidates, and delays or failures to obtain such approvals;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any of our product candidates to demonstrate safety and efficacy, receive regulatory approval and achieve commercial success;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our existing third-party license, manufacturing and supply agreements;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or that of our licensors, to prosecute, maintain, or enforce our intellectual property rights;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product candidates;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to obtain adequate supply of product candidates or the inability to do so at acceptable prices;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authority decisions;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introduction of new or competing products by our competitors;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that we may provide to the public;</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perception of the pharmaceutical industry by the public, legislatures, regulators and the investment community;</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significant acquisitions, strategic partnerships, joint ventures, or capital commitments by us or our competitors;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intellectual property protection for our technologies;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personnel;</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intellectual property or stockholder litigation;</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securities or industry analysts do not publish research or reports about us, or if they issue adverse or misleading opinions regarding our business and stock;</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or macroeconomic conditions;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our existing stockholders in the future;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relating to our markets generally, including with respect to other products and potential products in such markets;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 care payment systems;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period-to-period fluctuations in our financial results.</w:t>
      </w:r>
    </w:p>
    <w:p>
      <w:pPr>
        <w:spacing w:after="0" w:line="178"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600"/>
          </w:cols>
          <w:pgMar w:left="300" w:top="125"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common stock has been delisted from The Nasdaq Capital Market. There can therefore be no assurance that it will trade on a national exchange again.</w:t>
      </w:r>
    </w:p>
    <w:p>
      <w:pPr>
        <w:spacing w:after="0" w:line="180" w:lineRule="exact"/>
        <w:rPr>
          <w:sz w:val="20"/>
          <w:szCs w:val="20"/>
          <w:color w:val="auto"/>
        </w:rPr>
      </w:pPr>
    </w:p>
    <w:p>
      <w:pPr>
        <w:ind w:right="20" w:firstLine="254"/>
        <w:spacing w:after="0" w:line="257" w:lineRule="auto"/>
        <w:rPr>
          <w:sz w:val="20"/>
          <w:szCs w:val="20"/>
          <w:color w:val="auto"/>
        </w:rPr>
      </w:pPr>
      <w:r>
        <w:rPr>
          <w:rFonts w:ascii="Times New Roman" w:cs="Times New Roman" w:eastAsia="Times New Roman" w:hAnsi="Times New Roman"/>
          <w:sz w:val="14"/>
          <w:szCs w:val="14"/>
          <w:color w:val="auto"/>
        </w:rPr>
        <w:t>Effective July 8, 2025, Nasdaq suspended trading in our common stock and subsequently informed the Company on September 19, 2025, that the Company’s common stock will be delisted from The Nasdaq Capital Market due to the Company’s ongoing failure to comply with the minimum bid price requirement under Nasdaq Listing Rule 5550(a)(2). Vaxart, Inc. was formally delisted from Nasdaq following a final determination by the Nasdaq's Listing Qualifications Department on November 3, 2025. Our common stock is currently quoted on the OTCQX under the ticker symbol “VXRT.” We can provide no assurance that our common stock will continue to trade on this market, whether broker-dealers will continue to provide public quotes for our common stock, and whether the trading volume of our common stock will be sufficient to provide for an efficient trading market in the future. Stocks trading in the OTC Markets generally have substantially less liquidity, hence, decreasing our ability to issue additional securities or obtain additional financing. The National Securities Markets Improvement Act of 1996, which is a federal statute, prevents or preempts the states from regulating the sale of certain securities, which are referred to as “covered securities.” As we are currently no longer listed on Nasdaq, our securities do not qualify as covered securities under the statute, and we are subject to regulation in each state in which we offer our securities.</w:t>
      </w:r>
    </w:p>
    <w:p>
      <w:pPr>
        <w:spacing w:after="0" w:line="14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business may be adversely affected by a pandemic, epidemic, or outbreak of an infectious disease, such as COVID-19, the severe acute respiratory syndrome, the H5N1 strain of avian influenza, the H1N1 strain of swine flu, and the Zika virus.</w:t>
      </w:r>
    </w:p>
    <w:p>
      <w:pPr>
        <w:spacing w:after="0" w:line="123"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The occurrence of a pandemic, epidemic, or outbreak of an infectious disease, including, but not limited to, COVID-19, the severe acute respiratory syndrome, the H5N1 strain of avian influenza, the H1N1 strain of swine flu, and the Zika virus, is highly uncertain and cannot be predicted with confidence, including the duration, scope, and severity of such event. These severe conditions may cause us and our business partners to make adjustments, such as temporarily closing down business, limiting business hours, and setting restrictions on travel. In regions where we have concentrations of clinical trial sites or other business activities, our business could be adversely affected by health epidemics, which could cause significant disruption in the operations of third-party contract manufacturers and contract research organizations upon whom we rely, as well as our ability to recruit patients for our clinical trials. Any of the forgoing disruptions to our business can result in material adverse effects to our financial condition and results of operations.</w:t>
      </w:r>
    </w:p>
    <w:p>
      <w:pPr>
        <w:spacing w:after="0" w:line="145"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The outbreak and any preventative or protective actions that governments or we may take in respect of any epidemic may result in a period of business disruption and reduced operations. Any resulting financial impact cannot be reasonably estimated at this time but may materially affect our business, financial condition and results of operations. The extent to which an epidemic impacts our results will depend on future developments, which are highly uncertain and cannot be predicted, including new information which may emerge concerning the severity of an epidemic and the actions to contain the epidemic or treat its impact, among others. There may be interruptions to our supply chain due to the inability of manufacturers to continue normal business operations and to ship products. In addition, a significant outbreak of an infectious disease could result in a widespread health crisis that could adversely affect the economies and financial markets worldwide, resulting in an economic downturn that could impact our business, financial condition and results of operations. We are currently working to enhance our business continuity plans to include measures to protect our employees in the event of infection in our corporate offices, or in response to potential mandatory quarantines.</w:t>
      </w:r>
    </w:p>
    <w:p>
      <w:pPr>
        <w:spacing w:after="0" w:line="143"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Ongoing military conflicts could cause geopolitical instability, economic uncertainty, financial markets volatility and capital markets disruption may adversely affect our revenue, financial condition, or results of operations.</w:t>
      </w:r>
    </w:p>
    <w:p>
      <w:pPr>
        <w:spacing w:after="0" w:line="123" w:lineRule="exact"/>
        <w:rPr>
          <w:sz w:val="20"/>
          <w:szCs w:val="20"/>
          <w:color w:val="auto"/>
        </w:rPr>
      </w:pPr>
    </w:p>
    <w:p>
      <w:pPr>
        <w:ind w:right="120" w:firstLine="254"/>
        <w:spacing w:after="0" w:line="258" w:lineRule="auto"/>
        <w:rPr>
          <w:sz w:val="20"/>
          <w:szCs w:val="20"/>
          <w:color w:val="auto"/>
        </w:rPr>
      </w:pPr>
      <w:r>
        <w:rPr>
          <w:rFonts w:ascii="Times New Roman" w:cs="Times New Roman" w:eastAsia="Times New Roman" w:hAnsi="Times New Roman"/>
          <w:sz w:val="14"/>
          <w:szCs w:val="14"/>
          <w:color w:val="auto"/>
        </w:rPr>
        <w:t>Current military conflicts may disrupt or otherwise adversely impact our operations and those of third parties upon which we rely. Related sanctions, export controls or other actions that have already been initiated or may in the future be initiated by nations including the U.S., the European Union or Russia (e.g., potential cyberattacks, disruption of energy flows, etc.) can adversely affect our business, our contract research organizations, contract manufacturing organizations and other third parties with which we conduct business. Resulting volatility, disruption, or deterioration in the credit and financial markets may further make any necessary debt or equity financing more difficult and more costly.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be adversely impacted by deteriorating economic conditions, which could directly affect our ability to attain our operating goals and to accurately forecast and plan our future business activities.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obtain or maintain adequate reimbursement and insurance coverage for our product candidates, our ability to generate significant revenue could be limited.</w:t>
      </w:r>
    </w:p>
    <w:p>
      <w:pPr>
        <w:spacing w:after="0" w:line="180"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The availability and extent of reimbursement by governmental and private payors is essential for most patients to be able to afford expensive treatments. Sales of any of our product candidates that receive marketing approval will depend substantially, both in the U.S.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on a limited basis,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42"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Outside the U.S.,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U.S., the level of reimbursement for our products is likely to be reduced compared with the U.S. and may be insufficient to generate commercially reasonable revenues and profits.</w:t>
      </w:r>
    </w:p>
    <w:p>
      <w:pPr>
        <w:spacing w:after="0" w:line="147"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Moreover, increasing efforts by governmental and third-party payors, in the U.S. and internationally, to cap or reduce healthcare costs may cause such organizations to limit both coverage and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executive officers and attract, retain and motivate qualified personnel.</w:t>
      </w:r>
    </w:p>
    <w:p>
      <w:pPr>
        <w:spacing w:after="0" w:line="180" w:lineRule="exact"/>
        <w:rPr>
          <w:sz w:val="20"/>
          <w:szCs w:val="20"/>
          <w:color w:val="auto"/>
        </w:rPr>
      </w:pPr>
    </w:p>
    <w:p>
      <w:pPr>
        <w:ind w:right="40" w:firstLine="254"/>
        <w:spacing w:after="0" w:line="269" w:lineRule="auto"/>
        <w:rPr>
          <w:sz w:val="20"/>
          <w:szCs w:val="20"/>
          <w:color w:val="auto"/>
        </w:rPr>
      </w:pPr>
      <w:r>
        <w:rPr>
          <w:rFonts w:ascii="Times New Roman" w:cs="Times New Roman" w:eastAsia="Times New Roman" w:hAnsi="Times New Roman"/>
          <w:sz w:val="14"/>
          <w:szCs w:val="14"/>
          <w:color w:val="auto"/>
        </w:rPr>
        <w:t>We rely on our executive officers and the other principal members of the executive and scientific teams. The employment of our executive officers is at-will and our executive officers may terminate their employment at any time. The loss of the services of any of our senior executive officers could impede the achievement of our research, development and commercialization objectives. We do not maintain “key person” insurance for any executive officer or employee.</w:t>
      </w:r>
    </w:p>
    <w:p>
      <w:pPr>
        <w:spacing w:after="0" w:line="137" w:lineRule="exact"/>
        <w:rPr>
          <w:sz w:val="20"/>
          <w:szCs w:val="20"/>
          <w:color w:val="auto"/>
        </w:rPr>
      </w:pPr>
    </w:p>
    <w:p>
      <w:pPr>
        <w:ind w:right="60" w:firstLine="254"/>
        <w:spacing w:after="0" w:line="259" w:lineRule="auto"/>
        <w:rPr>
          <w:sz w:val="20"/>
          <w:szCs w:val="20"/>
          <w:color w:val="auto"/>
        </w:rPr>
      </w:pPr>
      <w:r>
        <w:rPr>
          <w:rFonts w:ascii="Times New Roman" w:cs="Times New Roman" w:eastAsia="Times New Roman" w:hAnsi="Times New Roman"/>
          <w:sz w:val="14"/>
          <w:szCs w:val="14"/>
          <w:color w:val="auto"/>
        </w:rPr>
        <w:t>Recruiting and retaining qualified scientific, clinical and sales and marketing personnel is also critical to our success. We may not be able to attract and retain these personnel on acceptable terms given the competition among numerous pharmaceutical and biotechnology companies for similar personnel. We also experience competition for the hiring of scientific and clinical personnel from universities and research institutions. Our industry has experienced an increasing rate of turnover of management and scientific personnel in recent years. In addition, we rely on consultants and advisors, including scientific and clinical advisors, to assist us in devising our research and development and commercialization strategy. Our consultants and advisors may be employed by third parties and have commitments under consulting or advisory contracts with other entities that may limit their availability to advance our strategic objectives. If any of these advisors or consultants can no longer dedicate a sufficient amount of time to us, our business may be harmed.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need to expand our organization, and may experience difficulties in managing this growth, which could disrupt operations.</w:t>
      </w:r>
    </w:p>
    <w:p>
      <w:pPr>
        <w:spacing w:after="0" w:line="180"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Our future financial performance and our ability to commercialize our product candidates, continue to earn royalties and compete effectively will depend, in part, on our ability to effectively manage any future growth. As of December 31, 2025, we had 65 employees, which we believe would be insufficient to commercialize our vaccine product candidates. We may have operational difficulties in connection with identifying, hiring and integrating new personnel. Future growth would impose significant additional responsibilities on our management, including the need to identify, recruit, maintain, motivate and integrate additional employees, consultants and contractors.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our product candidates. If we are unable to effectively manage our growth, our expenses may increase more than expected, our ability to generate and/or grow revenues could be reduced, and we may not be able to implement our business strategy.</w:t>
      </w:r>
    </w:p>
    <w:p>
      <w:pPr>
        <w:spacing w:after="0" w:line="147"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Many of the other pharmaceutical companies that we compete against for qualified personnel and consultants have greater financial and other resources, different risk profiles and a longer history in the industry than us. They may also provide more diverse opportunities and better chances for career advancement. Some of these characteristics may be more appealing to high-quality candidates and consultants than what we are able to offer. If we are unable to continue to attract and retain high-quality personnel and consultants, the rate and success at which we can select and develop our product candidates and our business will be limited.</w:t>
      </w:r>
    </w:p>
    <w:p>
      <w:pPr>
        <w:spacing w:after="0" w:line="13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certain legal proceedings, and may be subject to additional legal proceedings, which may result in substantial costs, divert 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attention and have a material adverse effect on our business, financial condition and results of operations.</w:t>
      </w:r>
    </w:p>
    <w:p>
      <w:pPr>
        <w:spacing w:after="0" w:line="123"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We are currently subject to certain pending legal proceedings, as described in this document. We may become involved in additional legal proceedings relating to the aforementioned matters or, from time to time, we may become involved in legal proceedings involving unrelated matters. Due to the inherent uncertainties in legal proceedings, we cannot accurately predict their ultimate outcome. Our stock price has been extremely volatile, and we may become involved in additional securities class action lawsuits in the future. Any such legal proceedings, regardless of their merit, could result in substantial costs and a diversion of management’s attention and resources that are needed to successfully run our business, could impair the Company’s ability to recruit and retain directors, officers, and other key personnel, could impact its ability to secure financing, insurance, and other transactions (or the terms of any such financings, insurance, or other transactions), and for these and other reasons could have a material adverse impact on our business, financial condition, results of operations,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inaccurate or unfavorable reports about our business, our stock price and trading volume could decline.</w:t>
      </w:r>
    </w:p>
    <w:p>
      <w:pPr>
        <w:spacing w:after="0" w:line="180" w:lineRule="exact"/>
        <w:rPr>
          <w:sz w:val="20"/>
          <w:szCs w:val="20"/>
          <w:color w:val="auto"/>
        </w:rPr>
      </w:pPr>
    </w:p>
    <w:p>
      <w:pPr>
        <w:ind w:right="80" w:firstLine="254"/>
        <w:spacing w:after="0" w:line="286" w:lineRule="auto"/>
        <w:rPr>
          <w:sz w:val="20"/>
          <w:szCs w:val="20"/>
          <w:color w:val="auto"/>
        </w:rPr>
      </w:pPr>
      <w:r>
        <w:rPr>
          <w:rFonts w:ascii="Times New Roman" w:cs="Times New Roman" w:eastAsia="Times New Roman" w:hAnsi="Times New Roman"/>
          <w:sz w:val="14"/>
          <w:szCs w:val="14"/>
          <w:color w:val="auto"/>
        </w:rPr>
        <w:t>The trading market for our common stock is influenced by independent research and reports that securities or industry analysts publish about us or our business from time to time. If one or more of the analysts who cover us should downgrade our shares or change their opinion of our business prospects, our share price would likely decline.</w:t>
      </w:r>
    </w:p>
    <w:p>
      <w:pPr>
        <w:spacing w:after="0" w:line="123" w:lineRule="exact"/>
        <w:rPr>
          <w:sz w:val="20"/>
          <w:szCs w:val="20"/>
          <w:color w:val="auto"/>
        </w:rPr>
      </w:pPr>
    </w:p>
    <w:p>
      <w:pPr>
        <w:ind w:right="7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In light of the COVID-19 pandemic, it is possible that one or more government entities may take actions that directly or indirectly have the effect of abrogating some of our rights or opportunities. If we were to develop a COVID-19 vaccine, the economic value of such a vaccine to us could be limited.</w:t>
      </w:r>
    </w:p>
    <w:p>
      <w:pPr>
        <w:spacing w:after="0" w:line="123" w:lineRule="exact"/>
        <w:rPr>
          <w:sz w:val="20"/>
          <w:szCs w:val="20"/>
          <w:color w:val="auto"/>
        </w:rPr>
      </w:pPr>
    </w:p>
    <w:p>
      <w:pPr>
        <w:ind w:right="40" w:firstLine="254"/>
        <w:spacing w:after="0" w:line="269" w:lineRule="auto"/>
        <w:rPr>
          <w:sz w:val="20"/>
          <w:szCs w:val="20"/>
          <w:color w:val="auto"/>
        </w:rPr>
      </w:pPr>
      <w:r>
        <w:rPr>
          <w:rFonts w:ascii="Times New Roman" w:cs="Times New Roman" w:eastAsia="Times New Roman" w:hAnsi="Times New Roman"/>
          <w:sz w:val="14"/>
          <w:szCs w:val="14"/>
          <w:color w:val="auto"/>
        </w:rPr>
        <w:t>Various government entities, including the U.S. government, are offering incentives, grants and contracts to encourage additional investment by commercial organizations into preventative and therapeutic agents against coronavirus, which may have the effect of increasing the number of competitors and/or providing advantages to known competitors. Accordingly, there can be no assurance that we will be able to successfully establish a competitive market share for our COVID-19 vaccine, if any.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the reduced disclosure requirements applicable to smaller reporting companies may make our common stock less attractive to investors.</w:t>
      </w:r>
    </w:p>
    <w:p>
      <w:pPr>
        <w:spacing w:after="0" w:line="180" w:lineRule="exact"/>
        <w:rPr>
          <w:sz w:val="20"/>
          <w:szCs w:val="20"/>
          <w:color w:val="auto"/>
        </w:rPr>
      </w:pPr>
    </w:p>
    <w:p>
      <w:pPr>
        <w:ind w:right="200" w:firstLine="254"/>
        <w:spacing w:after="0" w:line="264" w:lineRule="auto"/>
        <w:rPr>
          <w:sz w:val="20"/>
          <w:szCs w:val="20"/>
          <w:color w:val="auto"/>
        </w:rPr>
      </w:pPr>
      <w:r>
        <w:rPr>
          <w:rFonts w:ascii="Times New Roman" w:cs="Times New Roman" w:eastAsia="Times New Roman" w:hAnsi="Times New Roman"/>
          <w:sz w:val="14"/>
          <w:szCs w:val="14"/>
          <w:color w:val="auto"/>
        </w:rPr>
        <w:t>We are currently a “smaller reporting company” as defined in the Exchange Act. Smaller reporting companies are able to provide simplified executive compensation disclosures in their filings and have certain other decreased disclosure obligations in their SEC filings. We cannot predict whether investors will find our common stock less attractive because of our reliance on the smaller reporting company exemption. If some investors find our common stock less attractive as a result, there may be a less active trading market for our common stock and our stock price may be more volatile.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Clinical Development, Regulatory Approval and Commercialization</w:t>
      </w:r>
    </w:p>
    <w:p>
      <w:pPr>
        <w:spacing w:after="0" w:line="178"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There are currently no approved vaccines for the prevention of norovirus-related illness. Therefore, the regulatory pathway for any approval of a norovirus vaccine is not entirely clear and may result in unexpected or unforeseen challenges.</w:t>
      </w:r>
    </w:p>
    <w:p>
      <w:pPr>
        <w:spacing w:after="0" w:line="123" w:lineRule="exact"/>
        <w:rPr>
          <w:sz w:val="20"/>
          <w:szCs w:val="20"/>
          <w:color w:val="auto"/>
        </w:rPr>
      </w:pPr>
    </w:p>
    <w:p>
      <w:pPr>
        <w:ind w:right="120" w:firstLine="254"/>
        <w:spacing w:after="0" w:line="261" w:lineRule="auto"/>
        <w:rPr>
          <w:sz w:val="20"/>
          <w:szCs w:val="20"/>
          <w:color w:val="auto"/>
        </w:rPr>
      </w:pPr>
      <w:r>
        <w:rPr>
          <w:rFonts w:ascii="Times New Roman" w:cs="Times New Roman" w:eastAsia="Times New Roman" w:hAnsi="Times New Roman"/>
          <w:sz w:val="14"/>
          <w:szCs w:val="14"/>
          <w:color w:val="auto"/>
        </w:rPr>
        <w:t>As there are currently no vaccines for the prevention of norovirus that are approved by the FDA or another regulatory agency, the regulatory pathway for any approval of a norovirus vaccine is not entirely clear and may result in unexpected or unforeseen challenges. Successful discovery and development of a norovirus vaccine is highly uncertain and dependent on numerous factors, many of which are beyond our control. Our development of the vaccine is in early stages, and we may be unable to produce a vaccine that successfully treats the virus in a timely manner, if at all. Results from clinical testing may raise new questions and require us to redesign proposed clinical trials, including revising proposed endpoints or adding new clinical trial sites or cohorts of subjects. In addition, the FDA’s analysis of clinical data may differ from our interpretation and the FDA may require that we conduct additional analyses.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regulatory pathway for COVID-19 vaccines is evolving and may result in unexpected or unforeseen challenges.</w:t>
      </w:r>
    </w:p>
    <w:p>
      <w:pPr>
        <w:spacing w:after="0" w:line="180" w:lineRule="exact"/>
        <w:rPr>
          <w:sz w:val="20"/>
          <w:szCs w:val="20"/>
          <w:color w:val="auto"/>
        </w:rPr>
      </w:pPr>
    </w:p>
    <w:p>
      <w:pPr>
        <w:ind w:right="60" w:firstLine="254"/>
        <w:spacing w:after="0" w:line="257" w:lineRule="auto"/>
        <w:rPr>
          <w:sz w:val="20"/>
          <w:szCs w:val="20"/>
          <w:color w:val="auto"/>
        </w:rPr>
      </w:pPr>
      <w:r>
        <w:rPr>
          <w:rFonts w:ascii="Times New Roman" w:cs="Times New Roman" w:eastAsia="Times New Roman" w:hAnsi="Times New Roman"/>
          <w:sz w:val="14"/>
          <w:szCs w:val="14"/>
          <w:color w:val="auto"/>
        </w:rPr>
        <w:t>The speed at which all parties are acting to create and test therapeutics and vaccines for COVID-19 is unusual, and evolving or changing plans or priorities within the FDA, including changes based on new knowledge of COVID-19 and how the disease affects the human body, may significantly affect the regulatory timeline for COVID vaccine candidates. Results from clinical testing may raise new questions and require us to redesign proposed clinical trials, including revising proposed endpoints or adding new clinical trial sites or cohorts of subjects. Results from our vaccine (and other COVID-19) trials may require us to perform additional preclinical studies in order to advance our vaccine candidates. Discussions with FDA regarding the design of the anticipated Phase 2 and 3 studies for COVID-19 vaccine candidates are ongoing and important aspects of the trial design have yet to be determined, including the number of patients to be enrolled, the specific endpoints of the trial and the methods for obtaining and testing samples in the trial. The incidence of COVID-19 in the communities where our studies might be conducted will vary across different locations. If the overall incidence of COVID-19 in those locations is low, it may be difficult for us to recruit subjects or for any study we might perform to demonstrate differences in infection rates between participants in the study who receive placebo and participants in the study who receive COVID-19 vaccine candidates. The availability of other authorized vaccines may decrease the population of clinical trial subjects willing to participate in our future trials.</w:t>
      </w:r>
    </w:p>
    <w:p>
      <w:pPr>
        <w:spacing w:after="0" w:line="145"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The FDA has the authority to grant an Emergency Use Authorization to allow unapproved medical products to be used in an emergency to diagnose, treat, or prevent serious or life-threatening diseases or conditions when there are no adequate, approved, and available alternatives. If we are granted an Emergency Use Authorization for COVID-19 vaccine candidates, we would be able to commercialize the vaccine candidate prior to FDA approval. Furthermore, the FDA may revoke an Emergency Use Authorization where it is determined that the underlying health emergency no longer exists or warrants such authorization, and we cannot predict how long, if ever, an Emergency Use Authorization would remain in place. Such revocation could adversely impact our business in a variety of ways, including if the vaccine candidate is not yet approved by the FDA and if we and our manufacturing partners have invested in the supply chain to provide the vaccine candidate under an Emergency Use Authorization.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In addition, any success in preclinical testing we might observe for our COVID-19 vaccine candidates may not be predictive of the results of later-stage human clinical trials. Factors such as efficacy, immunogenicity, and adverse events can emerge at any time in clinical testing and have the potential to have adverse consequences for our ability to proceed with clinical trials. Other factors such as manufacturing challenges, availability of raw materials, and slowdowns in the global supply chain may delay or prevent us from receiving regulatory approval of our vaccine candidate or, if we do receive regulatory approval, prevent a successful product launch. We may not be successful in developing a vaccine, or another party may be successful in producing a more efficacious vaccine or other treatment for COVID-19.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Evolving dynamics in the market for COVID-19 vaccines are likely to impact our financial results.</w:t>
      </w:r>
    </w:p>
    <w:p>
      <w:pPr>
        <w:spacing w:after="0" w:line="18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With the global transition of COVID-19 from pandemic to endemic, the commercial market for COVID-19 vaccines is facing several challenges, including a more fragmented customer base, less predictability in orders, greater seasonality of demand, increased distribution costs, and higher costs of goods sold due to single-dose or lower-dose presentations. Such factors could impact the potential market for our COVID-19 vaccine, if approved. Further, our continued development efforts for our COVID-19 vaccine could face increased research and development costs, including for clinical trials, when updating COVID-19 vaccines for new variants of concern.</w:t>
      </w:r>
    </w:p>
    <w:p>
      <w:pPr>
        <w:spacing w:after="0" w:line="138"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fail to continue to develop and refine the formulations of our tablet vaccine candidates, we may not obtain regulatory approvals, and even if approved, the commercial acceptance of our tablet vaccine candidates would likely be limited.</w:t>
      </w:r>
    </w:p>
    <w:p>
      <w:pPr>
        <w:spacing w:after="0" w:line="123"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In our H1N1 influenza Phase 2 trial we used vaccine tablets that contained approximately 1.5 x 1010 IU of vaccine. Accordingly, subjects in this trial were required to take seven tablets in a single setting to reach the aggregate dose of 1 x 1011 IU, the target dose for this trial. We believe that in order to fully capture the commercial success of our seasonal influenza vaccine candidate, we will need to continue to refine our formulation and develop influenza vaccine tablets that contain the desired dose for each vaccine strain in a single tablet, resulting in a vaccination regime of no more than three tablets. Increasing the potency of the vaccine tablets may affect the stability profile of the vaccine and we may not be able to reduce the vaccination regime for an influenza strain to a single tablet or combine the three influenza strains into one vaccine tablet. In addition, increasing the potency of the vaccine tablets or combining the influenza strains necessary to create a trivalent vaccine may adversely affect manufacturing yields and render such tablets too costly to manufacture at commercial scale. Our efforts to develop tablet vaccine candidates for norovirus face similar formulation challenges. If we are unable to further develop and refine the formulations of our tablet vaccine candidates, we may be unable to obtain regulatory approval from the FDA or other regulatory authorities, and even if approved, the commercial acceptance of our tablet vaccine candidates would likely be limited.</w:t>
      </w:r>
    </w:p>
    <w:p>
      <w:pPr>
        <w:spacing w:after="0" w:line="14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Clinical trials are very expensive, time-consuming, difficult to design and implement and involve an uncertain outcome, and if they fail to demonstrate safety and efficacy to the satisfaction of the FDA, or similar regulatory authorities, we will be unable to commercialize our tablet vaccine candidates.</w:t>
      </w:r>
    </w:p>
    <w:p>
      <w:pPr>
        <w:spacing w:after="0" w:line="123"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Our tablet vaccine candidates for norovirus, coronavirus and influenza are still in early-stage clinical development. Our vaccine candidates will require extensive additional clinical testing before we are prepared to submit a BLA for regulatory approval for either indication or for any other treatment regime. Such testing is expensive and time-consuming and requires specialized knowledge and expertise. We cannot predict with any certainty if or when we might submit a BLA for regulatory approval for any of our tablet vaccine candidates, which are currently in clinical development, or whether any such BLAs will be approved by the FDA. Human clinical trials are very expensive and difficult to design and implement, in part because they are subject to rigorous regulatory requirements. For instance, the FDA may not agree with our proposed endpoints for any clinical trial we propose, which may delay the commencement of our clinical trials. The clinical trial process is also time-consuming. We estimate that the clinical trials we need to conduct to be in a position to submit BLAs for our tablet vaccine candidates for norovirus, coronavirus and influenza will take several years to complete. Furthermore, failure can occur at any stage of the trials, and we could encounter problems that cause us to abandon or repeat clinical trials. Our vaccine candidates in the later stages of clinical trials may fail to show the desired safety and efficacy traits despite having progressed through preclinical studies and initial clinical trials. Also, the results of early clinical trials of the tablet vaccine candidates for norovirus, coronavirus and influenza may not be predictive of the results of subsequent clinical trials. Furthermore, the FDA may impose additional requirements to conduct preclinical studies to advance the HPV therapeutic vaccine candidates which could delay initiation of Phase 1 studies. A number of companies in the biopharmaceutical industry have suffered significant setbacks in advanced clinical trials due to lack of efficacy or adverse safety profiles, notwithstanding promising results in earlier trials.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Moreover, preclinical and clinical data are often susceptible to multiple interpretations and analyses. Many companies that have believed their vaccine candidates performed satisfactorily in preclinical studies and clinical trials have nonetheless failed to obtain marketing approval of their products. Additionally, success in preclinical testing and early clinical trials does not ensure success in later clinical trials, which involve many more subjects and, for influenza, all three strains rather than the one strain we have studied in Phase 1 clinical trials to date. Accordingly, the results of later clinical trials may not replicate the results of prior clinical trials and preclinical testing or may be interpreted in a way that may not be sufficient for marketing approval.</w:t>
      </w:r>
    </w:p>
    <w:p>
      <w:pPr>
        <w:spacing w:after="0" w:line="140"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We may experience numerous unforeseen events during, or as a result of, clinical trials that could delay or prevent our ability to receive marketing approval or commercialize our tablet vaccine candidates, including that:</w:t>
      </w:r>
    </w:p>
    <w:p>
      <w:pPr>
        <w:spacing w:after="0" w:line="125" w:lineRule="exact"/>
        <w:rPr>
          <w:sz w:val="20"/>
          <w:szCs w:val="20"/>
          <w:color w:val="auto"/>
        </w:rPr>
      </w:pPr>
    </w:p>
    <w:p>
      <w:pPr>
        <w:ind w:left="140" w:hanging="135"/>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institutional review boards (“IRBs”) may delay or not authorize us or our investigators to commence a clinical trial or conduct a clinical trial at a prospective trial site;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reaching or fail to reach agreement on acceptable clinical trial contracts or clinical trial protocols with prospective trial sites or CROs;</w:t>
      </w:r>
    </w:p>
    <w:p>
      <w:pPr>
        <w:spacing w:after="0" w:line="178" w:lineRule="exact"/>
        <w:rPr>
          <w:rFonts w:ascii="Times New Roman" w:cs="Times New Roman" w:eastAsia="Times New Roman" w:hAnsi="Times New Roman"/>
          <w:sz w:val="14"/>
          <w:szCs w:val="14"/>
          <w:color w:val="auto"/>
        </w:rPr>
      </w:pPr>
    </w:p>
    <w:p>
      <w:pPr>
        <w:ind w:left="140" w:hanging="135"/>
        <w:spacing w:after="0" w:line="286" w:lineRule="auto"/>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tablet vaccine candidates may produce negative or inconclusive results, and we may decide, or regulators may require us, to conduct additional clinical trials or abandon product development programs;</w:t>
      </w:r>
    </w:p>
    <w:p>
      <w:pPr>
        <w:spacing w:after="0" w:line="125" w:lineRule="exact"/>
        <w:rPr>
          <w:rFonts w:ascii="Times New Roman" w:cs="Times New Roman" w:eastAsia="Times New Roman" w:hAnsi="Times New Roman"/>
          <w:sz w:val="14"/>
          <w:szCs w:val="14"/>
          <w:color w:val="auto"/>
        </w:rPr>
      </w:pPr>
    </w:p>
    <w:p>
      <w:pPr>
        <w:ind w:left="140" w:right="640" w:hanging="135"/>
        <w:spacing w:after="0" w:line="286" w:lineRule="auto"/>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subjects required for clinical trials of our tablet vaccine candidates may be larger than we anticipate; enrollment in these clinical trials may be slower than we anticipate, or participants may drop out of these clinical trials at a higher rate than we anticipate;</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may fail to comply with regulatory requirements or meet their contractual obligations to us in a timely manner, or at all;</w:t>
      </w:r>
    </w:p>
    <w:p>
      <w:pPr>
        <w:spacing w:after="0" w:line="178" w:lineRule="exact"/>
        <w:rPr>
          <w:rFonts w:ascii="Times New Roman" w:cs="Times New Roman" w:eastAsia="Times New Roman" w:hAnsi="Times New Roman"/>
          <w:sz w:val="14"/>
          <w:szCs w:val="14"/>
          <w:color w:val="auto"/>
        </w:rPr>
      </w:pPr>
    </w:p>
    <w:p>
      <w:pPr>
        <w:ind w:left="140" w:right="180" w:hanging="135"/>
        <w:spacing w:after="0" w:line="286" w:lineRule="auto"/>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tablet vaccine candidates may be greater than we anticipate;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tablet vaccine candidates or other materials necessary to conduct clinical trials may be insufficient or inadequate.</w:t>
      </w:r>
    </w:p>
    <w:p>
      <w:pPr>
        <w:spacing w:after="0" w:line="178" w:lineRule="exact"/>
        <w:rPr>
          <w:sz w:val="20"/>
          <w:szCs w:val="20"/>
          <w:color w:val="auto"/>
        </w:rPr>
      </w:pPr>
    </w:p>
    <w:p>
      <w:pPr>
        <w:ind w:right="380" w:firstLine="254"/>
        <w:spacing w:after="0" w:line="286"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tablet vaccine candidates beyond those that we currently contemplate, if we are unable to successfully complete clinical trials of our tablet vaccine candidates or other testing, if the results of these trials or tests are not positive or are only modestly positive or if there are safety concerns, we may: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be delayed in obtaining marketing approval for our tablet vaccine candidates;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obtain marketing approval at all;</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 including boxed warnings;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additional post-marketing testing requirements; or</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product removed from the market after obtaining marketing approval.</w:t>
      </w:r>
    </w:p>
    <w:p>
      <w:pPr>
        <w:spacing w:after="0" w:line="178"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Product development costs will also increase if we experience delays in testing or in receiving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our tablet vaccine candidates, could allow our competitors to bring products to market before we do, and could impair our ability to successfully commercialize our tablet vaccine candidates, any of which may harm our business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resurgence of the COVID-19 pandemic or the emergence of another public health emergency/pandemic could adversely impact our preclinical studies and clinical trials.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active and planned preclinical studies and clinical trial sites in the U.S.</w:t>
      </w:r>
    </w:p>
    <w:p>
      <w:pPr>
        <w:spacing w:after="0" w:line="178" w:lineRule="exact"/>
        <w:rPr>
          <w:sz w:val="20"/>
          <w:szCs w:val="20"/>
          <w:color w:val="auto"/>
        </w:rPr>
      </w:pPr>
    </w:p>
    <w:p>
      <w:pPr>
        <w:ind w:right="180" w:firstLine="254"/>
        <w:spacing w:after="0" w:line="264" w:lineRule="auto"/>
        <w:rPr>
          <w:sz w:val="20"/>
          <w:szCs w:val="20"/>
          <w:color w:val="auto"/>
        </w:rPr>
      </w:pPr>
      <w:r>
        <w:rPr>
          <w:rFonts w:ascii="Times New Roman" w:cs="Times New Roman" w:eastAsia="Times New Roman" w:hAnsi="Times New Roman"/>
          <w:sz w:val="14"/>
          <w:szCs w:val="14"/>
          <w:color w:val="auto"/>
        </w:rPr>
        <w:t>While both COVID-19 and countermeasures have abated to some degree, there can be no assurance that the COVID-19 pandemic will not cause disruptions to our business development activities, including our clinical trials. In the event of a resurgence of the COVID-19 pandemic or emergence of another public health emergency, we may experience disruptions that could severely impact our planned and ongoing preclinical studies and clinical trials, including preclinical and clinical studies and manufacturing of our vaccine candidates. Effects on our preclinical studies and clinical trial programs include, but are not limited to:</w:t>
      </w:r>
    </w:p>
    <w:p>
      <w:pPr>
        <w:spacing w:after="0" w:line="140" w:lineRule="exact"/>
        <w:rPr>
          <w:sz w:val="20"/>
          <w:szCs w:val="20"/>
          <w:color w:val="auto"/>
        </w:rPr>
      </w:pPr>
    </w:p>
    <w:p>
      <w:pPr>
        <w:ind w:left="140" w:hanging="135"/>
        <w:spacing w:after="0"/>
        <w:tabs>
          <w:tab w:leader="none" w:pos="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procuring subjects in our preclinical studies;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in enrolling patients in our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or difficulties in preclinical and clinical site initiation, including difficulties in establishing appropriate and safe social distancing and other safeguards at preclinical and clinical sites;</w:t>
      </w:r>
    </w:p>
    <w:p>
      <w:pPr>
        <w:spacing w:after="0" w:line="178" w:lineRule="exact"/>
        <w:rPr>
          <w:rFonts w:ascii="Times New Roman" w:cs="Times New Roman" w:eastAsia="Times New Roman" w:hAnsi="Times New Roman"/>
          <w:sz w:val="14"/>
          <w:szCs w:val="14"/>
          <w:color w:val="auto"/>
        </w:rPr>
      </w:pPr>
    </w:p>
    <w:p>
      <w:pPr>
        <w:ind w:left="140" w:right="420" w:hanging="135"/>
        <w:spacing w:after="0" w:line="286" w:lineRule="auto"/>
        <w:tabs>
          <w:tab w:leader="none" w:pos="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healthcare resources away from the conduct of preclinical and clinical trials, including the diversion of hospitals serving as our clinical trial sites and hospital staff supporting the conduct of our clinical trials;</w:t>
      </w:r>
    </w:p>
    <w:p>
      <w:pPr>
        <w:spacing w:after="0" w:line="125" w:lineRule="exact"/>
        <w:rPr>
          <w:rFonts w:ascii="Times New Roman" w:cs="Times New Roman" w:eastAsia="Times New Roman" w:hAnsi="Times New Roman"/>
          <w:sz w:val="14"/>
          <w:szCs w:val="14"/>
          <w:color w:val="auto"/>
        </w:rPr>
      </w:pPr>
    </w:p>
    <w:p>
      <w:pPr>
        <w:ind w:left="140" w:right="440" w:hanging="135"/>
        <w:spacing w:after="0" w:line="286" w:lineRule="auto"/>
        <w:tabs>
          <w:tab w:leader="none" w:pos="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interruption of key preclinical study and clinical trial activities, such as preclinical and clinical trial site monitoring, subject recruitment and subject testing due to the course of the pandemic, limitations on freight and/or travel imposed or recommended by federal or state governments, employers and others;</w:t>
      </w:r>
    </w:p>
    <w:p>
      <w:pPr>
        <w:spacing w:after="0" w:line="125" w:lineRule="exact"/>
        <w:rPr>
          <w:rFonts w:ascii="Times New Roman" w:cs="Times New Roman" w:eastAsia="Times New Roman" w:hAnsi="Times New Roman"/>
          <w:sz w:val="14"/>
          <w:szCs w:val="14"/>
          <w:color w:val="auto"/>
        </w:rPr>
      </w:pPr>
    </w:p>
    <w:p>
      <w:pPr>
        <w:ind w:left="140" w:hanging="135"/>
        <w:spacing w:after="0" w:line="286" w:lineRule="auto"/>
        <w:tabs>
          <w:tab w:leader="none" w:pos="1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in employee resources that would otherwise be focused on the conduct of our preclinical studies and clinical trials, including because of sickness of employees or their families, delays or difficulties in conducting site visits and other required travel, and the desire of employees to avoid contact with large groups of people;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receiving approval from local regulatory authorities to initiate or continue our planned preclinical studies and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or other countries;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vaccine products or COVID-19 treatments and related technologies.</w:t>
      </w:r>
    </w:p>
    <w:p>
      <w:pPr>
        <w:spacing w:after="0" w:line="178" w:lineRule="exact"/>
        <w:rPr>
          <w:sz w:val="20"/>
          <w:szCs w:val="20"/>
          <w:color w:val="auto"/>
        </w:rPr>
      </w:pPr>
    </w:p>
    <w:p>
      <w:pPr>
        <w:ind w:right="220" w:firstLine="254"/>
        <w:spacing w:after="0" w:line="269" w:lineRule="auto"/>
        <w:rPr>
          <w:sz w:val="20"/>
          <w:szCs w:val="20"/>
          <w:color w:val="auto"/>
        </w:rPr>
      </w:pPr>
      <w:r>
        <w:rPr>
          <w:rFonts w:ascii="Times New Roman" w:cs="Times New Roman" w:eastAsia="Times New Roman" w:hAnsi="Times New Roman"/>
          <w:sz w:val="14"/>
          <w:szCs w:val="14"/>
          <w:color w:val="auto"/>
        </w:rPr>
        <w:t>If a patient participating in one of our clinical trials contracts COVID-19, this could negatively impact the data readouts from these trials; for example, the patient may be unable to participate further (or may have to limit participation) in our clinical trial, the patient may show a different efficacy assessment than if the patient had not been infected, or such patient could experience an adverse event that could be attributed to our drug product.</w:t>
      </w:r>
    </w:p>
    <w:p>
      <w:pPr>
        <w:spacing w:after="0" w:line="137" w:lineRule="exact"/>
        <w:rPr>
          <w:sz w:val="20"/>
          <w:szCs w:val="20"/>
          <w:color w:val="auto"/>
        </w:rPr>
      </w:pPr>
    </w:p>
    <w:p>
      <w:pPr>
        <w:ind w:right="620" w:firstLine="254"/>
        <w:spacing w:after="0" w:line="286" w:lineRule="auto"/>
        <w:rPr>
          <w:sz w:val="20"/>
          <w:szCs w:val="20"/>
          <w:color w:val="auto"/>
        </w:rPr>
      </w:pPr>
      <w:r>
        <w:rPr>
          <w:rFonts w:ascii="Times New Roman" w:cs="Times New Roman" w:eastAsia="Times New Roman" w:hAnsi="Times New Roman"/>
          <w:sz w:val="14"/>
          <w:szCs w:val="14"/>
          <w:color w:val="auto"/>
        </w:rPr>
        <w:t>The extent to which COVID-19 may impact our preclinical studies and clinical trials will depend on future developments, which remains highly uncertain and cannot be predicted with confidence.</w:t>
      </w:r>
    </w:p>
    <w:p>
      <w:pPr>
        <w:spacing w:after="0" w:line="123"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platform includes a novel vaccine adjuvant and all of our current tablet vaccine candidates include this novel adjuvant, which may make it difficult for us to predict the time and cost of tablet vaccine development as well as the requirements the FDA or other regulatory agencies may impose to demonstrate the safety of the tablet vaccine candidates.</w:t>
      </w:r>
    </w:p>
    <w:p>
      <w:pPr>
        <w:spacing w:after="0" w:line="123"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Novel vaccine adjuvants, included in some of our tablet vaccine candidates,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Our current tablet vaccine candidates, including for norovirus, include a novel adjuvant, and future vaccine candidates may also include one or more novel vaccine adjuvants.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to people with disease. Such extensive study has often included long-term monitoring of safety in large general populations that have at times exceeded 10,000 subjects. This contrasts with the few thousand subjects typically necessary for approval of novel therapeutics. To date, the FDA and other major regulatory agencies have only approved vaccines containing five adjuvants, which makes it difficult to determine how long it will take or how much it will cost to obtain regulatory approvals for our tablet vaccine candidates in the U.S. or elsewhere.</w:t>
      </w:r>
    </w:p>
    <w:p>
      <w:pPr>
        <w:spacing w:after="0" w:line="143"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Enrollment and retention of subjects in clinical trials is an expensive and time-consuming process and could be made more difficult or rendered impossible by multiple factors outside our control.</w:t>
      </w:r>
    </w:p>
    <w:p>
      <w:pPr>
        <w:spacing w:after="0" w:line="123"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may encounter delays in enrolling, or be unable to enroll, a sufficient number of participants to complete any of our clinical trials. Once enrolled, we may be unable to retain a sufficient number of participants to complete any of our trials. Late-stage clinical trials of our tablet vaccine candidate for norovirus and coronavirus, in particular, will require the enrollment and retention of large numbers of subjects. Subject enrollment and retention in clinical trials depends on many factors, including the size of the subject population, the nature of the trial protocol, the existing body of safety and efficacy data with respect to the study drug, the number and nature of competing treatments and ongoing clinical trials of competing drugs for the same indication, the proximity of subjects to clinical sites and the eligibility criteria for the study. Further, since there are no reliable animal models to norovirus infection, human challenge studies have been used to understand viral activity and possible immune correlates that prevent infection making trials costlier than animal-based studies.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Furthermore, any negative results we may report in clinical trials of our tablet vaccine candidates may make it difficult or impossible to recruit and retain participants in other clinical trials of that same tablet vaccine candidate. Delays or failures in planned subject enrollment or retention may result in increased costs, program delays or both, which could have a harmful effect on our ability to develop our tablet vaccine candidates, or could render further development impossible. In addition, we expect to rely on CROs and clinical trial sites to ensure proper and timely conduct of our future clinical trials and, while we intend to enter into agreements governing their services, we will be limited in our ability to compel their actual performance in compliance with applicable regulations. Enforcement actions brought against these third parties may cause further delays and expenses related to our clinical development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significant competition from other biotechnology and pharmaceutical companies, and our operating results will suffer if we fail to compete effectively.</w:t>
      </w:r>
    </w:p>
    <w:p>
      <w:pPr>
        <w:spacing w:after="0" w:line="180"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Vaccine development is highly competitive and subject to rapid and significant technological advancements. We face competition from various sources, including larger and better funded pharmaceutical, specialty pharmaceutical and biotechnology companies, as well as academic institutions, governmental agencies and public and private research institutions. In particular, our COVID-19 and influenza vaccine candidates would compete with products that are available and have gained market acceptance as the standard treatment protocol. Further, it is likely that additional drugs or other treatments will become available in the future for the treatment of the diseases we are targeting.</w:t>
      </w:r>
    </w:p>
    <w:p>
      <w:pPr>
        <w:spacing w:after="0" w:line="14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For tablet vaccines, we face competition from approved vaccines, against which new tablet vaccines must demonstrate compelling advantages in efficacy, convenience, tolerability and safety, and from competitors working to patent, discover, develop or commercialize medicines before we can do the same with tablet vaccines.</w:t>
      </w:r>
    </w:p>
    <w:p>
      <w:pPr>
        <w:spacing w:after="0" w:line="125" w:lineRule="exact"/>
        <w:rPr>
          <w:sz w:val="20"/>
          <w:szCs w:val="20"/>
          <w:color w:val="auto"/>
        </w:rPr>
      </w:pPr>
    </w:p>
    <w:p>
      <w:pPr>
        <w:ind w:right="80" w:firstLine="254"/>
        <w:spacing w:after="0" w:line="264" w:lineRule="auto"/>
        <w:rPr>
          <w:sz w:val="20"/>
          <w:szCs w:val="20"/>
          <w:color w:val="auto"/>
        </w:rPr>
      </w:pPr>
      <w:r>
        <w:rPr>
          <w:rFonts w:ascii="Times New Roman" w:cs="Times New Roman" w:eastAsia="Times New Roman" w:hAnsi="Times New Roman"/>
          <w:sz w:val="14"/>
          <w:szCs w:val="14"/>
          <w:color w:val="auto"/>
        </w:rPr>
        <w:t>Many of our existing or potential competitors have substantially greater financial, technical and human resources than we do and significantly greater experience in the discovery and development of products for the treatment of diseases, as well as in obtaining regulatory approvals of those products in the U.S. and in foreign countries. Our current and potential future competitors also have significantly more experience commercializing drugs that have been approved for marketing. Mergers and acquisitions in the pharmaceutical and biotechnology industries could result in even more resources being concentrated among a small number of our competitors.</w:t>
      </w:r>
    </w:p>
    <w:p>
      <w:pPr>
        <w:spacing w:after="0" w:line="14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drugs that are more effective or less costly than any tablet vaccine candidate that we may develop.</w:t>
      </w:r>
    </w:p>
    <w:p>
      <w:pPr>
        <w:spacing w:after="0" w:line="125" w:lineRule="exact"/>
        <w:rPr>
          <w:sz w:val="20"/>
          <w:szCs w:val="20"/>
          <w:color w:val="auto"/>
        </w:rPr>
      </w:pPr>
    </w:p>
    <w:p>
      <w:pPr>
        <w:ind w:right="260" w:firstLine="254"/>
        <w:spacing w:after="0" w:line="286" w:lineRule="auto"/>
        <w:rPr>
          <w:sz w:val="20"/>
          <w:szCs w:val="20"/>
          <w:color w:val="auto"/>
        </w:rPr>
      </w:pPr>
      <w:r>
        <w:rPr>
          <w:rFonts w:ascii="Times New Roman" w:cs="Times New Roman" w:eastAsia="Times New Roman" w:hAnsi="Times New Roman"/>
          <w:sz w:val="14"/>
          <w:szCs w:val="14"/>
          <w:color w:val="auto"/>
        </w:rPr>
        <w:t>We will face competition from other drugs currently approved or that will be approved in the future for the treatment of the other infectious diseases we are currently targeting. Therefore, our ability to compete successfully will depend largely on our ability to:</w:t>
      </w:r>
    </w:p>
    <w:p>
      <w:pPr>
        <w:spacing w:after="0" w:line="125" w:lineRule="exact"/>
        <w:rPr>
          <w:sz w:val="20"/>
          <w:szCs w:val="20"/>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 and commercialize tablet vaccine candidates that are superior to other vaccines in the market;</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through our clinical trials that our tablet vaccine candidates are differentiated from existing and future therapies;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qualified scientific, vaccine development and commercial personnel;</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patent or other proprietary protection for our tablet vaccine candidates;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required regulatory approvals;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coverage and adequate reimbursement from, and negotiate competitive pricing with, third-party payors; and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successfully develop and commercialize, independently or with collaborators, new tablet vaccine candidates.</w:t>
      </w:r>
    </w:p>
    <w:p>
      <w:pPr>
        <w:spacing w:after="0" w:line="34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availability of our competitors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vaccines could limit the demand, and the price we are able to charge, for any tablet vaccine candidate we develop. The inability to compete with existing or subsequently introduced vaccines would have an adverse impact on our business, financial condition and prospects.</w:t>
      </w:r>
    </w:p>
    <w:p>
      <w:pPr>
        <w:spacing w:after="0" w:line="123"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Established pharmaceutical companies may invest heavily to accelerate discovery and development of novel compounds or to in-license novel compounds that could make any of our tablet vaccine candidates less competitive. In addition, any new vaccine that competes with an approved vaccine must demonstrate compelling advantages in efficacy, convenience, tolerability and safety in order to overcome price competition and to be commercially successful. Accordingly, our competitors may succeed in obtaining patent protection, discovering, developing, receiving the FDA’s approval for or commercializing medicines before we do, which would have an adverse impact on our business and results of operations.</w:t>
      </w:r>
    </w:p>
    <w:p>
      <w:pPr>
        <w:spacing w:after="0" w:line="14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The biotechnology and pharmaceutical industries are characterized by intense competition to develop new technologies and proprietary products. While we believe that our proprietary tablet vaccine candidates provide competitive advantages, we face competition from many different sources, including biotechnology and pharmaceutical companies,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are other organizations working to improve existing therapies, vaccines or delivery methods, or to develop new vaccines, therapies or delivery methods for their selected indications.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Depending on how successful these efforts are, it is possible they may increase the barriers to adoption and success of our vaccine candidates, if approved.</w:t>
      </w:r>
    </w:p>
    <w:p>
      <w:pPr>
        <w:spacing w:after="0" w:line="164" w:lineRule="exact"/>
        <w:rPr>
          <w:sz w:val="20"/>
          <w:szCs w:val="20"/>
          <w:color w:val="auto"/>
        </w:rPr>
      </w:pPr>
    </w:p>
    <w:p>
      <w:pPr>
        <w:ind w:right="80" w:firstLine="254"/>
        <w:spacing w:after="0" w:line="269" w:lineRule="auto"/>
        <w:rPr>
          <w:sz w:val="20"/>
          <w:szCs w:val="20"/>
          <w:color w:val="auto"/>
        </w:rPr>
      </w:pPr>
      <w:r>
        <w:rPr>
          <w:rFonts w:ascii="Times New Roman" w:cs="Times New Roman" w:eastAsia="Times New Roman" w:hAnsi="Times New Roman"/>
          <w:sz w:val="14"/>
          <w:szCs w:val="14"/>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37"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4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As of January 2026, there are no vaccines approved by the FDA or other global regulatory agencies for the prevention of norovirus. We are aware that Moderna, Inc. and Merck, Inc. are developing norovirus vaccines that would be delivered by injection. Other companies reporting development of a norovirus vaccine candidate are Anhui Zhifei Longcom Biopharmaceutical Co. Ltd., Chongqing Zhifei Biological Products Co., Ltd., and the National Vaccine and Serum Institute of China. In addition, we are aware of Cocrystal Pharma, Inc. reporting development of an oral antiviral for norovirus. There may be other development programs that we are not aware of.</w:t>
      </w:r>
    </w:p>
    <w:p>
      <w:pPr>
        <w:spacing w:after="0" w:line="14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There is significant competition in the COVID-19 vaccine market. Pfizer-BioNTech’s COVID-19 vaccine, Moderna’s COVID-19 vaccine and Novavax’s COVID-19 vaccine have been approved in the U.S. and many countries around the world.</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tablet vaccine candidates may cause adverse effects or have other properties that could delay or prevent their regulatory approval or limit the scope of any approved label or market acceptance.</w:t>
      </w:r>
    </w:p>
    <w:p>
      <w:pPr>
        <w:spacing w:after="0" w:line="123" w:lineRule="exact"/>
        <w:rPr>
          <w:sz w:val="20"/>
          <w:szCs w:val="20"/>
          <w:color w:val="auto"/>
        </w:rPr>
      </w:pPr>
    </w:p>
    <w:p>
      <w:pPr>
        <w:jc w:val="both"/>
        <w:ind w:right="200" w:firstLine="254"/>
        <w:spacing w:after="0" w:line="269" w:lineRule="auto"/>
        <w:rPr>
          <w:sz w:val="20"/>
          <w:szCs w:val="20"/>
          <w:color w:val="auto"/>
        </w:rPr>
      </w:pPr>
      <w:r>
        <w:rPr>
          <w:rFonts w:ascii="Times New Roman" w:cs="Times New Roman" w:eastAsia="Times New Roman" w:hAnsi="Times New Roman"/>
          <w:sz w:val="14"/>
          <w:szCs w:val="14"/>
          <w:color w:val="auto"/>
        </w:rPr>
        <w:t>Adverse events caused by our tablet vaccine candidates could cause reviewing entities, clinical trial sites or regulatory authorities to interrupt, delay or halt clinical trials and could result in the denial of regulatory approval. If an unacceptable frequency or severity of adverse events are reported in clinical trials for our tablet vaccine candidates, our ability to obtain regulatory approval for such tablet vaccine candidates may be negatively impacted.</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Furthermore, if any of our tablet vaccines are approved and then cause serious or unexpected side effects, a number of potentially significant negative consequences could result, including:</w:t>
      </w:r>
    </w:p>
    <w:p>
      <w:pPr>
        <w:spacing w:after="0" w:line="178" w:lineRule="exact"/>
        <w:rPr>
          <w:sz w:val="20"/>
          <w:szCs w:val="20"/>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their approval of the tablet vaccine candidates or impose restrictions on their distribution or other risk management measures;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the addition of labeling statements, such as warnings or contraindications;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our tablet vaccine candidates are administered or to conduct additional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injuries sustained by patients;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subject to the Vaccine Injury Compensation Program;</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elect to discontinue the sale of our tablet vaccine candidates;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may suffer.</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of the affected tablet vaccine candidate and could substantially increase the costs of commercialization.</w:t>
      </w:r>
    </w:p>
    <w:p>
      <w:pPr>
        <w:spacing w:after="0" w:line="176"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staffing limitations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23"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With the change in presidential administrations in 2025, there is substantial uncertainty as to how, if at all, the new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obtain, or if there are delays in obtaining, required regulatory approvals, we will not be able to commercialize, or will be delayed in commercializing, our tablet vaccine candidates, and our ability to generate significant revenue will be impaired.</w:t>
      </w:r>
    </w:p>
    <w:p>
      <w:pPr>
        <w:spacing w:after="0" w:line="123" w:lineRule="exact"/>
        <w:rPr>
          <w:sz w:val="20"/>
          <w:szCs w:val="20"/>
          <w:color w:val="auto"/>
        </w:rPr>
      </w:pPr>
    </w:p>
    <w:p>
      <w:pPr>
        <w:ind w:right="40" w:firstLine="254"/>
        <w:spacing w:after="0" w:line="257" w:lineRule="auto"/>
        <w:rPr>
          <w:sz w:val="20"/>
          <w:szCs w:val="20"/>
          <w:color w:val="auto"/>
        </w:rPr>
      </w:pPr>
      <w:r>
        <w:rPr>
          <w:rFonts w:ascii="Times New Roman" w:cs="Times New Roman" w:eastAsia="Times New Roman" w:hAnsi="Times New Roman"/>
          <w:sz w:val="14"/>
          <w:szCs w:val="14"/>
          <w:color w:val="auto"/>
        </w:rPr>
        <w:t>Our tablet vaccine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U.S. and by comparable authorities in other countries. Failure to obtain marketing approval for a tablet vaccine candidate will prevent us from commercializing the tablet vaccine candidate. We have not received approval to market any of our tablet vaccine candidates from regulatory authorities in any jurisdiction. We have only limited experience in filing and supporting the applications necessary to gain marketing approvals and expect to rely on CROs to assist us in this process. Securing regulatory approval requires the submission of extensive preclinical and clinical data and supporting information to the various regulatory authorities for each therapeutic indication to establish the tablet vaccine candidate’s safety and efficacy. Securing regulatory approval also requires the submission of information about the product manufacturing process to, and inspection of manufacturing facilities by, the relevant regulatory authority. Our tablet vaccine candidates may not be effective, may be only moderately effective or may prove to have undesirable or unintended side effects, toxicities or other characteristics that may preclude us obtaining marketing approval or prevent or limit commercial use.</w:t>
      </w:r>
    </w:p>
    <w:p>
      <w:pPr>
        <w:spacing w:after="0" w:line="147" w:lineRule="exact"/>
        <w:rPr>
          <w:sz w:val="20"/>
          <w:szCs w:val="20"/>
          <w:color w:val="auto"/>
        </w:rPr>
      </w:pPr>
    </w:p>
    <w:p>
      <w:pPr>
        <w:ind w:right="80" w:firstLine="254"/>
        <w:spacing w:after="0" w:line="258" w:lineRule="auto"/>
        <w:rPr>
          <w:sz w:val="20"/>
          <w:szCs w:val="20"/>
          <w:color w:val="auto"/>
        </w:rPr>
      </w:pPr>
      <w:r>
        <w:rPr>
          <w:rFonts w:ascii="Times New Roman" w:cs="Times New Roman" w:eastAsia="Times New Roman" w:hAnsi="Times New Roman"/>
          <w:sz w:val="14"/>
          <w:szCs w:val="14"/>
          <w:color w:val="auto"/>
        </w:rPr>
        <w:t>The process of obtaining marketing approvals, both in the U.S. and elsewhere, is expensive, may take many years and can vary substantially based upon a variety of factors, including the type, complexity and novelty of the tablet vaccine candidates involved. We cannot be sure that we will ever obtain any marketing approvals in any jurisdiction.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or other studies, and clinical trials. In addition, varying interpretations of the data obtained from preclinical testing and clinical trials could delay, limit or prevent marketing approval of a tablet vaccine candidate. Additionally, any marketing approval we ultimately obtain may be limited or subject to restrictions or post-approval commitments that render the approved product not commercially viable.</w:t>
      </w:r>
    </w:p>
    <w:p>
      <w:pPr>
        <w:spacing w:after="0" w:line="143"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Even if we obtain FDA approval in the United States, we may never obtain approval for or commercialize our tablet vaccine candidates in any other jurisdiction, which would limit our ability to realize each product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full market potential.</w:t>
      </w:r>
    </w:p>
    <w:p>
      <w:pPr>
        <w:spacing w:after="0" w:line="123"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In order to market any of our tablet vaccine candidates in a particular jurisdiction, we must establish and comply with numerous and varying regulatory requirements on a country-by-country basis regarding safety and efficacy. Approval by the FDA in the U.S.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tablet vaccine candidate testing and validation and additional administrative review periods. Seeking foreign regulatory approval could result in difficulties and costs for us and require additional preclinical studies or clinical trials which could be costly and time consuming. Regulatory requirements can vary widely from country to country and could delay or prevent the introduction of our tablet vaccine candidates in those countries. We do not have any tablet vaccine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tablet vaccine candidate we develop will be unrealized.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Even if we obtain regulatory approval, we will still face extensive ongoing regulatory requirements, and our tablet vaccine candidates may face future development and regulatory difficulties.</w:t>
      </w:r>
    </w:p>
    <w:p>
      <w:pPr>
        <w:spacing w:after="0" w:line="180"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Any tablet vaccine candidate for which we obtain marketing approval, along with the manufacturing processes, post-approval clinical data, labeling, packaging, distribution, adverse event reporting, storage, recordkeeping, export, import, advertising and promotional activities for such tablet vaccine candidate, among other things, will be subject to extensive and ongoing requirements of and review by the FDA and other regulatory authorities. These requirements include submissions of safety, efficacy and other post-marketing information and reports, establishment registration and drug listing requirements, continued compliance with current Good Manufacturing Practice, or cGMP, requirements relating to manufacturing, quality control, quality assurance and corresponding maintenance of records and documents, requirements regarding the distribution of samples to physicians and recordkeeping and current good clinical practice, or GCP, requirements for any clinical trials that we conduct post-approval. Even if marketing approval of a tablet vaccine candidate is granted, the approval may be subject to limitations on the indicated uses for which the tablet vaccine candidates may be marketed or to the conditions of approval. If a tablet vaccine candidate receives marketing approval, the accompanying label may limit the approved use of that tablet vaccine, which could limit sales.</w:t>
      </w:r>
    </w:p>
    <w:p>
      <w:pPr>
        <w:spacing w:after="0" w:line="147" w:lineRule="exact"/>
        <w:rPr>
          <w:sz w:val="20"/>
          <w:szCs w:val="20"/>
          <w:color w:val="auto"/>
        </w:rPr>
      </w:pPr>
    </w:p>
    <w:p>
      <w:pPr>
        <w:ind w:right="120" w:firstLine="254"/>
        <w:spacing w:after="0" w:line="261" w:lineRule="auto"/>
        <w:rPr>
          <w:sz w:val="20"/>
          <w:szCs w:val="20"/>
          <w:color w:val="auto"/>
        </w:rPr>
      </w:pPr>
      <w:r>
        <w:rPr>
          <w:rFonts w:ascii="Times New Roman" w:cs="Times New Roman" w:eastAsia="Times New Roman" w:hAnsi="Times New Roman"/>
          <w:sz w:val="14"/>
          <w:szCs w:val="14"/>
          <w:color w:val="auto"/>
        </w:rPr>
        <w:t>The FDA may also impose requirements for costly post-marketing studies or clinical trials and surveillance to monitor the safety and/or efficacy of our tablet vaccine candidates.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tablet vaccine candidates for their approved indications, we may be subject to enforcement action for off-label marketing. Violations of the Federal Food, Drug, and Cosmetic Act relating to the promotion of prescription drugs may lead to FDA enforcement actions and investigations alleging violations of federal and state health care fraud and abuse laws, as well as state consumer protection laws.</w:t>
      </w:r>
    </w:p>
    <w:p>
      <w:pPr>
        <w:spacing w:after="0" w:line="142" w:lineRule="exact"/>
        <w:rPr>
          <w:sz w:val="20"/>
          <w:szCs w:val="20"/>
          <w:color w:val="auto"/>
        </w:rPr>
      </w:pPr>
    </w:p>
    <w:p>
      <w:pPr>
        <w:ind w:right="320" w:firstLine="254"/>
        <w:spacing w:after="0" w:line="286" w:lineRule="auto"/>
        <w:rPr>
          <w:sz w:val="20"/>
          <w:szCs w:val="20"/>
          <w:color w:val="auto"/>
        </w:rPr>
      </w:pPr>
      <w:r>
        <w:rPr>
          <w:rFonts w:ascii="Times New Roman" w:cs="Times New Roman" w:eastAsia="Times New Roman" w:hAnsi="Times New Roman"/>
          <w:sz w:val="14"/>
          <w:szCs w:val="14"/>
          <w:color w:val="auto"/>
        </w:rPr>
        <w:t>In addition, later discovery of previously unknown adverse events or other problems with our tablet vaccine candidates, manufacturers or manufacturing processes, or failure to comply with regulatory requirements, may yield various results, including:</w:t>
      </w:r>
    </w:p>
    <w:p>
      <w:pPr>
        <w:spacing w:after="0" w:line="125" w:lineRule="exact"/>
        <w:rPr>
          <w:sz w:val="20"/>
          <w:szCs w:val="20"/>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manufacturing such tablet vaccine candidate;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labeling or marketing of a tablet vaccine candidate;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tablet vaccine distribution or use;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to conduct post-marketing studies or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warning letters;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the tablet vaccine candidate from the market;</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approve pending applications or supplements to approved applications that we submit;</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recall of such tablet vaccine candidate;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restitution or disgorgement of profits or revenues;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withdrawal of marketing approvals;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to permit the import or export of such tablet vaccine candidate;</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tablet vaccine candidate seizure; or</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348"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The FDA’s policies may change, and additional government regulations may be enacted, that could prevent, limit or delay regulatory approval of any of our tablet vaccine candidates. If we are slow or unable to adapt to changes in existing requirements or the adoption of new requirements or policies, or if we are not able to maintain regulatory compliance, we may lose any marketing approval that we may have obtained.</w:t>
      </w:r>
    </w:p>
    <w:p>
      <w:pPr>
        <w:spacing w:after="0" w:line="135"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Even if our tablet vaccine candidates receive marketing approval, they may fail to achieve market acceptance by physicians, patients, third-party payors or others in the medical community necessary for commercial success.</w:t>
      </w:r>
    </w:p>
    <w:p>
      <w:pPr>
        <w:spacing w:after="0" w:line="123"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If our tablet vaccine candidates, including our vaccine for coronavirus and norovirus, receive marketing approval, they may nonetheless fail to gain sufficient market acceptance by physicians, patients, third-party payors and others in the medical community. If they do not achieve an adequate level of acceptance, we may not generate significant revenues and become profitable. The degree of market acceptance, if approved for commercial sale, will depend on a number of factors, including but not limited to:</w:t>
      </w:r>
    </w:p>
    <w:p>
      <w:pPr>
        <w:spacing w:after="0" w:line="137" w:lineRule="exact"/>
        <w:rPr>
          <w:sz w:val="20"/>
          <w:szCs w:val="20"/>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and potential advantages compared to alternative treatments;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effectiveness of sales and marketing efforts;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treatment in relation to alternative treatments;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our tablet vaccine candidates for sale at competitive prices;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compared to alternative treatments;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new therapies and of physicians to prescribe these therapies;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medical community to offer customers our tablet vaccine candidate option in addition to, or in the place of, injectable vaccines;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marketing and distribution support;</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coverage and adequate reimbursement;</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tablet vaccine together with other medications.</w:t>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Because we expect sales of our tablet vaccine candidate for coronavirus and/or norovirus, if approved, to generate substantially all of our revenues for the foreseeable future, the failure of these tablet vaccines to achieve market acceptance would harm our business and could require us to seek additional financing sooner than we would otherwise plan.</w:t>
      </w:r>
    </w:p>
    <w:p>
      <w:pPr>
        <w:spacing w:after="0" w:line="12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state and federal healthcare regulatory laws, we could face substantial penalties, damages, fines, disgorgement, exclusion from participation in governmental healthcare programs, and the curtailment of our operations, any of which could harm our business.</w:t>
      </w:r>
    </w:p>
    <w:p>
      <w:pPr>
        <w:spacing w:after="0" w:line="123" w:lineRule="exact"/>
        <w:rPr>
          <w:sz w:val="20"/>
          <w:szCs w:val="20"/>
          <w:color w:val="auto"/>
        </w:rPr>
      </w:pPr>
    </w:p>
    <w:p>
      <w:pPr>
        <w:ind w:right="300" w:firstLine="254"/>
        <w:spacing w:after="0" w:line="286" w:lineRule="auto"/>
        <w:rPr>
          <w:sz w:val="20"/>
          <w:szCs w:val="20"/>
          <w:color w:val="auto"/>
        </w:rPr>
      </w:pPr>
      <w:r>
        <w:rPr>
          <w:rFonts w:ascii="Times New Roman" w:cs="Times New Roman" w:eastAsia="Times New Roman" w:hAnsi="Times New Roman"/>
          <w:sz w:val="14"/>
          <w:szCs w:val="14"/>
          <w:color w:val="auto"/>
        </w:rPr>
        <w:t>Although we do not provide healthcare services or submit claims for third-party reimbursement, we are subject to healthcare fraud and abuse regulation and enforcement by federal and state governments, which could significantly impact our business. The laws that may affect our ability to operate include, but are not limited to:</w:t>
      </w:r>
    </w:p>
    <w:p>
      <w:pPr>
        <w:spacing w:after="0" w:line="125" w:lineRule="exact"/>
        <w:rPr>
          <w:sz w:val="20"/>
          <w:szCs w:val="20"/>
          <w:color w:val="auto"/>
        </w:rPr>
      </w:pPr>
    </w:p>
    <w:p>
      <w:pPr>
        <w:ind w:left="140" w:right="100" w:hanging="135"/>
        <w:spacing w:after="0" w:line="264" w:lineRule="auto"/>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prohibits, among other things, persons and entities from knowingly and willfully soliciting, receiving, offering, or paying remuneration, directly or indirectly, in cash or in kind, in exchange for or to induce either the referral of an individual for, or the purchase, lease, order or recommendation of, any good, facility, item or service for which payment may be made, in whole or in part, under federal healthcare programs such as Medicare and Medicaid. A person or entity does not need to have actual knowledge of this statute or specific intent to violate it;</w:t>
      </w:r>
    </w:p>
    <w:p>
      <w:pPr>
        <w:spacing w:after="0" w:line="139" w:lineRule="exact"/>
        <w:rPr>
          <w:rFonts w:ascii="Times New Roman" w:cs="Times New Roman" w:eastAsia="Times New Roman" w:hAnsi="Times New Roman"/>
          <w:sz w:val="14"/>
          <w:szCs w:val="14"/>
          <w:color w:val="auto"/>
        </w:rPr>
      </w:pPr>
    </w:p>
    <w:p>
      <w:pPr>
        <w:ind w:left="140" w:right="400" w:hanging="135"/>
        <w:spacing w:after="0" w:line="264" w:lineRule="auto"/>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civil False Claims Act (“FCA”), which prohibits, among other things, individuals or entities from knowingly presenting, or causing to be presented, claims for payment from Medicare, Medicaid or other third-party payors that are false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w:t>
      </w:r>
    </w:p>
    <w:p>
      <w:pPr>
        <w:spacing w:after="0" w:line="139" w:lineRule="exact"/>
        <w:rPr>
          <w:rFonts w:ascii="Times New Roman" w:cs="Times New Roman" w:eastAsia="Times New Roman" w:hAnsi="Times New Roman"/>
          <w:sz w:val="14"/>
          <w:szCs w:val="14"/>
          <w:color w:val="auto"/>
        </w:rPr>
      </w:pPr>
    </w:p>
    <w:p>
      <w:pPr>
        <w:ind w:left="140" w:right="500" w:hanging="135"/>
        <w:spacing w:after="0" w:line="286" w:lineRule="auto"/>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criminal FCA, which imposes criminal fines or imprisonment against individuals or entities who make or present a claim to the government knowing such claim to be false, fictitious or fraudulent;</w:t>
      </w:r>
    </w:p>
    <w:p>
      <w:pPr>
        <w:spacing w:after="0" w:line="125" w:lineRule="exact"/>
        <w:rPr>
          <w:rFonts w:ascii="Times New Roman" w:cs="Times New Roman" w:eastAsia="Times New Roman" w:hAnsi="Times New Roman"/>
          <w:sz w:val="14"/>
          <w:szCs w:val="14"/>
          <w:color w:val="auto"/>
        </w:rPr>
      </w:pPr>
    </w:p>
    <w:p>
      <w:pPr>
        <w:ind w:left="140" w:right="40" w:hanging="135"/>
        <w:spacing w:after="0" w:line="286" w:lineRule="auto"/>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created federal criminal laws that prohibit executing a scheme to defraud any healthcare benefit program or making false statements relating to healthcare matters;</w:t>
      </w:r>
    </w:p>
    <w:p>
      <w:pPr>
        <w:spacing w:after="0" w:line="125" w:lineRule="exact"/>
        <w:rPr>
          <w:rFonts w:ascii="Times New Roman" w:cs="Times New Roman" w:eastAsia="Times New Roman" w:hAnsi="Times New Roman"/>
          <w:sz w:val="14"/>
          <w:szCs w:val="14"/>
          <w:color w:val="auto"/>
        </w:rPr>
      </w:pPr>
    </w:p>
    <w:p>
      <w:pPr>
        <w:ind w:left="140" w:hanging="135"/>
        <w:spacing w:after="0" w:line="286" w:lineRule="auto"/>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125" w:lineRule="exact"/>
        <w:rPr>
          <w:rFonts w:ascii="Times New Roman" w:cs="Times New Roman" w:eastAsia="Times New Roman" w:hAnsi="Times New Roman"/>
          <w:sz w:val="14"/>
          <w:szCs w:val="14"/>
          <w:color w:val="auto"/>
        </w:rPr>
      </w:pPr>
    </w:p>
    <w:p>
      <w:pPr>
        <w:ind w:left="140" w:right="260" w:hanging="135"/>
        <w:spacing w:after="0" w:line="269" w:lineRule="auto"/>
        <w:tabs>
          <w:tab w:leader="none" w:pos="1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sunshine requirements under the Affordable Care Act, which require certain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right="100" w:hanging="135"/>
        <w:spacing w:after="0" w:line="264" w:lineRule="auto"/>
        <w:tabs>
          <w:tab w:leader="none" w:pos="1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law equivalents of each of the above federal laws, such as anti-kickback and false claims laws that may apply to items or services reimbursed by any third-party payor, including commercial insurers; state laws that require pharmaceutical companies to comply with the device industry’s voluntary compliance guidelines and the relevant compliance guidance promulgated by the federal government, or otherwise restrict payments that may be made to healthcare providers and other potential referral sources; and state laws that require device manufacturers to report information related to payments and other transfers of value to physicians and other healthcare providers or marketing expenditures.</w:t>
      </w:r>
    </w:p>
    <w:p>
      <w:pPr>
        <w:spacing w:after="0" w:line="309" w:lineRule="exact"/>
        <w:rPr>
          <w:sz w:val="20"/>
          <w:szCs w:val="20"/>
          <w:color w:val="auto"/>
        </w:rPr>
      </w:pPr>
    </w:p>
    <w:p>
      <w:pPr>
        <w:ind w:right="40" w:firstLine="254"/>
        <w:spacing w:after="0" w:line="258" w:lineRule="auto"/>
        <w:rPr>
          <w:sz w:val="20"/>
          <w:szCs w:val="20"/>
          <w:color w:val="auto"/>
        </w:rPr>
      </w:pPr>
      <w:r>
        <w:rPr>
          <w:rFonts w:ascii="Times New Roman" w:cs="Times New Roman" w:eastAsia="Times New Roman" w:hAnsi="Times New Roman"/>
          <w:sz w:val="14"/>
          <w:szCs w:val="14"/>
          <w:color w:val="auto"/>
        </w:rPr>
        <w:t>Further, the Affordable Care Act,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Affordable Care Act provided that the government may assert that a claim including items or services resulting from a violation of the federal Anti-Kickback Statute constitutes a false or fraudulent claim for purposes of the FCA. Moreover, while we do not, and will not, submit claims and our customers will make the ultimate decision on how to submit claims, we may provide reimbursement guidance to our customers from time to time.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45"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We have entered into consulting and scientific advisory board arrangements with physicians and other healthcare providers. Compensation for some of these arrangements includes the provision of stock options. While we have worked to structure our arrangements to comply with applicable laws,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influence the ordering of and use our products to be in violation of applicable laws.</w:t>
      </w:r>
    </w:p>
    <w:p>
      <w:pPr>
        <w:spacing w:after="0" w:line="140" w:lineRule="exact"/>
        <w:rPr>
          <w:sz w:val="20"/>
          <w:szCs w:val="20"/>
          <w:color w:val="auto"/>
        </w:rPr>
      </w:pPr>
    </w:p>
    <w:p>
      <w:pPr>
        <w:ind w:right="140" w:firstLine="254"/>
        <w:spacing w:after="0" w:line="269" w:lineRule="auto"/>
        <w:rPr>
          <w:sz w:val="20"/>
          <w:szCs w:val="20"/>
          <w:color w:val="auto"/>
        </w:rPr>
      </w:pPr>
      <w:r>
        <w:rPr>
          <w:rFonts w:ascii="Times New Roman" w:cs="Times New Roman" w:eastAsia="Times New Roman" w:hAnsi="Times New Roman"/>
          <w:sz w:val="14"/>
          <w:szCs w:val="14"/>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37"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Responding to investigations can be time- 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liability lawsuits against us could cause us to incur substantial liabilities and could limit the commercialization of any tablet vaccine candidates we may develop.</w:t>
      </w:r>
    </w:p>
    <w:p>
      <w:pPr>
        <w:spacing w:after="0" w:line="180"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We face an inherent risk of product liability exposure related to the testing of our tablet vaccine candidates in human clinical trials and will face an even greater risk if we commercially sell any products that we may develop after approval. For instance, since our norovirus tablet challenge study is being conducted in healthy human volunteers, any adverse reactions could result in claims from these injuries and we could incur substantial liabilities. Regardless of merit or eventual outcome, liability claims may result in:</w:t>
      </w:r>
    </w:p>
    <w:p>
      <w:pPr>
        <w:spacing w:after="0" w:line="137" w:lineRule="exact"/>
        <w:rPr>
          <w:sz w:val="20"/>
          <w:szCs w:val="20"/>
          <w:color w:val="auto"/>
        </w:rPr>
      </w:pPr>
    </w:p>
    <w:p>
      <w:pPr>
        <w:ind w:left="140" w:hanging="135"/>
        <w:spacing w:after="0"/>
        <w:tabs>
          <w:tab w:leader="none" w:pos="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tablet vaccine candidates that it may develop;</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any related litigation;</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subjects or patients;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we may develop.</w:t>
      </w:r>
    </w:p>
    <w:p>
      <w:pPr>
        <w:spacing w:after="0" w:line="178"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Although we maintain product liability insurance coverage in the amount of up to $10 million per claim and in the aggregate, it may not be adequate to cover all liabilities that we may incur. Additionally, seasonal influenza is a covered vaccine of the National Vaccine Injury Compensation Program, and our participation in that program may require time and resources that impede product uptake, if approved. We anticipate that we will need to increase our insurance coverage as we continue clinical trials and if we successfully commercialize any products. Insurance coverage is increasingly expensive. We may not be able to maintain insurance coverage at a reasonable cost or in an amount adequate to satisfy any liability that may arise.</w:t>
      </w:r>
    </w:p>
    <w:p>
      <w:pPr>
        <w:spacing w:after="0" w:line="13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a product liability claim is successfully brought against us for uninsured liabilities, or such claim exceeds our insurance coverage, we could be forced to pay substantial damage awards that could materially harm our business.</w:t>
      </w:r>
    </w:p>
    <w:p>
      <w:pPr>
        <w:spacing w:after="0" w:line="123" w:lineRule="exact"/>
        <w:rPr>
          <w:sz w:val="20"/>
          <w:szCs w:val="20"/>
          <w:color w:val="auto"/>
        </w:rPr>
      </w:pPr>
    </w:p>
    <w:p>
      <w:pPr>
        <w:ind w:right="20" w:firstLine="254"/>
        <w:spacing w:after="0" w:line="257" w:lineRule="auto"/>
        <w:rPr>
          <w:sz w:val="20"/>
          <w:szCs w:val="20"/>
          <w:color w:val="auto"/>
        </w:rPr>
      </w:pPr>
      <w:r>
        <w:rPr>
          <w:rFonts w:ascii="Times New Roman" w:cs="Times New Roman" w:eastAsia="Times New Roman" w:hAnsi="Times New Roman"/>
          <w:sz w:val="14"/>
          <w:szCs w:val="14"/>
          <w:color w:val="auto"/>
        </w:rPr>
        <w:t>The use of any of our existing or future product candidates in clinical trials and the sale of any approved pharmaceutical products may expose us to significant product liability claims. We currently have product liability insurance coverage for our ongoing clinical trials in the amount of up to $10 million. Further, we also require clinical research and manufacturing organizations that assist us in the conduct of our trials or manufacture materials used in these trials to carry product liability insurance against such claims. This insurance coverage may not protect us against any or all of the product liability claims that may be brought against us in the future. We may not be able to acquire or maintain adequate product liability insurance coverage at a commercially reasonable cost or in sufficient amounts or scope to protect ourselves against potential losses. In the event a product liability claim is brought against us, we may be required to pay legal and other expenses to defend the claim, as well as uncovered damage awards resulting from a claim brought successfully against us. In the event any of our product candidates are approved for sale by the FDA or similar regulatory authorities in other countries and commercialized, we may need to substantially increase the amount of our product liability coverage. Defending any product liability claim or claims could require us to expend significant financial and managerial resources, which could have an adverse effect on our business.</w:t>
      </w:r>
    </w:p>
    <w:p>
      <w:pPr>
        <w:spacing w:after="0" w:line="145"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establish sales, marketing and distribution capabilities either on our own or in collaboration with third parties, we may not be successful in commercializing our tablet vaccine candidates, if approved.</w:t>
      </w:r>
    </w:p>
    <w:p>
      <w:pPr>
        <w:spacing w:after="0" w:line="123"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We do not have any infrastructure for the sales, marketing or distribution of our tablet vaccine candidates, and the cost of establishing and maintaining such an organization may exceed the cost-effectiveness of doing so. In order to market any tablet vaccine candidates that may be approved, we must build our sales, distribution, marketing, managerial and other non-technical capabilities or make arrangements with third parties to perform these services. To achieve commercial success for any tablet vaccine candidates for which we have obtained marketing approval, we will need a sales and marketing organization. While we expect to partner our tablet vaccine for seasonal influenza, we may build a focused sales, distribution and marketing infrastructure to market our other tablet vaccine candidates in the U.S., if approved. There are significant expenses and risks involved with establishing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tablet vaccine candidate launch, which would adversely impact commercialization.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may inhibit our efforts to commercialize our tablet vaccine candidates on our own include:</w:t>
      </w:r>
    </w:p>
    <w:p>
      <w:pPr>
        <w:spacing w:after="0" w:line="178" w:lineRule="exact"/>
        <w:rPr>
          <w:sz w:val="20"/>
          <w:szCs w:val="20"/>
          <w:color w:val="auto"/>
        </w:rPr>
      </w:pPr>
    </w:p>
    <w:p>
      <w:pPr>
        <w:ind w:left="140" w:hanging="135"/>
        <w:spacing w:after="0"/>
        <w:tabs>
          <w:tab w:leader="none" w:pos="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recruit, train and retain adequate numbers of effective sales and marketing personnel;</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sales personnel to obtain access to physicians or attain adequate numbers of physicians to administer our tablet vaccines;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unforeseen costs and expenses associated with creating an independent sales and marketing organization.</w:t>
      </w:r>
    </w:p>
    <w:p>
      <w:pPr>
        <w:spacing w:after="0" w:line="178" w:lineRule="exact"/>
        <w:rPr>
          <w:sz w:val="20"/>
          <w:szCs w:val="20"/>
          <w:color w:val="auto"/>
        </w:rPr>
      </w:pPr>
    </w:p>
    <w:p>
      <w:pPr>
        <w:jc w:val="both"/>
        <w:ind w:right="20" w:firstLine="254"/>
        <w:spacing w:after="0" w:line="269" w:lineRule="auto"/>
        <w:rPr>
          <w:sz w:val="20"/>
          <w:szCs w:val="20"/>
          <w:color w:val="auto"/>
        </w:rPr>
      </w:pPr>
      <w:r>
        <w:rPr>
          <w:rFonts w:ascii="Times New Roman" w:cs="Times New Roman" w:eastAsia="Times New Roman" w:hAnsi="Times New Roman"/>
          <w:sz w:val="14"/>
          <w:szCs w:val="14"/>
          <w:color w:val="auto"/>
        </w:rPr>
        <w:t>We intend to pursue collaborative arrangements regarding the sale and marketing of our tablet vaccine candidates, if approved, for certain international markets; however, we may not be able to establish or maintain such collaborative arrangements and, if able to do so, our collaborators may not have effective sales. To the extent that we depend on third parties for marketing and distribution, any revenues we receive will depend upon the efforts of such third parties, and we cannot assure you that such efforts will be successful.</w:t>
      </w:r>
    </w:p>
    <w:p>
      <w:pPr>
        <w:spacing w:after="0" w:line="137"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If we are unable to build our own sales force in the U.S. or negotiate a collaborative relationship for the commercialization of our tablet vaccine candidates outside the U.S., we may be forced to delay the potential commercialization or reduce the scope of our sales and marketing activities. We could have to enter into arrangements with third parties at an earlier stage than we would otherwise choose and we may be required to relinquish rights to our intellectual property or otherwise agree to terms unfavorable to us, any of which may have an adverse effect on our business, operating results and prospects.</w:t>
      </w:r>
    </w:p>
    <w:p>
      <w:pPr>
        <w:spacing w:after="0" w:line="140" w:lineRule="exact"/>
        <w:rPr>
          <w:sz w:val="20"/>
          <w:szCs w:val="20"/>
          <w:color w:val="auto"/>
        </w:rPr>
      </w:pPr>
    </w:p>
    <w:p>
      <w:pPr>
        <w:ind w:right="240" w:firstLine="254"/>
        <w:spacing w:after="0" w:line="286" w:lineRule="auto"/>
        <w:rPr>
          <w:sz w:val="20"/>
          <w:szCs w:val="20"/>
          <w:color w:val="auto"/>
        </w:rPr>
      </w:pPr>
      <w:r>
        <w:rPr>
          <w:rFonts w:ascii="Times New Roman" w:cs="Times New Roman" w:eastAsia="Times New Roman" w:hAnsi="Times New Roman"/>
          <w:sz w:val="14"/>
          <w:szCs w:val="14"/>
          <w:color w:val="auto"/>
        </w:rPr>
        <w:t>We may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obtain approval to commercialize any tablet vaccine candidates outside of the United States, a variety of risks associated with international operations could harm our business.</w:t>
      </w:r>
    </w:p>
    <w:p>
      <w:pPr>
        <w:spacing w:after="0" w:line="180"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If our tablet vaccine candidates are approved for commercialization, we intend to enter into agreements with third parties to market them in certain jurisdictions outside the U.S. We expect that we will be subject to additional risks related to international operations or entering into international business relationships, including:</w:t>
      </w:r>
    </w:p>
    <w:p>
      <w:pPr>
        <w:spacing w:after="0" w:line="125" w:lineRule="exact"/>
        <w:rPr>
          <w:sz w:val="20"/>
          <w:szCs w:val="20"/>
          <w:color w:val="auto"/>
        </w:rPr>
      </w:pPr>
    </w:p>
    <w:p>
      <w:pPr>
        <w:ind w:left="140" w:hanging="135"/>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regulatory requirements for drug approvals and rules governing drug commercialization in foreign countries;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protection for intellectual property rights;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and regulatory requirements;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reimbursement, pricing and insurance regimes;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taxes;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revenues, and other obligations incident to doing business in another country;</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noncompliance with the U.S. Foreign Corrupt Practices Act, the U.K. Bribery Act 2010 and similar anti-bribery and anticorruption laws in other jurisdictions;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tablet vaccination shortages resulting from any events affecting raw material supply or manufacturing capabilities abroad;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 or natural disasters including earthquakes, typhoons, floods and fires.</w:t>
      </w:r>
    </w:p>
    <w:p>
      <w:pPr>
        <w:spacing w:after="0" w:line="178" w:lineRule="exact"/>
        <w:rPr>
          <w:sz w:val="20"/>
          <w:szCs w:val="20"/>
          <w:color w:val="auto"/>
        </w:rPr>
      </w:pPr>
    </w:p>
    <w:p>
      <w:pPr>
        <w:ind w:right="240" w:firstLine="254"/>
        <w:spacing w:after="0" w:line="286" w:lineRule="auto"/>
        <w:rPr>
          <w:sz w:val="20"/>
          <w:szCs w:val="20"/>
          <w:color w:val="auto"/>
        </w:rPr>
      </w:pPr>
      <w:r>
        <w:rPr>
          <w:rFonts w:ascii="Times New Roman" w:cs="Times New Roman" w:eastAsia="Times New Roman" w:hAnsi="Times New Roman"/>
          <w:sz w:val="14"/>
          <w:szCs w:val="14"/>
          <w:color w:val="auto"/>
        </w:rPr>
        <w:t>We have no prior experience in these areas. In addition, there are complex regulatory, tax, labor and other legal requirements imposed by both the European Union and many of the individual countries in Europe with which we will need to comply.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involvement may limit the commercial success of our tablet vaccine candidates.</w:t>
      </w:r>
    </w:p>
    <w:p>
      <w:pPr>
        <w:spacing w:after="0" w:line="180"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Various government entities, including the U.S. government, are offering incentives, grants and contracts to encourage additional investment by commercial organizations into preventative and therapeutic agents against coronavirus and influenza, which may have the effect of increasing the number of competitors and/or providing advantages to known competitors. Accordingly, there can be no assurance that we will be able to successfully establish a competitive market share for our coronavirus or influenza vaccines.</w:t>
      </w:r>
    </w:p>
    <w:p>
      <w:pPr>
        <w:spacing w:after="0" w:line="137"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In addition, current influenza vaccines are generally trivalent (containing three strains) or quadrivalent (containing four strains). If the FDA requires or recommends changes in influenza vaccines, for example, for a monovalent vaccine or for use of a strain that is not currently circulating in the human population, it is uncertain whether we will be able to produce or manufacture such a vaccine at commercially reasonable rates.</w:t>
      </w:r>
    </w:p>
    <w:p>
      <w:pPr>
        <w:spacing w:after="0" w:line="135"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seasonal nature of our target indications, in particular influenza, and competition from new products may cause unpredictable royalty revenues from Inavir and significant fluctuations in our operating results.</w:t>
      </w:r>
    </w:p>
    <w:p>
      <w:pPr>
        <w:spacing w:after="0" w:line="123"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Influenza is seasonal in nature with sales of current vaccines occurring primarily in the first and fourth quarters of the calendar year. In addition, outbreaks of norovirus typically occur in the winter season. This seasonal concentration of product sales could cause quarter-to-quarter operating results to vary widely and can exaggerate the consequences of revenues of any manufacturing or supply delays, any sudden loss of inventory, any inability to satisfy product demand, the inability to estimate the effect of returns and rebates, normal or unusual fluctuations in customer buying patterns, or of any unsuccessful sales or marketing strategies during the sales seasons.</w:t>
      </w:r>
    </w:p>
    <w:p>
      <w:pPr>
        <w:spacing w:after="0" w:line="140" w:lineRule="exact"/>
        <w:rPr>
          <w:sz w:val="20"/>
          <w:szCs w:val="20"/>
          <w:color w:val="auto"/>
        </w:rPr>
      </w:pPr>
    </w:p>
    <w:p>
      <w:pPr>
        <w:ind w:right="100" w:firstLine="254"/>
        <w:spacing w:after="0" w:line="261" w:lineRule="auto"/>
        <w:rPr>
          <w:sz w:val="20"/>
          <w:szCs w:val="20"/>
          <w:color w:val="auto"/>
        </w:rPr>
      </w:pPr>
      <w:r>
        <w:rPr>
          <w:rFonts w:ascii="Times New Roman" w:cs="Times New Roman" w:eastAsia="Times New Roman" w:hAnsi="Times New Roman"/>
          <w:sz w:val="14"/>
          <w:szCs w:val="14"/>
          <w:color w:val="auto"/>
        </w:rPr>
        <w:t>We earn royalty revenue from the net sales of Inavir, which is marketed by our licensee. Although the royalty rates paid to us by our licensees are fixed at a proportion of the licensee’s net sales of these products, our periodic and annual revenues from these royalties have historically been variable and subject to fluctuation based on the seasonal incidence and severity of influenza. It is the seasonality of influenza, which occurs mainly in the winter months, that causes our royalty revenue to be low in the second and third fiscal quarters, since our agreement with HealthCare Royalty Partners III, L.P. (see Note 6 to our Consolidated Financial Statements) has no impact on total revenue recognized, it only impacts our net cash flow in the quarter following revenue recognition. We cannot predict with any certainty what our royalty revenues are likely to be in any given year.</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160" w:firstLine="254"/>
        <w:spacing w:after="0" w:line="259" w:lineRule="auto"/>
        <w:rPr>
          <w:sz w:val="20"/>
          <w:szCs w:val="20"/>
          <w:color w:val="auto"/>
        </w:rPr>
      </w:pPr>
      <w:r>
        <w:rPr>
          <w:rFonts w:ascii="Times New Roman" w:cs="Times New Roman" w:eastAsia="Times New Roman" w:hAnsi="Times New Roman"/>
          <w:sz w:val="14"/>
          <w:szCs w:val="14"/>
          <w:color w:val="auto"/>
        </w:rPr>
        <w:t>In addition, our licensee may encounter competition from new products entering the market, including generic copies of Inavir, which could adversely affect our royalty income. The last patent related to Inavir is set to expire in August 2036 in Japan, at which time royalty revenue will cease. However, the patent covering the laninamivir octanoate compound expired in 2024, at which time generic competition may enter the market, potentially decreasing or eliminating the royalties received. On February 23, 2018, Osaka-based drug maker Shionogi &amp; Co., Ltd. gained marketing approval for Xofluza, a new drug to treat influenza in Japan. The drug was approved for use against type A and B influenza viruses and requires only a single dose regardless of age. Xofluza has gained significant market share from Inavir in Japan, substantially reducing the sales of Inavir. This will significantly decrease the royalty payments we receive from Daiichi Sankyo Company, Limited.</w:t>
      </w:r>
    </w:p>
    <w:p>
      <w:pPr>
        <w:spacing w:after="0" w:line="14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largely upon our ability to advance our product candidates through the various stages of drug development. If we are unable to successfully advance or develop our product candidates, our business will be materially harmed.</w:t>
      </w:r>
    </w:p>
    <w:p>
      <w:pPr>
        <w:spacing w:after="0" w:line="123" w:lineRule="exact"/>
        <w:rPr>
          <w:sz w:val="20"/>
          <w:szCs w:val="20"/>
          <w:color w:val="auto"/>
        </w:rPr>
      </w:pPr>
    </w:p>
    <w:p>
      <w:pPr>
        <w:ind w:right="20" w:firstLine="254"/>
        <w:spacing w:after="0" w:line="257" w:lineRule="auto"/>
        <w:rPr>
          <w:sz w:val="20"/>
          <w:szCs w:val="20"/>
          <w:color w:val="auto"/>
        </w:rPr>
      </w:pPr>
      <w:r>
        <w:rPr>
          <w:rFonts w:ascii="Times New Roman" w:cs="Times New Roman" w:eastAsia="Times New Roman" w:hAnsi="Times New Roman"/>
          <w:sz w:val="14"/>
          <w:szCs w:val="14"/>
          <w:color w:val="auto"/>
        </w:rPr>
        <w:t>Even though we generate royalty revenue from a commercialized influenza product, all of our remaining product candidates are in early stages of development and their commercial viability remains subject to the successful outcome of future preclinical studies, clinical trials, manufacturing processes, regulatory approvals and the risks generally inherent in the development of pharmaceutical product candidates. Failure to advance the development of one or more of our product candidates may have a material adverse effect on our business. For example, the Phase 2 trial of teslexivir, a product acquired through the merger with Aviragen, was costly and diverted resources from our other product candidates and did not achieve the primary efficacy endpoint, resulting in abandonment of development activities. The long-term success of our business ultimately depends upon our ability to advance the development of our product candidates through preclinical studies and clinical trials, appropriately formulate and consistently manufacture them in accordance with strict specifications and regulations, obtain approval of our product candidates for sale by the FDA or similar regulatory authorities in other countries, and ultimately have our product candidates successfully commercialized, either by us or by a strategic partner or licensee. We cannot be sure that the results of our ongoing or future research, preclinical studies or clinical trials will support or justify the continued development of our product candidates, or that we will ultimately receive approval from the FDA, or similar regulatory authorities in other countries, to advance the development of our product candidates.</w:t>
      </w:r>
    </w:p>
    <w:p>
      <w:pPr>
        <w:spacing w:after="0" w:line="145" w:lineRule="exact"/>
        <w:rPr>
          <w:sz w:val="20"/>
          <w:szCs w:val="20"/>
          <w:color w:val="auto"/>
        </w:rPr>
      </w:pPr>
    </w:p>
    <w:p>
      <w:pPr>
        <w:jc w:val="both"/>
        <w:ind w:right="200" w:firstLine="254"/>
        <w:spacing w:after="0" w:line="269" w:lineRule="auto"/>
        <w:rPr>
          <w:sz w:val="20"/>
          <w:szCs w:val="20"/>
          <w:color w:val="auto"/>
        </w:rPr>
      </w:pPr>
      <w:r>
        <w:rPr>
          <w:rFonts w:ascii="Times New Roman" w:cs="Times New Roman" w:eastAsia="Times New Roman" w:hAnsi="Times New Roman"/>
          <w:sz w:val="14"/>
          <w:szCs w:val="14"/>
          <w:color w:val="auto"/>
        </w:rPr>
        <w:t>Our product candidates must satisfy rigorous regulatory standards of safety, efficacy and manufacturing before we can advance or complete their development and before they can be approved for sale by the FDA or similar regulatory authorities in other countries. To satisfy these standards, we must engage in expensive and lengthy studies and clinical trials, develop acceptable and cost-effective manufacturing processes, and obtain regulatory approval of our product candidates. Despite these efforts, our product candidates may not:</w:t>
      </w:r>
    </w:p>
    <w:p>
      <w:pPr>
        <w:spacing w:after="0" w:line="137" w:lineRule="exact"/>
        <w:rPr>
          <w:sz w:val="20"/>
          <w:szCs w:val="20"/>
          <w:color w:val="auto"/>
        </w:rPr>
      </w:pPr>
    </w:p>
    <w:p>
      <w:pPr>
        <w:ind w:left="140" w:hanging="135"/>
        <w:spacing w:after="0" w:line="286" w:lineRule="auto"/>
        <w:tabs>
          <w:tab w:leader="none" w:pos="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clinically meaningful therapeutic or other medical benefits as compared to a patient receiving no treatment or over existing drugs or other product candidates in development to treat the same patient population;</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shown to be safe and effective in future preclinical studies or clinical trials;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desired therapeutic or medical effects;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tolerable or free from undesirable or unexpected side effects;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meet applicable regulatory standards;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capable of being appropriately formulated and manufactured in commercially suitable quantities or scale and at an acceptable cost; or</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successfully commercialized, either by us or by our licensees or collaborators.</w:t>
      </w:r>
    </w:p>
    <w:p>
      <w:pPr>
        <w:spacing w:after="0" w:line="178"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Even if we demonstrate favorable results in preclinical studies and early-stage clinical trials, we cannot be sure that the results of late-stage clinical trials will be sufficient to support the continued development of our product candidates. Many, if not most, companies in the pharmaceutical and biopharmaceutical industries have experienced significant delays, setbacks and failures in all stages of development, including late-stage clinical trials, even after achieving promising results in preclinical testing or early-stage clinical trials. Accordingly, results from completed preclinical studies and early-stage clinical trials of our product candidates may not be predictive of the results we may obtain in future late-stage trials. Furthermore, even if the data collected from preclinical studies and clinical trials involving any of our product candidates demonstrate a satisfactory safety, tolerability and efficacy profile, such results may not be sufficient to obtain regulatory approval from the FDA in the U.S., or other similar regulatory agencies in other jurisdictions, which is required to market and sell the product.</w:t>
      </w:r>
    </w:p>
    <w:p>
      <w:pPr>
        <w:spacing w:after="0" w:line="14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the actual or perceived therapeutic benefits, or the safety or tolerability profile of any of our product candidates are not equal to or superior to other competing treatments approved for sale or in clinical development, we may terminate the development of any of our product candidates at any time, and our business prospects and potential profitability could be harmed.</w:t>
      </w:r>
    </w:p>
    <w:p>
      <w:pPr>
        <w:spacing w:after="0" w:line="123" w:lineRule="exact"/>
        <w:rPr>
          <w:sz w:val="20"/>
          <w:szCs w:val="20"/>
          <w:color w:val="auto"/>
        </w:rPr>
      </w:pPr>
    </w:p>
    <w:p>
      <w:pPr>
        <w:ind w:right="220" w:firstLine="254"/>
        <w:spacing w:after="0" w:line="286" w:lineRule="auto"/>
        <w:rPr>
          <w:sz w:val="20"/>
          <w:szCs w:val="20"/>
          <w:color w:val="auto"/>
        </w:rPr>
      </w:pPr>
      <w:r>
        <w:rPr>
          <w:rFonts w:ascii="Times New Roman" w:cs="Times New Roman" w:eastAsia="Times New Roman" w:hAnsi="Times New Roman"/>
          <w:sz w:val="14"/>
          <w:szCs w:val="14"/>
          <w:color w:val="auto"/>
        </w:rPr>
        <w:t>We are aware of a number of companies marketing or developing various classes of anti-infective product candidates or products for the treatment of patients infected with HPV that are either approved for sale or further advanced in clinical development than ours, such that their time to approval and commercialization may be shorter than that for our product candidates.</w:t>
      </w:r>
    </w:p>
    <w:p>
      <w:pPr>
        <w:spacing w:after="0" w:line="125" w:lineRule="exact"/>
        <w:rPr>
          <w:sz w:val="20"/>
          <w:szCs w:val="20"/>
          <w:color w:val="auto"/>
        </w:rPr>
      </w:pPr>
    </w:p>
    <w:p>
      <w:pPr>
        <w:ind w:right="100" w:firstLine="254"/>
        <w:spacing w:after="0" w:line="264" w:lineRule="auto"/>
        <w:rPr>
          <w:sz w:val="20"/>
          <w:szCs w:val="20"/>
          <w:color w:val="auto"/>
        </w:rPr>
      </w:pPr>
      <w:r>
        <w:rPr>
          <w:rFonts w:ascii="Times New Roman" w:cs="Times New Roman" w:eastAsia="Times New Roman" w:hAnsi="Times New Roman"/>
          <w:sz w:val="14"/>
          <w:szCs w:val="14"/>
          <w:color w:val="auto"/>
        </w:rPr>
        <w:t>If at any time we believe that any of our product candidates may not provide meaningful or differentiated therapeutic benefits, perceived or real, equal to or better than our competitors’ products or product candidates, or we believe that our product candidates may not have as favorable a safety or tolerability profile as potentially competitive compounds, we may delay or terminate the future development of any of our product candidates. We cannot provide any assurance that the future development of any of our product candidates will demonstrate any meaningful therapeutic benefits over potentially competitive compounds currently approved for sale or in development, or an acceptable safety or tolerability profile sufficient to justify their continued development.</w:t>
      </w:r>
    </w:p>
    <w:p>
      <w:pPr>
        <w:spacing w:after="0" w:line="13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product candidates may exhibit undesirable side effects when used alone or in combination with other approved pharmaceutical products, which may delay or preclude their development or regulatory approval or limit their use if ever approved.</w:t>
      </w:r>
    </w:p>
    <w:p>
      <w:pPr>
        <w:spacing w:after="0" w:line="123"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Throughout the drug development process, we must continually demonstrate the activity, safety and tolerability of our product candidates in order to obtain regulatory approval to further advance their clinical development, or to eventually market them. Even if our product candidates demonstrate adequate biologic activity and clear clinical benefit, any unacceptable side effects or adverse events, when administered alone or in the presence of other pharmaceutical products, may outweigh these potential benefits. We may observe adverse or serious adverse events or drug-drug interactions in preclinical studies or clinical trials of our product candidates, which could result in the delay or termination of their development, prevent regulatory approval, or limit their market acceptance if they are ultimately approved.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the results from preclinical studies or clinical trials of our product candidates, including those that are subject to existing or future license or collaboration agreements, are unfavorable, we could be delayed or precluded from the further development or commercialization of our product candidates, which could materially harm our business.</w:t>
      </w:r>
    </w:p>
    <w:p>
      <w:pPr>
        <w:spacing w:after="0" w:line="123" w:lineRule="exact"/>
        <w:rPr>
          <w:sz w:val="20"/>
          <w:szCs w:val="20"/>
          <w:color w:val="auto"/>
        </w:rPr>
      </w:pPr>
    </w:p>
    <w:p>
      <w:pPr>
        <w:ind w:right="100" w:firstLine="254"/>
        <w:spacing w:after="0" w:line="258" w:lineRule="auto"/>
        <w:rPr>
          <w:sz w:val="20"/>
          <w:szCs w:val="20"/>
          <w:color w:val="auto"/>
        </w:rPr>
      </w:pPr>
      <w:r>
        <w:rPr>
          <w:rFonts w:ascii="Times New Roman" w:cs="Times New Roman" w:eastAsia="Times New Roman" w:hAnsi="Times New Roman"/>
          <w:sz w:val="14"/>
          <w:szCs w:val="14"/>
          <w:color w:val="auto"/>
        </w:rPr>
        <w:t>In order to further advance the development of, and ultimately receive marketing approval to sell, our product candidates, we must conduct extensive preclinical studies and clinical trials to demonstrate their safety and efficacy to the satisfaction of the FDA or similar regulatory authorities in other countries, as the case may be. Preclinical studies and clinical trials are expensive, complex, can take many years to complete, and have highly uncertain outcomes. Delays, setbacks, or failures can and do occur at any time, and in any phase of preclinical or clinical testing, and can result from concerns about safety, tolerability, toxicity, a lack of demonstrated biologic activity or improved efficacy over similar products that have been approved for sale or are in more advanced stages of development, poor study or trial design, and issues related to the formulation or manufacturing process of the materials used to conduct the trials. The results of prior preclinical studies or early-stage clinical trials are not predictive of the results we may observe in late-stage clinical trials. In many cases, product candidates in clinical development may fail to show the desired tolerability, safety and efficacy characteristics, despite having favorably demonstrated such characteristics in preclinical studies or early-stage clinical trials.</w:t>
      </w:r>
    </w:p>
    <w:p>
      <w:pPr>
        <w:spacing w:after="0" w:line="145" w:lineRule="exact"/>
        <w:rPr>
          <w:sz w:val="20"/>
          <w:szCs w:val="20"/>
          <w:color w:val="auto"/>
        </w:rPr>
      </w:pPr>
    </w:p>
    <w:p>
      <w:pPr>
        <w:ind w:right="340" w:firstLine="254"/>
        <w:spacing w:after="0" w:line="286" w:lineRule="auto"/>
        <w:rPr>
          <w:sz w:val="20"/>
          <w:szCs w:val="20"/>
          <w:color w:val="auto"/>
        </w:rPr>
      </w:pPr>
      <w:r>
        <w:rPr>
          <w:rFonts w:ascii="Times New Roman" w:cs="Times New Roman" w:eastAsia="Times New Roman" w:hAnsi="Times New Roman"/>
          <w:sz w:val="14"/>
          <w:szCs w:val="14"/>
          <w:color w:val="auto"/>
        </w:rPr>
        <w:t>In addition, we may experience numerous unforeseen events during, or as a result of, preclinical studies and the clinical trial process, which could delay or impede our ability to advance the development of, receive marketing approval for, or commercialize our product candidates, including, but not limited to:</w:t>
      </w:r>
    </w:p>
    <w:p>
      <w:pPr>
        <w:spacing w:after="0" w:line="125" w:lineRule="exact"/>
        <w:rPr>
          <w:sz w:val="20"/>
          <w:szCs w:val="20"/>
          <w:color w:val="auto"/>
        </w:rPr>
      </w:pPr>
    </w:p>
    <w:p>
      <w:pPr>
        <w:ind w:left="140" w:right="40" w:hanging="135"/>
        <w:spacing w:after="0" w:line="286" w:lineRule="auto"/>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communications with the FDA, or similar regulatory authorities in different countries, regarding the scope or design of a trial or trials, or placing the development of a product candidate on clinical hold or delaying the next phase of development until questions or issues are satisfactorily resolved, including performing additional studies to answer their queries;</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or IRBs not authorizing us to commence or conduct a clinical trial at a prospective trial site;</w:t>
      </w:r>
    </w:p>
    <w:p>
      <w:pPr>
        <w:spacing w:after="0" w:line="178" w:lineRule="exact"/>
        <w:rPr>
          <w:rFonts w:ascii="Times New Roman" w:cs="Times New Roman" w:eastAsia="Times New Roman" w:hAnsi="Times New Roman"/>
          <w:sz w:val="14"/>
          <w:szCs w:val="14"/>
          <w:color w:val="auto"/>
        </w:rPr>
      </w:pPr>
    </w:p>
    <w:p>
      <w:pPr>
        <w:ind w:left="140" w:right="160" w:hanging="135"/>
        <w:spacing w:after="0" w:line="286" w:lineRule="auto"/>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in our clinical trials being delayed, or proceeding at a slower pace than we expected, because we have difficulty recruiting participants or participants drop out of our clinical trials at a higher rate than we anticipated;</w:t>
      </w:r>
    </w:p>
    <w:p>
      <w:pPr>
        <w:spacing w:after="0" w:line="125" w:lineRule="exact"/>
        <w:rPr>
          <w:rFonts w:ascii="Times New Roman" w:cs="Times New Roman" w:eastAsia="Times New Roman" w:hAnsi="Times New Roman"/>
          <w:sz w:val="14"/>
          <w:szCs w:val="14"/>
          <w:color w:val="auto"/>
        </w:rPr>
      </w:pPr>
    </w:p>
    <w:p>
      <w:pPr>
        <w:ind w:left="140" w:right="120" w:hanging="135"/>
        <w:spacing w:after="0" w:line="286" w:lineRule="auto"/>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upon whom we rely to conduct preclinical studies, clinical trials and the manufacturing of our clinical trial materials, failing to comply with regulatory requirements or meet their contractual obligations to us in a timely manner;</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having to suspend or ultimately terminate a clinical trial if participants are being exposed to unacceptable health or safety risks;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or IRBs requiring that we hold, suspend or terminate our preclinical studies and clinical trials for various reasons, including non-compliance with regulatory requirements;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material necessary to conduct our preclinical studies or clinical trials being insufficient, inadequate or unavailable.</w:t>
      </w:r>
    </w:p>
    <w:p>
      <w:pPr>
        <w:spacing w:after="0" w:line="348" w:lineRule="exact"/>
        <w:rPr>
          <w:sz w:val="20"/>
          <w:szCs w:val="20"/>
          <w:color w:val="auto"/>
        </w:rPr>
      </w:pPr>
    </w:p>
    <w:p>
      <w:pPr>
        <w:ind w:right="140" w:firstLine="254"/>
        <w:spacing w:after="0" w:line="269" w:lineRule="auto"/>
        <w:rPr>
          <w:sz w:val="20"/>
          <w:szCs w:val="20"/>
          <w:color w:val="auto"/>
        </w:rPr>
      </w:pPr>
      <w:r>
        <w:rPr>
          <w:rFonts w:ascii="Times New Roman" w:cs="Times New Roman" w:eastAsia="Times New Roman" w:hAnsi="Times New Roman"/>
          <w:sz w:val="14"/>
          <w:szCs w:val="14"/>
          <w:color w:val="auto"/>
        </w:rPr>
        <w:t>Even if the data collected from preclinical studies or clinical trials involving our product candidates demonstrate a satisfactory tolerability, safety and efficacy profile, such results may not be sufficient to support the submission of a BLA or NDA to obtain regulatory approval from the FDA in the U.S., or other similar regulatory authorities in other foreign jurisdictions, which is required for us to market and sell our product candidates.</w:t>
      </w:r>
    </w:p>
    <w:p>
      <w:pPr>
        <w:spacing w:after="0" w:line="135"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have a limited capacity for managing clinical trials, which could delay or impair our ability to initiate or complete clinical trials of our product candidates on a timely basis and materially harm our business.</w:t>
      </w:r>
    </w:p>
    <w:p>
      <w:pPr>
        <w:spacing w:after="0" w:line="123" w:lineRule="exact"/>
        <w:rPr>
          <w:sz w:val="20"/>
          <w:szCs w:val="20"/>
          <w:color w:val="auto"/>
        </w:rPr>
      </w:pPr>
    </w:p>
    <w:p>
      <w:pPr>
        <w:ind w:right="140" w:firstLine="254"/>
        <w:spacing w:after="0" w:line="261" w:lineRule="auto"/>
        <w:rPr>
          <w:sz w:val="20"/>
          <w:szCs w:val="20"/>
          <w:color w:val="auto"/>
        </w:rPr>
      </w:pPr>
      <w:r>
        <w:rPr>
          <w:rFonts w:ascii="Times New Roman" w:cs="Times New Roman" w:eastAsia="Times New Roman" w:hAnsi="Times New Roman"/>
          <w:sz w:val="14"/>
          <w:szCs w:val="14"/>
          <w:color w:val="auto"/>
        </w:rPr>
        <w:t>We have a limited capacity to recruit and manage all of the clinical trials necessary to obtain approval for our product candidates by the FDA or similar regulatory authorities in other countries. By contrast, larger pharmaceutical and biopharmaceutical companies often have substantial staff or departments with extensive experience in conducting clinical trials with multiple product candidates across multiple indications and obtaining regulatory approval in various countries. In addition, these companies may have greater financial resources to compete for the same clinical investigators, sites and patients that we are attempting to recruit for our clinical trials. As a result, we may be at a competitive disadvantage that could delay the initiation, recruitment, timing and completion of our clinical trials and obtaining of marketing approvals, if achieved at all, for our product candidates.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industry is highly competitive and subject to rapid technological changes. As a result, we may be unable to compete successfully or develop innovative or differentiated products, which could harm our business.</w:t>
      </w:r>
    </w:p>
    <w:p>
      <w:pPr>
        <w:spacing w:after="0" w:line="123"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Our industry is highly competitive and characterized by rapid technological change. Key competitive factors in our industry include, among others, the ability to successfully advance the development of a product candidate through preclinical and clinical trials; the efficacy, toxicology, tolerability, safety, resistance or cross-resistance, interaction or dosing profile of a product or product candidate; the timing and scope of marketing approvals, if ever achieved; reimbursement rates for and the average selling price of competing products and pharmaceutical products in general; the availability of raw materials and qualified contract manufacturing and manufacturing capacity to produce our product candidates; relative manufacturing costs; establishing, maintaining and protecting our intellectual property and patent rights; and sales and marketing capabilities.</w:t>
      </w:r>
    </w:p>
    <w:p>
      <w:pPr>
        <w:spacing w:after="0" w:line="142"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Developing pharmaceutical product candidates is a highly competitive, expensive and risky activity with a long business cycle. Many organizations, including the large pharmaceutical and biopharmaceutical companies that have existing products on the market or in clinical development that may compete with our product candidates, have substantially more resources than us, as well as much greater capabilities and experience than we have in research and discovery, designing and conducting preclinical studies and clinical trials, operating in a highly regulated environment, formulating and manufacturing drug substances, products and devices, and marketing and sales. Our competitors may be more successful than us in obtaining regulatory approvals for their product candidates and achieving broad market acceptance once they are approved. Our competitors’ products or product candidates may be more effective, have fewer adverse effects, be more convenient to administer, have a more favorable resistance profile, or be more effectively marketed and sold than any product that we, or our potential future licensees or collaborators, may develop or commercialize. New drugs or classes of drugs from competitors may render our product candidates obsolete or non-competitive before we are able to successfully develop them or, if approved, before we can recover the expenses of developing and commercializing them. We anticipate that we, or our potential future licensees or collaborators, will face intense and increasing competition as new drugs and drug classes enter the market and advanced technologies or new drug targets become available. If our product candidates do not demonstrate any meaningful competitive advantages over existing products, or new products or product candidates, we may terminate the development or commercialization of our product candidates at any time.</w:t>
      </w:r>
    </w:p>
    <w:p>
      <w:pPr>
        <w:spacing w:after="0" w:line="148"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Our competitors, either alone or with their collaborators, may succeed in developing product candidates or products that are more effective, safer, less expensive or easier to administer than ours. Accordingly, our competitors may succeed in obtaining regulatory approval for their product candidates more rapidly than we can. Companies that can complete clinical trials, obtain required marketing approvals and commercialize their products before their competitors do so may achieve a significant competitive advantage, including certain patent and marketing exclusivity rights that could delay the ability of competitors to market certain products.</w:t>
      </w:r>
    </w:p>
    <w:p>
      <w:pPr>
        <w:spacing w:after="0" w:line="140"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We also face, and expect that we will continue to face, intense competition from other companies in a number of other areas, including (i) attracting larger pharmaceutical and biopharmaceutical companies to enter into collaborative arrangements with us to acquire, license or co-develop our product candidates, (ii) identifying and obtaining additional clinical-stage development programs to bolster our pipeline, (iii) attracting investigators and clinical sites capable of conducting our clinical trials, and (iv) recruiting patients to participate in our clinical trials. There can be no assurance that product candidates resulting from our research and development efforts, or from joint efforts with our potential future licensees or collaborators, will be able to compete successfully with our competitors’ existing products or product candidates in development.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successfully develop a product candidate that is the subject of an existing or future license agreement or collaboration if our licensee or collaborator does not perform or fulfill its contractual obligations, delays the development of our product candidate, or terminates the agreement.</w:t>
      </w:r>
    </w:p>
    <w:p>
      <w:pPr>
        <w:spacing w:after="0" w:line="123" w:lineRule="exact"/>
        <w:rPr>
          <w:sz w:val="20"/>
          <w:szCs w:val="20"/>
          <w:color w:val="auto"/>
        </w:rPr>
      </w:pPr>
    </w:p>
    <w:p>
      <w:pPr>
        <w:ind w:right="100" w:firstLine="254"/>
        <w:spacing w:after="0" w:line="269" w:lineRule="auto"/>
        <w:rPr>
          <w:sz w:val="20"/>
          <w:szCs w:val="20"/>
          <w:color w:val="auto"/>
        </w:rPr>
      </w:pPr>
      <w:r>
        <w:rPr>
          <w:rFonts w:ascii="Times New Roman" w:cs="Times New Roman" w:eastAsia="Times New Roman" w:hAnsi="Times New Roman"/>
          <w:sz w:val="14"/>
          <w:szCs w:val="14"/>
          <w:color w:val="auto"/>
        </w:rPr>
        <w:t>We expect to continue to enter into and rely on license and collaboration agreements in the future, or other similar business arrangements with third parties, to further develop and/or commercialize some or all of our existing and future product candidates. Such licensees or collaborators may not perform as agreed upon or anticipated, may fail to comply with strict regulations, or may elect to delay or terminate their efforts in developing or commercializing our product candidates even though we have met our obligations under the arrangement.</w:t>
      </w:r>
    </w:p>
    <w:p>
      <w:pPr>
        <w:spacing w:after="0" w:line="137"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A majority of the potential revenue from existing and any future licenses and collaborations we may enter into will likely consist of contingent milestone payments, such as payments received for achieving development or regulatory milestones, and royalties payable on the sales of approved products. Milestone and royalty revenues that we may receive under these licenses and collaborations will depend primarily upon our licensees’ or collaborators’ ability to successfully develop and commercialize our product candidates. In addition, our licensees or collaborators may decide to enter into arrangements with third parties to commercialize products developed under our existing or future collaborations using our technologies, which could reduce the milestone and royalty revenue that we may receive, if any. In many cases, we will not be directly or closely involved in the development or commercialization of our product candidates that are subject to licenses or collaborations and, accordingly, we will depend largely on our licensees or collaborators to develop or commercialize our product candidates. Our licensees may encounter competition from new products entering the market, which could adversely affect our royalty income. Our licensees or collaborators may fail to develop or effectively commercialize our product candidates because they:</w:t>
      </w:r>
    </w:p>
    <w:p>
      <w:pPr>
        <w:spacing w:after="0" w:line="145" w:lineRule="exact"/>
        <w:rPr>
          <w:sz w:val="20"/>
          <w:szCs w:val="20"/>
          <w:color w:val="auto"/>
        </w:rPr>
      </w:pPr>
    </w:p>
    <w:p>
      <w:pPr>
        <w:ind w:left="140" w:right="580" w:hanging="135"/>
        <w:spacing w:after="0" w:line="286" w:lineRule="auto"/>
        <w:tabs>
          <w:tab w:leader="none" w:pos="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allocate the necessary resources due to internal constraints, such as limited personnel with the requisite scientific expertise, limited capital resources, or the belief that other product candidates or internal programs may have a higher likelihood of obtaining regulatory approval, or may potentially generate a greater return on investment;</w:t>
      </w:r>
    </w:p>
    <w:p>
      <w:pPr>
        <w:spacing w:after="0" w:line="125"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have sufficient resources necessary to fully support the product candidate through clinical development, regulatory approval and commercialization;</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unable to obtain the necessary regulatory approvals; or</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prioritize other programs or otherwise diminish their support for developing and/or marketing our product candidate or product due to a change in management, business operations or strategy.</w:t>
      </w:r>
    </w:p>
    <w:p>
      <w:pPr>
        <w:spacing w:after="0" w:line="178" w:lineRule="exact"/>
        <w:rPr>
          <w:sz w:val="20"/>
          <w:szCs w:val="20"/>
          <w:color w:val="auto"/>
        </w:rPr>
      </w:pPr>
    </w:p>
    <w:p>
      <w:pPr>
        <w:ind w:right="20" w:firstLine="254"/>
        <w:spacing w:after="0" w:line="256" w:lineRule="auto"/>
        <w:rPr>
          <w:sz w:val="20"/>
          <w:szCs w:val="20"/>
          <w:color w:val="auto"/>
        </w:rPr>
      </w:pPr>
      <w:r>
        <w:rPr>
          <w:rFonts w:ascii="Times New Roman" w:cs="Times New Roman" w:eastAsia="Times New Roman" w:hAnsi="Times New Roman"/>
          <w:sz w:val="14"/>
          <w:szCs w:val="14"/>
          <w:color w:val="auto"/>
        </w:rPr>
        <w:t>Should any of these events occur, we may not realize the full potential or intended benefit of our license or collaboration arrangements, and our results of operations may be adversely affected. In addition, a licensee or collaborator may decide to pursue the development of a competitive product candidate developed outside of our agreement with them. Conflicts may also arise if there is a dispute about the progress of, or other activities related to, the clinical development or commercialization of a product candidate, the achievement and payment of a milestone amount, the ownership of intellectual property that is developed during the course of the arrangement, or other license agreement terms. If a licensee or collaborator fails to develop or effectively commercialize our product candidates for any of these reasons, we may not be able to replace them with another third party willing to develop and commercialize our product candidates under similar terms, if at all. Similarly, we may disagree with a licensee or collaborator as to which party owns newly or jointly-developed intellectual property. Should an agreement be revised or terminated as a result of a dispute and before we have realized the anticipated benefits of the arrangement, we may not be able to obtain certain development support or revenues that we anticipated receiving. We may also be unable to obtain, on terms acceptable to us, a license from such collaboration partner to any of its intellectual property that may be necessary or useful for us to continue to develop and commercialize the product candidate. There can be no assurance that any product candidates will emerge from any existing or future license or collaboration agreements we may enter into for any of our product candidates.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government and third-party payers fail to provide adequate reimbursement or coverage for our products or those that are developed through licenses or collaborations, our revenues and potential for profitability may be harmed.</w:t>
      </w:r>
    </w:p>
    <w:p>
      <w:pPr>
        <w:spacing w:after="0" w:line="123" w:lineRule="exact"/>
        <w:rPr>
          <w:sz w:val="20"/>
          <w:szCs w:val="20"/>
          <w:color w:val="auto"/>
        </w:rPr>
      </w:pPr>
    </w:p>
    <w:p>
      <w:pPr>
        <w:ind w:right="40" w:firstLine="254"/>
        <w:spacing w:after="0" w:line="257" w:lineRule="auto"/>
        <w:rPr>
          <w:sz w:val="20"/>
          <w:szCs w:val="20"/>
          <w:color w:val="auto"/>
        </w:rPr>
      </w:pPr>
      <w:r>
        <w:rPr>
          <w:rFonts w:ascii="Times New Roman" w:cs="Times New Roman" w:eastAsia="Times New Roman" w:hAnsi="Times New Roman"/>
          <w:sz w:val="14"/>
          <w:szCs w:val="14"/>
          <w:color w:val="auto"/>
        </w:rPr>
        <w:t>In the U.S. and most foreign markets, product revenues or related royalty revenue, and therefore the inherent value of our products, will depend largely upon the reimbursement rates established by third-party payers for such products. Third-party payers include government health administration authorities, managed-care organizations, private health insurers and other similar organizations. Third-party payers are increasingly examining the cost effectiveness of medical products, services and pharmaceutical drugs and challenging the price of these products and services. In addition, significant uncertainty exists as to the reimbursement status, if any, of newly approved pharmaceutical products. Further, the comparative effectiveness of new products over existing therapies and the assessment of other non-clinical outcomes are increasingly being considered in the decision by payers to establish reimbursement rates. We, or our licensees or collaborators if applicable, may also be required to conduct post-marketing clinical trials in order to demonstrate the cost-effectiveness of our products. Such studies may require us to commit a significant amount of management time and financial resources. There can be no assurance that any products that we or our licensees or collaborators may successfully develop will be reimbursed in part, or at all, by any third-party payers in any country.</w:t>
      </w:r>
    </w:p>
    <w:p>
      <w:pPr>
        <w:spacing w:after="0" w:line="147"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Many governments continue to propose legislation designed to expand the coverage, yet reduce the cost, of healthcare, including pharmaceutical products. In many foreign markets, governmental agencies control the pricing of prescription drugs. In the U.S., significant changes in federal health care policy were approved over the past several years and continue to evolve and will likely result in reduced reimbursement rates for many pharmaceutical products in the future. We expect that there will continue to be federal and state proposals to implement increased government control over reimbursement rates of pharmaceutical products. In addition, we expect that increasing emphasis on managed care and government intervention in the U.S. healthcare system will continue to put downward pressure on the pricing of pharmaceutical products there. Recent events have resulted in increased public and governmental scrutiny of the cost of drugs, especially in connection with price increases following companies’ acquisitions of the rights to certain drug products. In particular, U.S. federal prosecutors recently issued subpoenas to a pharmaceutical company seeking information about its drug pricing practices, among other issues, and members of the U.S. Congress have sought information from certain pharmaceutical companies relating to post-acquisition drug-price increases. Our revenue and future profitability could be negatively affected if these inquiries were to result in legislative or regulatory proposals that limit our ability to increase the prices of our products that may be approved for sale in the future. Legislation and regulations affecting the pricing of pharmaceutical products may change before our product candidates are approved for sale, which could further limit or eliminate their reimbursement rates. Further, social and patient activist groups, whose goal it is to reduce the cost of healthcare, and in particular the price of pharmaceutical products, may also place downward pressure on the price of these products, which could result in decreases in the price of our products.</w:t>
      </w:r>
    </w:p>
    <w:p>
      <w:pPr>
        <w:spacing w:after="0" w:line="14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any product candidates that we develop independently, or through licensees or collaborators if applicable, are approved but do not gain meaningful acceptance in their intended markets, we are not likely to generate significant revenues.</w:t>
      </w:r>
    </w:p>
    <w:p>
      <w:pPr>
        <w:spacing w:after="0" w:line="123" w:lineRule="exact"/>
        <w:rPr>
          <w:sz w:val="20"/>
          <w:szCs w:val="20"/>
          <w:color w:val="auto"/>
        </w:rPr>
      </w:pPr>
    </w:p>
    <w:p>
      <w:pPr>
        <w:ind w:right="60" w:firstLine="254"/>
        <w:spacing w:after="0" w:line="286" w:lineRule="auto"/>
        <w:rPr>
          <w:sz w:val="20"/>
          <w:szCs w:val="20"/>
          <w:color w:val="auto"/>
        </w:rPr>
      </w:pPr>
      <w:r>
        <w:rPr>
          <w:rFonts w:ascii="Times New Roman" w:cs="Times New Roman" w:eastAsia="Times New Roman" w:hAnsi="Times New Roman"/>
          <w:sz w:val="14"/>
          <w:szCs w:val="14"/>
          <w:color w:val="auto"/>
        </w:rPr>
        <w:t>Even if our product candidates are successfully developed and we or a licensee or collaborator obtains the requisite regulatory approvals to market them in the future, they may not gain market acceptance or broad utilization among physicians, patients or third-party payers. The degree of market acceptance that any of our products may achieve will depend on a number of factors, including:</w:t>
      </w:r>
    </w:p>
    <w:p>
      <w:pPr>
        <w:spacing w:after="0" w:line="125" w:lineRule="exact"/>
        <w:rPr>
          <w:sz w:val="20"/>
          <w:szCs w:val="20"/>
          <w:color w:val="auto"/>
        </w:rPr>
      </w:pPr>
    </w:p>
    <w:p>
      <w:pPr>
        <w:ind w:left="140" w:hanging="135"/>
        <w:spacing w:after="0"/>
        <w:tabs>
          <w:tab w:leader="none" w:pos="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or perceived clinical benefit of the product, if any, relative to existing therapies;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market approval and the existing market for competitive drugs, including the presence of generic drugs;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reimbursement provided by third-party payers to cover the cost of the product to patients;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cost of the product to the user or third-party payer;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hanging="135"/>
        <w:spacing w:after="0"/>
        <w:tabs>
          <w:tab w:leader="none" w:pos="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of the product;</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potential advantages over existing or alternative therapies;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or perceived safety of similar classes of products;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or perceived existence, incidence and severity of adverse effects;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marketing and distribution capabilities;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the product label approved by the FDA or similar regulatory agencies in other jurisdictions.</w:t>
      </w:r>
    </w:p>
    <w:p>
      <w:pPr>
        <w:spacing w:after="0" w:line="178" w:lineRule="exact"/>
        <w:rPr>
          <w:sz w:val="20"/>
          <w:szCs w:val="20"/>
          <w:color w:val="auto"/>
        </w:rPr>
      </w:pPr>
    </w:p>
    <w:p>
      <w:pPr>
        <w:ind w:right="180" w:firstLine="254"/>
        <w:spacing w:after="0" w:line="286" w:lineRule="auto"/>
        <w:rPr>
          <w:sz w:val="20"/>
          <w:szCs w:val="20"/>
          <w:color w:val="auto"/>
        </w:rPr>
      </w:pPr>
      <w:r>
        <w:rPr>
          <w:rFonts w:ascii="Times New Roman" w:cs="Times New Roman" w:eastAsia="Times New Roman" w:hAnsi="Times New Roman"/>
          <w:sz w:val="14"/>
          <w:szCs w:val="14"/>
          <w:color w:val="auto"/>
        </w:rPr>
        <w:t>There can be no assurance that physicians will choose to prescribe or administer our products, if approved, to the intended patient population. If our products do not achieve meaningful market acceptance, or if the market for our products proves to be smaller than anticipated, we may never generate significant revenues.</w:t>
      </w:r>
    </w:p>
    <w:p>
      <w:pPr>
        <w:spacing w:after="0" w:line="12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35"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40" w:lineRule="exact"/>
        <w:rPr>
          <w:sz w:val="20"/>
          <w:szCs w:val="20"/>
          <w:color w:val="auto"/>
        </w:rPr>
      </w:pPr>
    </w:p>
    <w:p>
      <w:pPr>
        <w:ind w:right="40" w:firstLine="254"/>
        <w:spacing w:after="0" w:line="258" w:lineRule="auto"/>
        <w:rPr>
          <w:sz w:val="20"/>
          <w:szCs w:val="20"/>
          <w:color w:val="auto"/>
        </w:rPr>
      </w:pPr>
      <w:r>
        <w:rPr>
          <w:rFonts w:ascii="Times New Roman" w:cs="Times New Roman" w:eastAsia="Times New Roman" w:hAnsi="Times New Roman"/>
          <w:sz w:val="14"/>
          <w:szCs w:val="14"/>
          <w:color w:val="auto"/>
        </w:rPr>
        <w:t>On January 20, 2025, President Trump signed an executive order creating an advisory commission, the “Department of Government Efficiency,” to reform federal government processes and reduce expenditures. Pressures on and uncertainty surrounding the U.S. federal government’s budget, and potential changes in budgetary priorities and spending levels, could adversely affect staffing levels and the funding for the FDA. Disruptions at the FDA and other agencies due to these policies may slow the time necessary for new drugs to be reviewed and/or approved by necessary government agencies, which would adversely affect our business. For example, over the past decade, the U.S. government has shut down, at least partially,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Dependence on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dependence on third parties could delay or prevent the development, approval, manufacturing, or any eventual commercialization of our product candidates.</w:t>
      </w:r>
    </w:p>
    <w:p>
      <w:pPr>
        <w:spacing w:after="0" w:line="180"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We depend on third-party collaborators, service providers, and others in the research, development, manufacturing, and any eventual commercialization of our product candidates. We rely heavily on these parties for multiple aspects of our drug development and manufacturing activities and anticipate that we will rely on third parties for commercialization activities including testing of our product candidates. We have very limited control over many aspects of those activities. Failure by one or more of the third-party collaborators, service providers, or others to complete activities on schedule or in accordance with our expectations or to meet their contractual or other obligations to us; failure of one or more of these parties to comply with applicable laws or regulations; or any disruption in the relationships between us and these parties, could delay or prevent the development, approval, manufacturing, or any eventual commercialization of our product candidates, expose us to suboptimal quality of service delivery or deliverables, result in repercussions such as missed deadlines or other timeliness issues, erroneous data and supply disruptions, and could also result in non-compliance with legal or regulatory requirements or industry standards or subject us to reputational harm, all with potential negative implications for our product pipeline and business.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contract manufacturers for certain portions of our manufacturing process. If third-party contract manufacturers fail to manufacture according to our specifications, or fail to comply with strict government regulations, our preclinical studies or clinical trials could be adversely affected and the development of our product candidates could be delayed or terminated, or we could incur significant additional expenses.</w:t>
      </w:r>
    </w:p>
    <w:p>
      <w:pPr>
        <w:spacing w:after="0" w:line="135"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To the extent that we rely on third-party contract manufacturers, which in some cases may be sole sourced, we are exposed to a number of risks, any of which could delay or prevent the completion of our preclinical studies or clinical trials, or the regulatory approval or commercialization of our product candidates, result in higher costs, or deprive us of potential product revenues in the future. Some of these risks include, but are not limited to:</w:t>
      </w:r>
    </w:p>
    <w:p>
      <w:pPr>
        <w:spacing w:after="0" w:line="137" w:lineRule="exact"/>
        <w:rPr>
          <w:sz w:val="20"/>
          <w:szCs w:val="20"/>
          <w:color w:val="auto"/>
        </w:rPr>
      </w:pPr>
    </w:p>
    <w:p>
      <w:pPr>
        <w:ind w:left="140" w:hanging="135"/>
        <w:spacing w:after="0"/>
        <w:tabs>
          <w:tab w:leader="none" w:pos="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contract manufacturers failing to develop an acceptable formulation to support late-stage clinical trials for, or the commercialization of, our product candidates;</w:t>
      </w:r>
    </w:p>
    <w:p>
      <w:pPr>
        <w:spacing w:after="0" w:line="178" w:lineRule="exact"/>
        <w:rPr>
          <w:rFonts w:ascii="Times New Roman" w:cs="Times New Roman" w:eastAsia="Times New Roman" w:hAnsi="Times New Roman"/>
          <w:sz w:val="14"/>
          <w:szCs w:val="14"/>
          <w:color w:val="auto"/>
        </w:rPr>
      </w:pPr>
    </w:p>
    <w:p>
      <w:pPr>
        <w:ind w:left="140" w:right="40" w:hanging="135"/>
        <w:spacing w:after="0" w:line="286" w:lineRule="auto"/>
        <w:tabs>
          <w:tab w:leader="none" w:pos="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contract manufacturers failing to manufacture our product candidates according to their own standards, our specifications, cGMP, or regulatory guidelines, or otherwise manufacturing material that we or regulatory authorities deem to be unsuitable for our clinical trials or commercial use;</w:t>
      </w:r>
    </w:p>
    <w:p>
      <w:pPr>
        <w:spacing w:after="0" w:line="125" w:lineRule="exact"/>
        <w:rPr>
          <w:rFonts w:ascii="Times New Roman" w:cs="Times New Roman" w:eastAsia="Times New Roman" w:hAnsi="Times New Roman"/>
          <w:sz w:val="14"/>
          <w:szCs w:val="14"/>
          <w:color w:val="auto"/>
        </w:rPr>
      </w:pPr>
    </w:p>
    <w:p>
      <w:pPr>
        <w:ind w:left="140" w:hanging="135"/>
        <w:spacing w:after="0" w:line="269" w:lineRule="auto"/>
        <w:tabs>
          <w:tab w:leader="none" w:pos="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contract manufacturers being unable to increase the scale of or the capacity for, or reformulate the form of, our product candidates, which may cause us to experience a shortage in supply or cause the cost to manufacture our product candidates to increase. There can be no assurance that our potential contract manufacturers will be able to manufacture our product candidates at a suitable commercial scale, or that we will be able to find alternative manufacturers acceptable to us that can do so;</w:t>
      </w:r>
    </w:p>
    <w:p>
      <w:pPr>
        <w:spacing w:after="0" w:line="137"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contract manufacturers placing a priority on the manufacture of other customers’ or their own products, rather than our products;</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contract manufacturers failing to perform as agreed or exiting from the contract manufacturing business; and</w:t>
      </w:r>
    </w:p>
    <w:p>
      <w:pPr>
        <w:spacing w:after="0" w:line="178" w:lineRule="exact"/>
        <w:rPr>
          <w:rFonts w:ascii="Times New Roman" w:cs="Times New Roman" w:eastAsia="Times New Roman" w:hAnsi="Times New Roman"/>
          <w:sz w:val="14"/>
          <w:szCs w:val="14"/>
          <w:color w:val="auto"/>
        </w:rPr>
      </w:pPr>
    </w:p>
    <w:p>
      <w:pPr>
        <w:ind w:left="140" w:hanging="135"/>
        <w:spacing w:after="0"/>
        <w:tabs>
          <w:tab w:leader="none" w:pos="1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contract manufacturers’ plants being closed as a result of regulatory sanctions or a natural disaster.</w:t>
      </w:r>
    </w:p>
    <w:p>
      <w:pPr>
        <w:spacing w:after="0" w:line="348"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Manufacturers of pharmaceutical drug products are subject to ongoing periodic inspections by the FDA, the U.S. Drug Enforcement Administration, or DEA, and corresponding state and other foreign agencies to ensure strict compliance with FDA-mandated cGMP, other government regulations and corresponding foreign standards. We do not have control over our third-party contract manufacturers’ compliance with these regulations and standards and accordingly, failure by our third-party manufacturers, or us, to comply with applicable regulations could result in sanctions being imposed on us or our manufacturers, which could significantly and adversely affect our business.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In the event that we need to change a third-party contract manufacturer, our preclinical studies or our clinical trials, and the commercialization of our product candidates could be delayed, adversely affected or terminated, or such a change may result in the need for us to incur significantly higher costs, which could materially harm our business.</w:t>
      </w:r>
    </w:p>
    <w:p>
      <w:pPr>
        <w:spacing w:after="0" w:line="123"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cGMPs,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of time and a delay, as well as an increase in costs, in the development of our product candidates.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manufacture our product candidates in sufficient quantities to commercialize them.</w:t>
      </w:r>
    </w:p>
    <w:p>
      <w:pPr>
        <w:spacing w:after="0" w:line="180"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In order to receive FDA approval of our product candidates, we will need to manufacture such product candidates in larger quantities. We may not be able to successfully increase the manufacturing capacity for our product candidates in a timely or economic manner, or at all. In the event FDA approval is received, we will need to increase production of our product candidates. Significant scale-up of manufacturing may require additional validation studies, which the FDA must review and approve. If we are unable to successfully increase the manufacturing capacity for our product candidates, the clinical trials, the regulatory approval and the commercial launch of our product candidates may be delayed, or there may be a shortage in supply. Our product candidates require precise, high-quality manufacturing. Failure to achieve and maintain high-quality manufacturing, including the incidence of manufacturing errors, could result in patient injury or death, delays or failures in testing or delivery, cost overruns or other problems that could harm our business, financial condition and results of operations.</w:t>
      </w:r>
    </w:p>
    <w:p>
      <w:pPr>
        <w:spacing w:after="0" w:line="14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The manufacture of pharmaceutical products in compliance with cGMP regulations requires significant expertise and capital investment, including the development of advanced manufacturing techniques and process controls.</w:t>
      </w:r>
    </w:p>
    <w:p>
      <w:pPr>
        <w:spacing w:after="0" w:line="123"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Manufacturers of pharmaceutical products often encounter difficulties in production, including difficulties with production costs and yields, quality control, including stability of the product candidates and quality assurance testing, or shortages of qualified personnel. If we were to encounter any of these difficulties or otherwise fail to comply with our obligations under applicable regulations, our ability to provide study materials in our clinical trials would be jeopardized. Any delay or interruption in the supply of clinical trial materials could delay the completion of our clinical trials, increase the costs associated with maintaining our clinical trial programs and, depending upon the period of delay, require us to commence new trials at significant additional expense or to terminate the studies and trials completely.</w:t>
      </w:r>
    </w:p>
    <w:p>
      <w:pPr>
        <w:spacing w:after="0" w:line="142" w:lineRule="exact"/>
        <w:rPr>
          <w:sz w:val="20"/>
          <w:szCs w:val="20"/>
          <w:color w:val="auto"/>
        </w:rPr>
      </w:pPr>
    </w:p>
    <w:p>
      <w:pPr>
        <w:ind w:right="100" w:firstLine="254"/>
        <w:spacing w:after="0" w:line="257" w:lineRule="auto"/>
        <w:rPr>
          <w:sz w:val="20"/>
          <w:szCs w:val="20"/>
          <w:color w:val="auto"/>
        </w:rPr>
      </w:pPr>
      <w:r>
        <w:rPr>
          <w:rFonts w:ascii="Times New Roman" w:cs="Times New Roman" w:eastAsia="Times New Roman" w:hAnsi="Times New Roman"/>
          <w:sz w:val="14"/>
          <w:szCs w:val="14"/>
          <w:color w:val="auto"/>
        </w:rPr>
        <w:t>We must comply with cGMP requirements enforced by the FDA through its facilities inspection program. These requirements include, among other things, quality control, quality assurance and the maintenance of records and documentation. Manufacturers of our component materials may be unable to comply with these cGMP requirements and with other FDA, state and foreign regulatory requirements. The FDA or similar foreign regulatory agencies at any time may also implement new standards, or change their interpretation and enforcement of existing standards, for manufacture, packaging or testing of products. We have little control over our manufacturers’ compliance with these regulations and standards. A failure to comply with these requirements may result in fines and civil penalties, suspension of production, suspension or delay in product approval, product seizure or recall, or withdrawal of product approval. If the safety of any product supplied is compromised due to our failure, or that our third-party manufacturers, to adhere to applicable laws or for other reasons, we may not be able to obtain regulatory approval for or successfully commercialize our products, and we may be held liable for any injuries sustained as a result. Any of these factors could cause a delay of clinical trials, regulatory submissions, approvals or commercialization of any product candidates we may develop or acquire in the future, or entail higher costs, or impair our reputation.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single source vendors for key tablet vaccine components and certain strains needed in our tablet vaccine candidates, which could impair our ability to manufacture and supply our tablet vaccine candidates.</w:t>
      </w:r>
    </w:p>
    <w:p>
      <w:pPr>
        <w:spacing w:after="0" w:line="123"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We currently depend on single source vendors for certain raw materials used in the manufacture of our tablet vaccine candidates. Any production shortfall that impairs the supply of the relevant raw materials could have a material adverse effect on our business, financial condition and results of operations. An inability to continue to source product from these suppliers, which could be due to regulatory actions or requirements affecting the supplier, adverse financial or other strategic developments experienced by a supplier, labor disputes or shortages, unexpected demands or quality issues, could materially adversely affect our operating results or our ability to conduct clinical trials, either of which could significantly harm our business.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rely on CROs and clinical trial sites to ensure the proper and timely conduct of our clinical trials, and we expect to have limited influence over their actual performance.</w:t>
      </w:r>
    </w:p>
    <w:p>
      <w:pPr>
        <w:spacing w:after="0" w:line="178" w:lineRule="exact"/>
        <w:rPr>
          <w:sz w:val="20"/>
          <w:szCs w:val="20"/>
          <w:color w:val="auto"/>
        </w:rPr>
      </w:pPr>
    </w:p>
    <w:p>
      <w:pPr>
        <w:ind w:right="80" w:firstLine="254"/>
        <w:spacing w:after="0" w:line="269" w:lineRule="auto"/>
        <w:rPr>
          <w:sz w:val="20"/>
          <w:szCs w:val="20"/>
          <w:color w:val="auto"/>
        </w:rPr>
      </w:pPr>
      <w:r>
        <w:rPr>
          <w:rFonts w:ascii="Times New Roman" w:cs="Times New Roman" w:eastAsia="Times New Roman" w:hAnsi="Times New Roman"/>
          <w:sz w:val="14"/>
          <w:szCs w:val="14"/>
          <w:color w:val="auto"/>
        </w:rPr>
        <w:t>We also rely on CROs to monitor and manage data for our clinical programs, as well as the execution of future nonclinical studies. We expect to control only certain aspects of our CROs’ activities. Nevertheless, we will be responsible for ensuring that each of our studies is conducted in accordance with the applicable protocol, legal, regulatory and scientific standards and our reliance on the CROs does not relieve us of these regulatory responsibilities.</w:t>
      </w:r>
    </w:p>
    <w:p>
      <w:pPr>
        <w:spacing w:after="0" w:line="137"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We and our CROs are required to comply with the Good Laboratory Practice and GCP, which are regulations and guidelines enforced by the FDA and are also required by the Competent Authorities of the Member States of the European Economic Area and comparable foreign regulatory authorities in the form of International Conference on Harmonization guidelines for any of our product candidates that are in preclinical and clinical development. The Regulatory authorities enforce GCP through periodic inspections of trial sponsors, principal investigators and clinical trial sites. If we or our CROs fail to comply with GCPs, the clinical data generated in our clinical trials may be deemed unreliable and the FDA or comparable foreign regulatory authorities may require us to perform additional clinical trials before approving our marketing applications. Accordingly, if our CROs fail to comply with these regulations or fail to recruit enough subjects, we may be required to repeat clinical trials, which would delay the regulatory approval process.</w:t>
      </w:r>
    </w:p>
    <w:p>
      <w:pPr>
        <w:spacing w:after="0" w:line="145"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Our CROs are not our employees, and we cannot control whether they devote sufficient time and resources to our clinical and nonclinical programs. These CROs may also have relationships with other commercial entities, including our competitors, for whom they may also be conducting clinical trials, or other drug development activities which could harm our competitive position.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significant revenues could be delayed.</w:t>
      </w:r>
    </w:p>
    <w:p>
      <w:pPr>
        <w:spacing w:after="0" w:line="145"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If our relationships with these CROs terminate, we may not be able to enter into arrangements with alternative CROs or do so on commercially reasonable terms. Switching or adding additional CROs involves substantial costs and requires management time and focus. In addition, there is a natural transition period when a new CRO commences work. As a result, delays occur, which can materially impact our ability to meet our desired clinical development timelines. While we endeavor to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seek to selectively establish collaborations and, if we are unable to establish them on commercially reasonable terms, we may have to alter our development and commercialization plans.</w:t>
      </w:r>
    </w:p>
    <w:p>
      <w:pPr>
        <w:spacing w:after="0" w:line="180" w:lineRule="exact"/>
        <w:rPr>
          <w:sz w:val="20"/>
          <w:szCs w:val="20"/>
          <w:color w:val="auto"/>
        </w:rPr>
      </w:pPr>
    </w:p>
    <w:p>
      <w:pPr>
        <w:ind w:right="140" w:firstLine="254"/>
        <w:spacing w:after="0" w:line="269" w:lineRule="auto"/>
        <w:rPr>
          <w:sz w:val="20"/>
          <w:szCs w:val="20"/>
          <w:color w:val="auto"/>
        </w:rPr>
      </w:pPr>
      <w:r>
        <w:rPr>
          <w:rFonts w:ascii="Times New Roman" w:cs="Times New Roman" w:eastAsia="Times New Roman" w:hAnsi="Times New Roman"/>
          <w:sz w:val="14"/>
          <w:szCs w:val="14"/>
          <w:color w:val="auto"/>
        </w:rPr>
        <w:t>Our product development programs and the potential commercialization of our product candidates will require substantial additional cash to fund expenses. For some of our product candidates, including our seasonable influenza tablet, we may decide to collaborate with governmental entities or additional pharmaceutical and biotechnology companies for the development and potential commercialization of those product candidates.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w:t>
      </w:r>
    </w:p>
    <w:p>
      <w:pPr>
        <w:spacing w:after="0" w:line="143"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23"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include the following:</w:t>
      </w:r>
    </w:p>
    <w:p>
      <w:pPr>
        <w:spacing w:after="0" w:line="140" w:lineRule="exact"/>
        <w:rPr>
          <w:sz w:val="20"/>
          <w:szCs w:val="20"/>
          <w:color w:val="auto"/>
        </w:rPr>
      </w:pPr>
    </w:p>
    <w:p>
      <w:pPr>
        <w:ind w:left="140" w:right="120" w:hanging="135"/>
        <w:spacing w:after="0" w:line="269" w:lineRule="auto"/>
        <w:tabs>
          <w:tab w:leader="none" w:pos="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37" w:lineRule="exact"/>
        <w:rPr>
          <w:rFonts w:ascii="Times New Roman" w:cs="Times New Roman" w:eastAsia="Times New Roman" w:hAnsi="Times New Roman"/>
          <w:sz w:val="14"/>
          <w:szCs w:val="14"/>
          <w:color w:val="auto"/>
        </w:rPr>
      </w:pPr>
    </w:p>
    <w:p>
      <w:pPr>
        <w:ind w:left="140" w:right="240" w:hanging="135"/>
        <w:spacing w:after="0" w:line="286" w:lineRule="auto"/>
        <w:tabs>
          <w:tab w:leader="none" w:pos="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FCA imposes criminal and civil penalties, including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25" w:lineRule="exact"/>
        <w:rPr>
          <w:rFonts w:ascii="Times New Roman" w:cs="Times New Roman" w:eastAsia="Times New Roman" w:hAnsi="Times New Roman"/>
          <w:sz w:val="14"/>
          <w:szCs w:val="14"/>
          <w:color w:val="auto"/>
        </w:rPr>
      </w:pPr>
    </w:p>
    <w:p>
      <w:pPr>
        <w:jc w:val="both"/>
        <w:ind w:left="140" w:right="60" w:hanging="135"/>
        <w:spacing w:after="0" w:line="286" w:lineRule="auto"/>
        <w:tabs>
          <w:tab w:leader="none" w:pos="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HIPAA, as amended by the Health Information Technology for Economic and Clinical Health Act, imposes criminal and civil liability for executing a scheme to defraud any healthcare benefit program and imposes obligations, including mandatory contractual terms, with respect to safeguarding the privacy, security and transmission of individually identifiable health information;</w:t>
      </w:r>
    </w:p>
    <w:p>
      <w:pPr>
        <w:spacing w:after="0" w:line="125" w:lineRule="exact"/>
        <w:rPr>
          <w:rFonts w:ascii="Times New Roman" w:cs="Times New Roman" w:eastAsia="Times New Roman" w:hAnsi="Times New Roman"/>
          <w:sz w:val="14"/>
          <w:szCs w:val="14"/>
          <w:color w:val="auto"/>
        </w:rPr>
      </w:pPr>
    </w:p>
    <w:p>
      <w:pPr>
        <w:ind w:left="140" w:hanging="135"/>
        <w:spacing w:after="0" w:line="286" w:lineRule="auto"/>
        <w:tabs>
          <w:tab w:leader="none" w:pos="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25" w:lineRule="exact"/>
        <w:rPr>
          <w:rFonts w:ascii="Times New Roman" w:cs="Times New Roman" w:eastAsia="Times New Roman" w:hAnsi="Times New Roman"/>
          <w:sz w:val="14"/>
          <w:szCs w:val="14"/>
          <w:color w:val="auto"/>
        </w:rPr>
      </w:pPr>
    </w:p>
    <w:p>
      <w:pPr>
        <w:ind w:left="140" w:right="280" w:hanging="135"/>
        <w:spacing w:after="0" w:line="286" w:lineRule="auto"/>
        <w:tabs>
          <w:tab w:leader="none" w:pos="1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transparency requirements under the Affordable Care Act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right="100" w:hanging="135"/>
        <w:spacing w:after="0" w:line="264" w:lineRule="auto"/>
        <w:tabs>
          <w:tab w:leader="none" w:pos="1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vaccine manufacturers to report information related to payments to physicians and other health care providers or marketing expenditures.</w:t>
      </w:r>
    </w:p>
    <w:p>
      <w:pPr>
        <w:spacing w:after="0" w:line="30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establishing and maintaining additional strategic partnerships, which could adversely affect our ability to develop and commercialize products, negatively impacting our operating results.</w:t>
      </w:r>
    </w:p>
    <w:p>
      <w:pPr>
        <w:spacing w:after="0" w:line="123" w:lineRule="exact"/>
        <w:rPr>
          <w:sz w:val="20"/>
          <w:szCs w:val="20"/>
          <w:color w:val="auto"/>
        </w:rPr>
      </w:pPr>
    </w:p>
    <w:p>
      <w:pPr>
        <w:ind w:right="60" w:firstLine="254"/>
        <w:spacing w:after="0" w:line="257" w:lineRule="auto"/>
        <w:rPr>
          <w:sz w:val="20"/>
          <w:szCs w:val="20"/>
          <w:color w:val="auto"/>
        </w:rPr>
      </w:pPr>
      <w:r>
        <w:rPr>
          <w:rFonts w:ascii="Times New Roman" w:cs="Times New Roman" w:eastAsia="Times New Roman" w:hAnsi="Times New Roman"/>
          <w:sz w:val="14"/>
          <w:szCs w:val="14"/>
          <w:color w:val="auto"/>
        </w:rPr>
        <w:t>We continue to strategically evaluate our partnerships and, as appropriate, we expect to enter into additional strategic partnerships in the future, including potentially with major biotechnology or biopharmaceutical companies. We face significant competition in seeking appropriate partners for our product candidates, and the negotiation process is time-consuming and complex. In order for us to successfully partner our product candidates, potential partners must view these product candidates as economically valuable in markets they determine to be attractive in light of the terms that we are seeking and other available products for licensing by other companies. Even if we are successful in our efforts to establish strategic partnerships, the terms that we agree upon may not be favorable to us, and we may not be able to maintain such strategic partnerships if, for example, development or approval of a product candidate is delayed or sales of an approved product are disappointing. Any delay in entering into strategic partnership agreements related to our product candidates could delay the development and commercialization of such candidates and reduce their competitiveness even if they reach the market. If we are not able to generate revenue under our strategic partnerships when and in accordance with our expectations or the expectations of industry analysts, this failure could harm our business and have an immediate adverse effect on the trading price of our common stock.</w:t>
      </w:r>
    </w:p>
    <w:p>
      <w:pPr>
        <w:spacing w:after="0" w:line="147"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If we fail to establish and maintain additional strategic partnerships related to our unpartnered product candidates, we will bear all the risks and costs related to the development of any such product candidate, and we may need to seek additional financing, hire additional employees and otherwise develop expertise, such as regulatory expertise, for which we have not budgeted. If we were not successful in seeking additional financing, hiring additional employees or developing additional expertise, our cash burn rate would increase or we would need to take steps to reduce our rate of product candidate development. This could negatively affect the development of any unpartnered product candidate.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Strategic partnerships or acquisitions we have made or may make could turn out to be unsuccessful.</w:t>
      </w:r>
    </w:p>
    <w:p>
      <w:pPr>
        <w:spacing w:after="0" w:line="180" w:lineRule="exact"/>
        <w:rPr>
          <w:sz w:val="20"/>
          <w:szCs w:val="20"/>
          <w:color w:val="auto"/>
        </w:rPr>
      </w:pPr>
    </w:p>
    <w:p>
      <w:pPr>
        <w:jc w:val="both"/>
        <w:ind w:right="200" w:firstLine="254"/>
        <w:spacing w:after="0" w:line="269" w:lineRule="auto"/>
        <w:rPr>
          <w:sz w:val="20"/>
          <w:szCs w:val="20"/>
          <w:color w:val="auto"/>
        </w:rPr>
      </w:pPr>
      <w:r>
        <w:rPr>
          <w:rFonts w:ascii="Times New Roman" w:cs="Times New Roman" w:eastAsia="Times New Roman" w:hAnsi="Times New Roman"/>
          <w:sz w:val="14"/>
          <w:szCs w:val="14"/>
          <w:color w:val="auto"/>
        </w:rPr>
        <w:t>As part of our strategy, we monitor and analyze strategic partnership or acquisition opportunities that we believe will create value for our stockholders. We may acquire companies, businesses, products and technologies that complement or augment our existing business; however, such acquisitions could involve numerous risks that may prevent us from fully realizing the benefits that we anticipated as a result of such transactions.</w:t>
      </w:r>
    </w:p>
    <w:p>
      <w:pPr>
        <w:spacing w:after="0" w:line="137"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We may not be able to integrate any acquired business successfully or operate any acquired business profitably. In addition, integrating any newly acquired business could be expensive and time-consuming, place a significant strain on managerial, operational and financial resources and could prove to be more difficult or expensive than we predict. The diversion of our management's attention and any delay or difficulties encountered in connection with any future acquisitions we may consummate could result in the disruption of our ongoing business or inconsistencies in standards and controls that could negatively affect our ability to maintain third-party relationships.</w:t>
      </w:r>
    </w:p>
    <w:p>
      <w:pPr>
        <w:spacing w:after="0" w:line="140" w:lineRule="exact"/>
        <w:rPr>
          <w:sz w:val="20"/>
          <w:szCs w:val="20"/>
          <w:color w:val="auto"/>
        </w:rPr>
      </w:pPr>
    </w:p>
    <w:p>
      <w:pPr>
        <w:ind w:right="40" w:firstLine="254"/>
        <w:spacing w:after="0" w:line="258" w:lineRule="auto"/>
        <w:rPr>
          <w:sz w:val="20"/>
          <w:szCs w:val="20"/>
          <w:color w:val="auto"/>
        </w:rPr>
      </w:pPr>
      <w:r>
        <w:rPr>
          <w:rFonts w:ascii="Times New Roman" w:cs="Times New Roman" w:eastAsia="Times New Roman" w:hAnsi="Times New Roman"/>
          <w:sz w:val="14"/>
          <w:szCs w:val="14"/>
          <w:color w:val="auto"/>
        </w:rPr>
        <w:t>We may fail to derive any commercial value from the acquired technology, products and intellectual property, including as a result of the failure to obtain regulatory approval or to monetize products once approved, as well as risks from lengthy product development and high upfront development costs without guarantee of successful results. Patents and other intellectual property rights covering acquired technology and/or intellectual property may not be obtained, and if obtained, may not be sufficient to fully protect the technology or intellectual property. We may also be subject to liabilities, including unanticipated litigation costs, that are not covered by indemnification protection we may obtain. As we pursue strategic transactions, we may value the acquired company or partner incorrectly, fail to successfully manage our operations as our asset diversity increases, expend unforeseen costs during the acquisition or integration process, or encounter other unanticipated risks or challenges. We may fail to value a partnership or acquisition accurately, properly account for it in our consolidated financial statements, or successfully divest it or otherwise realize the value which we originally anticipated or have subsequently reflected in our consolidated financial statements.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80" w:firstLine="254"/>
        <w:spacing w:after="0" w:line="286" w:lineRule="auto"/>
        <w:rPr>
          <w:sz w:val="20"/>
          <w:szCs w:val="20"/>
          <w:color w:val="auto"/>
        </w:rPr>
      </w:pPr>
      <w:r>
        <w:rPr>
          <w:rFonts w:ascii="Times New Roman" w:cs="Times New Roman" w:eastAsia="Times New Roman" w:hAnsi="Times New Roman"/>
          <w:sz w:val="14"/>
          <w:szCs w:val="14"/>
          <w:color w:val="auto"/>
        </w:rPr>
        <w:t>Moreover, we may need to raise additional funds through public or private debt or equity financing, or issue additional shares, to acquire any businesses or products, which may result in dilution for stockholders or the incurrence of indebtedness.</w:t>
      </w:r>
    </w:p>
    <w:p>
      <w:pPr>
        <w:spacing w:after="0" w:line="125" w:lineRule="exact"/>
        <w:rPr>
          <w:sz w:val="20"/>
          <w:szCs w:val="20"/>
          <w:color w:val="auto"/>
        </w:rPr>
      </w:pPr>
    </w:p>
    <w:p>
      <w:pPr>
        <w:ind w:right="260" w:firstLine="254"/>
        <w:spacing w:after="0" w:line="286" w:lineRule="auto"/>
        <w:rPr>
          <w:sz w:val="20"/>
          <w:szCs w:val="20"/>
          <w:color w:val="auto"/>
        </w:rPr>
      </w:pPr>
      <w:r>
        <w:rPr>
          <w:rFonts w:ascii="Times New Roman" w:cs="Times New Roman" w:eastAsia="Times New Roman" w:hAnsi="Times New Roman"/>
          <w:sz w:val="14"/>
          <w:szCs w:val="14"/>
          <w:color w:val="auto"/>
        </w:rPr>
        <w:t>Any failure by us to effectively limit such risks as we implement our strategic partnership or acquisitions could have a material adverse effect on our business, financial condition or results of operations and may negatively impact our net income and cause the price of our securities to fall.</w:t>
      </w:r>
    </w:p>
    <w:p>
      <w:pPr>
        <w:spacing w:after="0" w:line="123"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In the event that a third-party contract manufacturer cannot timely supply sufficient bulk vaccine to allow us to manufacture our vaccine tablets, our preclinical studies or our clinical trial</w:t>
      </w:r>
      <w:r>
        <w:rPr>
          <w:rFonts w:ascii="Times New Roman" w:cs="Times New Roman" w:eastAsia="Times New Roman" w:hAnsi="Times New Roman"/>
          <w:sz w:val="14"/>
          <w:szCs w:val="14"/>
          <w:i w:val="1"/>
          <w:iCs w:val="1"/>
          <w:color w:val="auto"/>
        </w:rPr>
        <w:t>s</w:t>
      </w:r>
      <w:r>
        <w:rPr>
          <w:rFonts w:ascii="Times New Roman" w:cs="Times New Roman" w:eastAsia="Times New Roman" w:hAnsi="Times New Roman"/>
          <w:sz w:val="14"/>
          <w:szCs w:val="14"/>
          <w:b w:val="1"/>
          <w:bCs w:val="1"/>
          <w:i w:val="1"/>
          <w:iCs w:val="1"/>
          <w:color w:val="auto"/>
        </w:rPr>
        <w:t xml:space="preserve"> and the commercialization of our product candidates could be delayed, adversely affected or terminated, or may result in the need for us to incur significantly higher costs, which could materially harm our business.</w:t>
      </w:r>
    </w:p>
    <w:p>
      <w:pPr>
        <w:spacing w:after="0" w:line="135"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Due to various regulatory restrictions in the U.S. and many other countries, as well as potential capacity constraints on manufacturing that occur from time-to-time in our industry, various steps in the manufacture of our product candidates are sole-sourced to certain contract manufacturers. In accordance with cGMP, changing manufacturers may require the re-validation of manufacturing processes and procedures, and may require further preclinical studies or clinical trials to show comparability between the materials produced by different manufacturers. Changing a contract manufacturer may be difficult and could be extremely costly and time-consuming, which could result in our inability to manufacture our product candidates for an extended period and a delay in the development of our product candidates. Further, in order to maintain our development timelines in the event of a change in a third-party contract manufacturer, we may incur significantly higher costs to manufacture our product candidates.</w:t>
      </w:r>
    </w:p>
    <w:p>
      <w:pPr>
        <w:spacing w:after="0" w:line="143"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third-party vendors, upon whom we rely to conduct our preclinical studies or clinical trials, do not perform or fail to comply with strict regulations, these studies or trials may be delayed, terminated, or fail, or we could incur significant additional expenses, which could materially harm our business.</w:t>
      </w:r>
    </w:p>
    <w:p>
      <w:pPr>
        <w:spacing w:after="0" w:line="123"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We have limited resources dedicated to designing, conducting and managing our preclinical studies and clinical trials. We have historically relied on, and intend to continue to rely on, third parties, including clinical research organizations, consultants and principal investigators, to assist us in designing, managing, conducting, monitoring and analyzing the data from our preclinical studies and clinical trials. We rely on these vendors and individuals to perform many facets of the clinical development process on our behalf, including conducting preclinical studies, the recruitment of sites and patients for participation in our clinical trials, maintenance of good relations with the clinical sites, and ensuring that these sites are conducting our trials in compliance with the trial protocol and applicable regulations. If these third parties fail to perform satisfactorily, or do not adequately fulfill their obligations under the terms of our agreements with them, we may not be able to enter into alternative arrangements without undue delay or additional expenditures, and therefore the preclinical studies and clinical trials of our product candidates may be delayed or prove unsuccessful.</w:t>
      </w:r>
    </w:p>
    <w:p>
      <w:pPr>
        <w:spacing w:after="0" w:line="314" w:lineRule="exact"/>
        <w:rPr>
          <w:sz w:val="20"/>
          <w:szCs w:val="20"/>
          <w:color w:val="auto"/>
        </w:rPr>
      </w:pPr>
    </w:p>
    <w:p>
      <w:pPr>
        <w:jc w:val="both"/>
        <w:ind w:right="180" w:firstLine="254"/>
        <w:spacing w:after="0" w:line="269" w:lineRule="auto"/>
        <w:rPr>
          <w:sz w:val="20"/>
          <w:szCs w:val="20"/>
          <w:color w:val="auto"/>
        </w:rPr>
      </w:pPr>
      <w:r>
        <w:rPr>
          <w:rFonts w:ascii="Times New Roman" w:cs="Times New Roman" w:eastAsia="Times New Roman" w:hAnsi="Times New Roman"/>
          <w:sz w:val="14"/>
          <w:szCs w:val="14"/>
          <w:color w:val="auto"/>
        </w:rPr>
        <w:t>Further, the FDA, or similar regulatory authorities in other countries, may inspect some of the clinical sites participating in our clinical trials or our third-party vendors’ sites to determine if our clinical trials are being conducted according to GCP or similar regulations. If we, or a regulatory authority, determine that our third-party vendors are not in compliance with, or have not conducted our clinical trials according to, applicable regulations, we may be forced to exclude certain data from the results of the trial, or delay, repeat or terminate such clinical trials.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178"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patent protection for our oral vaccine platform technology and product candidates or if the scope of the patent protection obtained is not sufficiently broad, we may not be able to compete effectively in our markets.</w:t>
      </w:r>
    </w:p>
    <w:p>
      <w:pPr>
        <w:spacing w:after="0" w:line="123"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and maintain patent protection in the U.S. and other countries. We seek to protect our proprietary position by filing patent applications in the U.S. and abroad related to our development programs and product candidates. The patent prosecution process is expensive and time-consuming, and we may not be able to file and prosecute all necessary or desirable patent applications, or maintain and enforce any patents that may issue from such patent applications, at a reasonable cost or in a timely manner.</w:t>
      </w:r>
    </w:p>
    <w:p>
      <w:pPr>
        <w:spacing w:after="0" w:line="137" w:lineRule="exact"/>
        <w:rPr>
          <w:sz w:val="20"/>
          <w:szCs w:val="20"/>
          <w:color w:val="auto"/>
        </w:rPr>
      </w:pPr>
    </w:p>
    <w:p>
      <w:pPr>
        <w:ind w:right="120" w:firstLine="254"/>
        <w:spacing w:after="0" w:line="259" w:lineRule="auto"/>
        <w:rPr>
          <w:sz w:val="20"/>
          <w:szCs w:val="20"/>
          <w:color w:val="auto"/>
        </w:rPr>
      </w:pPr>
      <w:r>
        <w:rPr>
          <w:rFonts w:ascii="Times New Roman" w:cs="Times New Roman" w:eastAsia="Times New Roman" w:hAnsi="Times New Roman"/>
          <w:sz w:val="14"/>
          <w:szCs w:val="14"/>
          <w:color w:val="auto"/>
        </w:rPr>
        <w:t>It is also possible that we will fail to identify patentable aspects of our research and development output before it is too late to obtain patent protection. The patent applications that we own may fail to result in issued patents with claims that cover any of our product candidates in the U.S. or in other countries. There is no assurance that the entire potentially relevant prior art relating to our patents and patent applications has been found, which can invalidate a patent or prevent a patent from issuing from a pending patent application. Even if patents do successfully issue,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and companion diagnostic under patent protection could be reduced.</w:t>
      </w:r>
    </w:p>
    <w:p>
      <w:pPr>
        <w:spacing w:after="0" w:line="145"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If the patent applications we hold with respect to our platform technology and product candidates fail to issue, if their breadth or strength of protection is threatened, or if they fail to provide meaningful exclusivity for our product candidates, it could dissuade companies from collaborating with us to develop product candidates and threaten our ability to commercialize future drugs. Any such outcome could harm our business.</w:t>
      </w:r>
    </w:p>
    <w:p>
      <w:pPr>
        <w:spacing w:after="0" w:line="137" w:lineRule="exact"/>
        <w:rPr>
          <w:sz w:val="20"/>
          <w:szCs w:val="20"/>
          <w:color w:val="auto"/>
        </w:rPr>
      </w:pPr>
    </w:p>
    <w:p>
      <w:pPr>
        <w:ind w:right="60" w:firstLine="254"/>
        <w:spacing w:after="0" w:line="256" w:lineRule="auto"/>
        <w:rPr>
          <w:sz w:val="20"/>
          <w:szCs w:val="20"/>
          <w:color w:val="auto"/>
        </w:rPr>
      </w:pPr>
      <w:r>
        <w:rPr>
          <w:rFonts w:ascii="Times New Roman" w:cs="Times New Roman" w:eastAsia="Times New Roman" w:hAnsi="Times New Roman"/>
          <w:sz w:val="14"/>
          <w:szCs w:val="14"/>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U.S. For example, European patent law restricts the patentability of methods of treatment of the human body more than U.S. law does.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are highly uncertain. Our pending and future patent applications may not result in patents being issued which protect our technology or product candidates, in whole or in part, or which effectively prevent others from commercializing competitive technologies and vaccines.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 Changes in either the patent laws or interpretation of the patent laws in the U.S. and other countries may diminish the value of our patents or narrow the scope of our patent protection.</w:t>
      </w:r>
    </w:p>
    <w:p>
      <w:pPr>
        <w:spacing w:after="0" w:line="148" w:lineRule="exact"/>
        <w:rPr>
          <w:sz w:val="20"/>
          <w:szCs w:val="20"/>
          <w:color w:val="auto"/>
        </w:rPr>
      </w:pPr>
    </w:p>
    <w:p>
      <w:pPr>
        <w:ind w:right="40" w:firstLine="254"/>
        <w:spacing w:after="0" w:line="258" w:lineRule="auto"/>
        <w:rPr>
          <w:sz w:val="20"/>
          <w:szCs w:val="20"/>
          <w:color w:val="auto"/>
        </w:rPr>
      </w:pPr>
      <w:r>
        <w:rPr>
          <w:rFonts w:ascii="Times New Roman" w:cs="Times New Roman" w:eastAsia="Times New Roman" w:hAnsi="Times New Roman"/>
          <w:sz w:val="14"/>
          <w:szCs w:val="14"/>
          <w:color w:val="auto"/>
        </w:rPr>
        <w:t>Recent patent reform legislation could increase the uncertainties and costs surrounding the prosecution of our patent applications and the enforcement or defense of our issued patents. On September 16, 2011, the Leahy-Smith America Invents Act (the “Leahy-Smith Act”) was signed into law. The Leahy-Smith Act includes several significant changes to U.S. patent law. These include provisions that affect the way patent applications are prosecuted and may also affect patent litigation. The U.S. Patent Office recently developed new regulations and procedures to govern administration of the Leahy-Smith Act, and many of the substantive changes to patent law associated with the Leahy-Smith Act, notably,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an adverse effect on our business and financial condition.</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0" w:firstLine="254"/>
        <w:spacing w:after="0" w:line="259" w:lineRule="auto"/>
        <w:rPr>
          <w:sz w:val="20"/>
          <w:szCs w:val="20"/>
          <w:color w:val="auto"/>
        </w:rPr>
      </w:pPr>
      <w:r>
        <w:rPr>
          <w:rFonts w:ascii="Times New Roman" w:cs="Times New Roman" w:eastAsia="Times New Roman" w:hAnsi="Times New Roman"/>
          <w:sz w:val="14"/>
          <w:szCs w:val="14"/>
          <w:color w:val="auto"/>
        </w:rPr>
        <w:t>Moreover, we may be subject to a third-party pre-issuance submission of prior art to the U.S. Patent and Trademark Office (“USPTO”) or become involved in derivation, reexamination, inter partes review, post-grant review or interference proceedings challenging our patent rights or the patent rights of others. In other countries, we may be subject to or become involved in opposition proceedings challenging our patent rights or the patent rights of others. An adverse determination in any such submission or proceeding could reduce the scope of, or invalidate, our patent rights, allow third parties to commercialize our technology or product candidates and compete directly with us, without payment to us, or result in our inability to manufacture or commercialize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45" w:lineRule="exact"/>
        <w:rPr>
          <w:sz w:val="20"/>
          <w:szCs w:val="20"/>
          <w:color w:val="auto"/>
        </w:rPr>
      </w:pPr>
    </w:p>
    <w:p>
      <w:pPr>
        <w:ind w:right="20" w:firstLine="254"/>
        <w:spacing w:after="0" w:line="258"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and licensed patents may be challenged in the courts or patent offices in the U.S. and abroad. Such challenges may result in patent claims being narrowed, invalidated or held unenforceable, in whole or in part, which could limit our ability to stop others from using or commercializing similar or identical technology and tablet vaccines, or limit the duration of the patent protection of our technology and product candidates. Moreover, patents have a limited lifespan. In the U.S. and other countries, the natural expiration of a patent is generally 20 years after it is filed. Various extensions may be available, however, the life of a patent, and the protection it affords, is limited. Without patent protection for our current or future tablet vaccine candidates, we may be open to competition from generic versions of such product candidates.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 candidates similar or identical to ours.</w:t>
      </w:r>
    </w:p>
    <w:p>
      <w:pPr>
        <w:spacing w:after="0" w:line="143" w:lineRule="exact"/>
        <w:rPr>
          <w:sz w:val="20"/>
          <w:szCs w:val="20"/>
          <w:color w:val="auto"/>
        </w:rPr>
      </w:pPr>
    </w:p>
    <w:p>
      <w:pPr>
        <w:ind w:right="7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patents, the patents of our licensors or our other intellectual property rights, which could be expensive, time consuming and unsuccessful.</w:t>
      </w:r>
    </w:p>
    <w:p>
      <w:pPr>
        <w:spacing w:after="0" w:line="123" w:lineRule="exact"/>
        <w:rPr>
          <w:sz w:val="20"/>
          <w:szCs w:val="20"/>
          <w:color w:val="auto"/>
        </w:rPr>
      </w:pPr>
    </w:p>
    <w:p>
      <w:pPr>
        <w:ind w:firstLine="254"/>
        <w:spacing w:after="0" w:line="255" w:lineRule="auto"/>
        <w:rPr>
          <w:sz w:val="20"/>
          <w:szCs w:val="20"/>
          <w:color w:val="auto"/>
        </w:rPr>
      </w:pPr>
      <w:r>
        <w:rPr>
          <w:rFonts w:ascii="Times New Roman" w:cs="Times New Roman" w:eastAsia="Times New Roman" w:hAnsi="Times New Roman"/>
          <w:sz w:val="14"/>
          <w:szCs w:val="14"/>
          <w:color w:val="auto"/>
        </w:rPr>
        <w:t>Competitors may infringe or otherwise violate our patents, the patents of our licensors or our other intellectual property rights. To counter infringement or unauthorized use, we may be required to file legal claims, which can be expensive and time-consuming. In addition, in an infringement proceeding, a court may decide that a patent of ours or our licensors is not valid, or is unenforceable, or may refuse to stop the other party from using the technology at issue on the grounds that such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third-party may also cause the third-party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spacing w:after="0" w:line="151" w:lineRule="exact"/>
        <w:rPr>
          <w:sz w:val="20"/>
          <w:szCs w:val="20"/>
          <w:color w:val="auto"/>
        </w:rPr>
      </w:pPr>
    </w:p>
    <w:p>
      <w:pPr>
        <w:jc w:val="both"/>
        <w:ind w:right="80" w:firstLine="254"/>
        <w:spacing w:after="0" w:line="269" w:lineRule="auto"/>
        <w:rPr>
          <w:sz w:val="20"/>
          <w:szCs w:val="20"/>
          <w:color w:val="auto"/>
        </w:rPr>
      </w:pPr>
      <w:r>
        <w:rPr>
          <w:rFonts w:ascii="Times New Roman" w:cs="Times New Roman" w:eastAsia="Times New Roman" w:hAnsi="Times New Roman"/>
          <w:sz w:val="14"/>
          <w:szCs w:val="14"/>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300" w:firstLine="254"/>
        <w:spacing w:after="0" w:line="269" w:lineRule="auto"/>
        <w:rPr>
          <w:sz w:val="20"/>
          <w:szCs w:val="20"/>
          <w:color w:val="auto"/>
        </w:rPr>
      </w:pPr>
      <w:r>
        <w:rPr>
          <w:rFonts w:ascii="Times New Roman" w:cs="Times New Roman" w:eastAsia="Times New Roman" w:hAnsi="Times New Roman"/>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35" w:lineRule="exact"/>
        <w:rPr>
          <w:sz w:val="20"/>
          <w:szCs w:val="20"/>
          <w:color w:val="auto"/>
        </w:rPr>
      </w:pPr>
    </w:p>
    <w:p>
      <w:pPr>
        <w:ind w:right="62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a third party claims we are infringing on its intellectual property rights, we could incur significant expenses or be prevented from further developing or commercializing our product candidates, which could materially harm our business.</w:t>
      </w:r>
    </w:p>
    <w:p>
      <w:pPr>
        <w:spacing w:after="0" w:line="123"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Our success will largely depend on our ability to operate without infringing the patents and other proprietary intellectual property rights of third parties. This is generally referred to as having the “freedom to operate.” However, our research, development and commercialization activities may be subject to claims that we infringe or otherwise violate patents or other intellectual property rights owned or controlled by third parties.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current or future product candidates may be subject to claims of infringement of the patent rights of third parties. The biotechnology and pharmaceutical industries are characterized by extensive litigation regarding patents and other intellectual property rights. The defense and prosecution of intellectual property claims, interference proceedings and related legal and administrative proceedings, both in the U.S. and internationally, involve complex legal and factual questions. As a result, such proceedings are lengthy, costly and time-consuming, and their outcome is highly uncertain. We may become involved in protracted and expensive litigation in order to determine the enforceability, scope and validity of the proprietary rights of others, or to determine whether we have the freedom to operate with respect to the intellectual property rights of others.</w:t>
      </w:r>
    </w:p>
    <w:p>
      <w:pPr>
        <w:spacing w:after="0" w:line="145" w:lineRule="exact"/>
        <w:rPr>
          <w:sz w:val="20"/>
          <w:szCs w:val="20"/>
          <w:color w:val="auto"/>
        </w:rPr>
      </w:pPr>
    </w:p>
    <w:p>
      <w:pPr>
        <w:ind w:right="120" w:firstLine="254"/>
        <w:spacing w:after="0" w:line="259" w:lineRule="auto"/>
        <w:rPr>
          <w:sz w:val="20"/>
          <w:szCs w:val="20"/>
          <w:color w:val="auto"/>
        </w:rPr>
      </w:pPr>
      <w:r>
        <w:rPr>
          <w:rFonts w:ascii="Times New Roman" w:cs="Times New Roman" w:eastAsia="Times New Roman" w:hAnsi="Times New Roman"/>
          <w:sz w:val="14"/>
          <w:szCs w:val="14"/>
          <w:color w:val="auto"/>
        </w:rPr>
        <w:t>Patent applications in the U.S. are, in most cases, maintained in secrecy until approximately 18 months after the patent application is filed. The publication of discoveries in scientific or patent literature frequently occurs substantially later than the date on which the underlying discoveries were made. Therefore, patent applications relating to product candidates similar to ours may have already been filed by others without our knowledge. In the event that a third party has also filed a patent application covering our product candidate or other claims, we may have to participate in an adversarial proceeding, known as an interference proceeding, in the USPTO, or similar proceedings in other countries, to determine the priority of invention. In the event an infringement claim is brought against us, we may be required to pay substantial legal fees and other expenses to defend such a claim and, should we be unsuccessful in defending the claim, we may be prevented from pursuing the development and commercialization of a product candidate and may be subject to injunctions and/or damage awards.</w:t>
      </w:r>
    </w:p>
    <w:p>
      <w:pPr>
        <w:spacing w:after="0" w:line="145" w:lineRule="exact"/>
        <w:rPr>
          <w:sz w:val="20"/>
          <w:szCs w:val="20"/>
          <w:color w:val="auto"/>
        </w:rPr>
      </w:pPr>
    </w:p>
    <w:p>
      <w:pPr>
        <w:ind w:right="60" w:firstLine="254"/>
        <w:spacing w:after="0" w:line="259" w:lineRule="auto"/>
        <w:rPr>
          <w:sz w:val="20"/>
          <w:szCs w:val="20"/>
          <w:color w:val="auto"/>
        </w:rPr>
      </w:pPr>
      <w:r>
        <w:rPr>
          <w:rFonts w:ascii="Times New Roman" w:cs="Times New Roman" w:eastAsia="Times New Roman" w:hAnsi="Times New Roman"/>
          <w:sz w:val="14"/>
          <w:szCs w:val="14"/>
          <w:color w:val="auto"/>
        </w:rPr>
        <w:t>In the future, the USPTO or a foreign patent office may grant patent rights to our product candidates or other claims to third parties. Subject to the issuance of these future patents, the claims of which will be unknown until issued, we may need to obtain a license or sublicense to these rights in order to have the appropriate freedom to further develop or commercialize them. Any required licenses may not be available to us on acceptable terms, if at all. If we need to obtain such licenses or sublicenses, but are unable to do so, we could encounter delays in the development of our product candidates, or be prevented from developing, manufacturing and commercializing our product candidates at all. If it is determined that we have infringed an issued patent and do not have the freedom to operate, we could be subject to injunctions, and/or compelled to pay significant damages, including punitive damages. In cases where we have in-licensed intellectual property, our failure to comply with the terms and conditions of such agreements could harm our business.</w:t>
      </w:r>
    </w:p>
    <w:p>
      <w:pPr>
        <w:spacing w:after="0" w:line="145" w:lineRule="exact"/>
        <w:rPr>
          <w:sz w:val="20"/>
          <w:szCs w:val="20"/>
          <w:color w:val="auto"/>
        </w:rPr>
      </w:pPr>
    </w:p>
    <w:p>
      <w:pPr>
        <w:ind w:right="80" w:firstLine="254"/>
        <w:spacing w:after="0" w:line="261" w:lineRule="auto"/>
        <w:rPr>
          <w:sz w:val="20"/>
          <w:szCs w:val="20"/>
          <w:color w:val="auto"/>
        </w:rPr>
      </w:pPr>
      <w:r>
        <w:rPr>
          <w:rFonts w:ascii="Times New Roman" w:cs="Times New Roman" w:eastAsia="Times New Roman" w:hAnsi="Times New Roman"/>
          <w:sz w:val="14"/>
          <w:szCs w:val="14"/>
          <w:color w:val="auto"/>
        </w:rPr>
        <w:t>It is becoming common for third parties to challenge patent claims on any successfully developed product candidate or approved drug. If we or our licensees or collaborators become involved in any patent litigation, interference or other legal proceedings, we could incur substantial expense, and the efforts and attention of our technical and management personnel could be significantly diverted. A negative outcome of such litigation or proceedings may expose us to the loss of our proprietary position or to significant liabilities or require us to seek licenses that may not be available from third parties on commercially acceptable terms, if at all. We may be restricted or prevented from developing, manufacturing and selling our product candidates in the event of an adverse determination in a judicial or administrative proceeding, or if we fail to obtain necessary licenses.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procedures, document submission, fee payment and other requirements imposed by governmental patent agencies, and our patent protection could be reduced or eliminated for non-compliance with these requirements.</w:t>
      </w:r>
    </w:p>
    <w:p>
      <w:pPr>
        <w:spacing w:after="0" w:line="123"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Periodic maintenance fees on any issued patent are due to be paid to the USPTO and foreign patent agencies in several stages over the lifetime of the patent. The USPTO and various foreign governmental patent agencies require compliance with several procedures, documentary fee payments and other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and our licensors fail to maintain the patents and patent applications covering our product candidates, our competitive position would be adversely affected.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U.S. patent law could diminish the value of patents in general, thereby impairing our ability to protect our product candidates.</w:t>
      </w:r>
    </w:p>
    <w:p>
      <w:pPr>
        <w:spacing w:after="0" w:line="180" w:lineRule="exact"/>
        <w:rPr>
          <w:sz w:val="20"/>
          <w:szCs w:val="20"/>
          <w:color w:val="auto"/>
        </w:rPr>
      </w:pPr>
    </w:p>
    <w:p>
      <w:pPr>
        <w:ind w:right="160" w:firstLine="254"/>
        <w:spacing w:after="0" w:line="261" w:lineRule="auto"/>
        <w:rPr>
          <w:sz w:val="20"/>
          <w:szCs w:val="20"/>
          <w:color w:val="auto"/>
        </w:rPr>
      </w:pPr>
      <w:r>
        <w:rPr>
          <w:rFonts w:ascii="Times New Roman" w:cs="Times New Roman" w:eastAsia="Times New Roman" w:hAnsi="Times New Roman"/>
          <w:sz w:val="14"/>
          <w:szCs w:val="14"/>
          <w:color w:val="auto"/>
        </w:rPr>
        <w:t>The U.S. has recently enacted and implemented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impair our business.</w:t>
      </w:r>
    </w:p>
    <w:p>
      <w:pPr>
        <w:spacing w:after="0" w:line="180" w:lineRule="exact"/>
        <w:rPr>
          <w:sz w:val="20"/>
          <w:szCs w:val="20"/>
          <w:color w:val="auto"/>
        </w:rPr>
      </w:pPr>
    </w:p>
    <w:p>
      <w:pPr>
        <w:ind w:right="160" w:firstLine="254"/>
        <w:spacing w:after="0" w:line="264" w:lineRule="auto"/>
        <w:rPr>
          <w:sz w:val="20"/>
          <w:szCs w:val="20"/>
          <w:color w:val="auto"/>
        </w:rPr>
      </w:pPr>
      <w:r>
        <w:rPr>
          <w:rFonts w:ascii="Times New Roman" w:cs="Times New Roman" w:eastAsia="Times New Roman" w:hAnsi="Times New Roman"/>
          <w:sz w:val="14"/>
          <w:szCs w:val="14"/>
          <w:color w:val="auto"/>
        </w:rPr>
        <w:t>Filing, prosecuting and defending patents covering our product candidates throughout the world would be prohibitively expensive. Competitors may use our technologies in jurisdictions where we have not obtained patent protection to develop their own vaccines and, further, may export otherwise infringing vaccines to territories where we may obtain patent protection, but where patent enforcement is not as strong as that in the U.S. These vaccines may compete with our product candidates in jurisdictions where we do not have any issued or licensed patents and any future patent claims or other intellectual property rights may not be effective or sufficient to prevent them from so competing.</w:t>
      </w:r>
    </w:p>
    <w:p>
      <w:pPr>
        <w:spacing w:after="0" w:line="138"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3"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Many of our employees, including our senior management, were previously employed at universities or other biotechnology or pharmaceutical companies.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it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123"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We seek to protect our proprietary technology in part by entering into confidentiality agreements with third parties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45"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our product candidates for an adequate amount of time.</w:t>
      </w:r>
    </w:p>
    <w:p>
      <w:pPr>
        <w:spacing w:after="0" w:line="180"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Patents have a limited lifespan. In the U.S.,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vaccines and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w:t>
      </w:r>
    </w:p>
    <w:p>
      <w:pPr>
        <w:spacing w:after="0" w:line="142" w:lineRule="exact"/>
        <w:rPr>
          <w:sz w:val="20"/>
          <w:szCs w:val="20"/>
          <w:color w:val="auto"/>
        </w:rPr>
      </w:pPr>
    </w:p>
    <w:p>
      <w:pPr>
        <w:ind w:right="80" w:firstLine="254"/>
        <w:spacing w:after="0" w:line="256" w:lineRule="auto"/>
        <w:rPr>
          <w:sz w:val="20"/>
          <w:szCs w:val="20"/>
          <w:color w:val="auto"/>
        </w:rPr>
      </w:pPr>
      <w:r>
        <w:rPr>
          <w:rFonts w:ascii="Times New Roman" w:cs="Times New Roman" w:eastAsia="Times New Roman" w:hAnsi="Times New Roman"/>
          <w:sz w:val="14"/>
          <w:szCs w:val="14"/>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While the appeal of the opposition proceeding of a Vaxart European patent in the European Patent Office is completed, we must now obtain approval of the specification conformed to the new claims and it is possible this will be delayed and would delay revalidation of the patent in various European countries. If revalidation of the application was delayed, we may be delayed in asserting the patent to prevent others in Europe from copying some of our product candidates.</w:t>
      </w:r>
    </w:p>
    <w:p>
      <w:pPr>
        <w:spacing w:after="0" w:line="135"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recently concluded the appeal portion of an opposition proceeding of one of our European patents in the European Patent Office (“EPO”). European Patent No. 3307239, which had claims directed to vaccine compositions for norovirus and RSV, was opposed in the EPO. The opposition challenged the validity of European Patent No. 3307239 and the EPO maintained the patent with the original independent claim and with cancelation of some subject matter from dependent claims. The opponent appealed this decision and the Board of Appeal upheld the claims to the extent they were directed to norovirus vaccine compositions, but removed claim subject matter as it related to RSV vaccine compositions. The specification was conformed to the new claims and the Opponents had until March 23, 2026 to object to any of the changes made. This might delay the ultimate reissue of the EP patent and its revalidation in various European states. It is feasible this may delay Vaxart from asserting the patent in Europe until these formalities are resolved.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180"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23"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expect that significant additional capital will be needed in the future to continue our planned operations. Until such time, if ever, as we can generate substantial product revenues, we expect to finance our cash needs through a combination of equity offerings, royalties, debt financings, strategic alliances and license and development agreements in connection with any collaborations. We do not currently have any committed external source of funds. To the extent that we raise additional capital by issuing equity securities, our existing stockholders’ ownership may experience substantial dilution, and the terms of these securities may include liquidation or other preferences that adversely affect our common stockholders’ rights. Debt financing and preferred equity financing, if available, may involve agreements that include covenants limiting or restricting our ability to take specific actions, such as incurring additional debt, making capital expenditures, declaring dividends, creating liens, redeeming our stock or making investments.</w:t>
      </w:r>
    </w:p>
    <w:p>
      <w:pPr>
        <w:spacing w:after="0" w:line="145" w:lineRule="exact"/>
        <w:rPr>
          <w:sz w:val="20"/>
          <w:szCs w:val="20"/>
          <w:color w:val="auto"/>
        </w:rPr>
      </w:pPr>
    </w:p>
    <w:p>
      <w:pPr>
        <w:ind w:right="160" w:firstLine="254"/>
        <w:spacing w:after="0" w:line="261" w:lineRule="auto"/>
        <w:rPr>
          <w:sz w:val="20"/>
          <w:szCs w:val="20"/>
          <w:color w:val="auto"/>
        </w:rPr>
      </w:pPr>
      <w:r>
        <w:rPr>
          <w:rFonts w:ascii="Times New Roman" w:cs="Times New Roman" w:eastAsia="Times New Roman" w:hAnsi="Times New Roman"/>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or through collaborations, strategic alliances or marketing, distribution or licensing arrangements with third parties on acceptable terms, we may be required to delay, limit, reduce or terminate our product development or future commercialization efforts or grant rights to develop and market product candidates that we would otherwise develop and market ourselves.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Future sales of shares by existing stockholders could cause our stock price to decline.</w:t>
      </w:r>
    </w:p>
    <w:p>
      <w:pPr>
        <w:spacing w:after="0" w:line="180" w:lineRule="exact"/>
        <w:rPr>
          <w:sz w:val="20"/>
          <w:szCs w:val="20"/>
          <w:color w:val="auto"/>
        </w:rPr>
      </w:pPr>
    </w:p>
    <w:p>
      <w:pPr>
        <w:ind w:right="80" w:firstLine="254"/>
        <w:spacing w:after="0" w:line="269" w:lineRule="auto"/>
        <w:rPr>
          <w:sz w:val="20"/>
          <w:szCs w:val="20"/>
          <w:color w:val="auto"/>
        </w:rPr>
      </w:pPr>
      <w:r>
        <w:rPr>
          <w:rFonts w:ascii="Times New Roman" w:cs="Times New Roman" w:eastAsia="Times New Roman" w:hAnsi="Times New Roman"/>
          <w:sz w:val="14"/>
          <w:szCs w:val="14"/>
          <w:color w:val="auto"/>
        </w:rPr>
        <w:t>If our existing stockholders sell, or indicate an intention to sell, substantial amounts of our common stock in the public market, the trading price of our common stock could decline. Sales of a substantial number of shares of our common stock in the public market, or the perception that the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laws and regulations or in our operations may impact our effective tax rate and may adversely affect our business, financial condition and operating results.</w:t>
      </w:r>
    </w:p>
    <w:p>
      <w:pPr>
        <w:spacing w:after="0" w:line="180" w:lineRule="exact"/>
        <w:rPr>
          <w:sz w:val="20"/>
          <w:szCs w:val="20"/>
          <w:color w:val="auto"/>
        </w:rPr>
      </w:pPr>
    </w:p>
    <w:p>
      <w:pPr>
        <w:ind w:right="40" w:firstLine="254"/>
        <w:spacing w:after="0" w:line="286" w:lineRule="auto"/>
        <w:rPr>
          <w:sz w:val="20"/>
          <w:szCs w:val="20"/>
          <w:color w:val="auto"/>
        </w:rPr>
      </w:pPr>
      <w:r>
        <w:rPr>
          <w:rFonts w:ascii="Times New Roman" w:cs="Times New Roman" w:eastAsia="Times New Roman" w:hAnsi="Times New Roman"/>
          <w:sz w:val="14"/>
          <w:szCs w:val="14"/>
          <w:color w:val="auto"/>
        </w:rPr>
        <w:t>Changes in tax laws in any jurisdiction in which we operate, or adverse outcomes from any tax audits that we may be subject to in any such jurisdictions, could result in an unfavorable change in our effective tax rate in the future, which could adversely affect our business, financial condition, and operating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Anti-takeover provisions under Delaware law could make an acquisition more difficult and may prevent attempts by our stockholders to replace or remove our management.</w:t>
      </w:r>
    </w:p>
    <w:p>
      <w:pPr>
        <w:spacing w:after="0" w:line="180" w:lineRule="exact"/>
        <w:rPr>
          <w:sz w:val="20"/>
          <w:szCs w:val="20"/>
          <w:color w:val="auto"/>
        </w:rPr>
      </w:pPr>
    </w:p>
    <w:p>
      <w:pPr>
        <w:ind w:right="220" w:firstLine="254"/>
        <w:spacing w:after="0" w:line="261" w:lineRule="auto"/>
        <w:rPr>
          <w:sz w:val="20"/>
          <w:szCs w:val="20"/>
          <w:color w:val="auto"/>
        </w:rPr>
      </w:pPr>
      <w:r>
        <w:rPr>
          <w:rFonts w:ascii="Times New Roman" w:cs="Times New Roman" w:eastAsia="Times New Roman" w:hAnsi="Times New Roman"/>
          <w:sz w:val="14"/>
          <w:szCs w:val="14"/>
          <w:color w:val="auto"/>
        </w:rPr>
        <w:t>Because we are incorporated in Delaware, we are governed by the provisions of Section 203 of the DGCL, which prohibits stockholders owning in excess of 15% of the outstanding company voting stock from merging or combining with the company. Although we believe these provisions collectively provide for an opportunity to receive higher bids by requiring potential acquirers to negotiate with our board of directors, they would apply even if the offer was considered beneficial by some stockholders. In addition, these provisions may frustrate or prevent any attempts by our stockholders to replace or remove management by making it more difficult for stockholders to replace members of our board of directors, which is responsible for appointing the members of management.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would suffer in the event of system failures or cybersecurity breaches.</w:t>
      </w:r>
    </w:p>
    <w:p>
      <w:pPr>
        <w:spacing w:after="0" w:line="180"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Our business and operations, including our CROs, as well as the operations and systems of entities whose services are necessary to our operations, rely greatly on information technology systems and are vulnerable to damage in the event of failure, natural disasters, security breaches and attacks, interruptions or other cybersecurity incidents. These events may compromise the stability, integrity, or confidentiality of these systems, and the accuracy and integrity of information stored or processed through these systems, and may significantly interrupt our ability to run the business successfully. Ransomware attacks, which are becoming increasingly common across all industry sectors and have focused in part on businesses operating in health care markets, can disrupt and even halt ongoing business operations completely. Increasing global tensions, including the ongoing military conflict between Russia and Ukraine, among others, are likely to increase the frequency of cybersecurity incidents.</w:t>
      </w:r>
    </w:p>
    <w:p>
      <w:pPr>
        <w:spacing w:after="0" w:line="145" w:lineRule="exact"/>
        <w:rPr>
          <w:sz w:val="20"/>
          <w:szCs w:val="20"/>
          <w:color w:val="auto"/>
        </w:rPr>
      </w:pPr>
    </w:p>
    <w:p>
      <w:pPr>
        <w:ind w:right="40" w:firstLine="254"/>
        <w:spacing w:after="0" w:line="261" w:lineRule="auto"/>
        <w:rPr>
          <w:sz w:val="20"/>
          <w:szCs w:val="20"/>
          <w:color w:val="auto"/>
        </w:rPr>
      </w:pPr>
      <w:r>
        <w:rPr>
          <w:rFonts w:ascii="Times New Roman" w:cs="Times New Roman" w:eastAsia="Times New Roman" w:hAnsi="Times New Roman"/>
          <w:sz w:val="14"/>
          <w:szCs w:val="14"/>
          <w:color w:val="auto"/>
        </w:rPr>
        <w:t>Our systems, including onsite datacenters and cloud services, continue to increase in size and complexity, making them potentially vulnerable to breakdowns and other disruptions. Disruptions include issues with routine maintenance, upgrades, and patching. These systems continue to become more critical and integrated within our business, especially as we continue to work remotely, and our dependence on them will continue to increase. We rely on the high-availability and redundancies built into our cloud services, but these systems are managed and maintained by the providers and are out of our direct control. Any potential problems and interruptions associated with the implementation, support, security, availability, or maintenance of new or existing systems could disrupt or reduce the efficiency of our operations and materially impact the delivery of development programs.</w:t>
      </w:r>
    </w:p>
    <w:p>
      <w:pPr>
        <w:spacing w:after="0" w:line="142"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Cybersecurity incidents, including phishing and spear phishing attacks, distributed denial of service attacks, man-in-the-middle attacks, as well as ransomware and other malware insertions, are becoming more sophisticated and frequent. If these attempts to misappropriate or compromise confidential or proprietary information or infiltrate or sabotage enterprise IT systems were successful, they could result in a loss of or damage to data or applications and even the interruption of basic business operations and financial loss, as well as the risk of legal and regulatory liability. As a result, further development of our product candidates could be substantially delayed. A data breach could risk the exposure of mission critical data or other intellectual property, or expose PII (Personally Identifiable Information) and PHI (Protected Health Information) of company employees or people participating in clinical trials. A successful phishing attempt could lead to further hacking attempts, unauthorized email access or messaging, or other vertical/horizontal cyberattacks. Any of these events could cause substantial reputational injury impacting our business.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business could be adversely affected by economic downturns, changes in inflation and interest rates, changes in trade policy, natural disasters, political crises, geopolitical events, such as the ongoing military conflict between Russia and Ukraine and the war involving Israel, or other macroeconomic conditions, which may in the future negatively impact our business and financial performance.</w:t>
      </w:r>
    </w:p>
    <w:p>
      <w:pPr>
        <w:spacing w:after="0" w:line="135"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changes in inflation and interest rates, and uncertainty about economic stability. For example, during 2022 and 2023, the Federal Reserve raised interest rates multiple times in response to concerns about inflation. Higher interest rates, coupled with reduced government spending and volatility in financial markets may increase economic uncertainty and affect consumer spending. Trade policies and geopolitical disputes and conflicts can result in tariffs, sanctions and other measures that restrict international trade, and may adversely affect our costs of doing business, particularly if these measures occur in regions where our suppliers source components or raw materials. Similarly, the ongoing military conflict between Russia and Ukraine and the war involving Israel have created volatility in the global capital markets and are expected to have further global economic consequences, including disruptions of the global supply chain and energy markets.</w:t>
      </w:r>
    </w:p>
    <w:p>
      <w:pPr>
        <w:spacing w:after="0" w:line="145" w:lineRule="exact"/>
        <w:rPr>
          <w:sz w:val="20"/>
          <w:szCs w:val="20"/>
          <w:color w:val="auto"/>
        </w:rPr>
      </w:pPr>
    </w:p>
    <w:p>
      <w:pPr>
        <w:ind w:right="100" w:firstLine="254"/>
        <w:spacing w:after="0" w:line="261" w:lineRule="auto"/>
        <w:rPr>
          <w:sz w:val="20"/>
          <w:szCs w:val="20"/>
          <w:color w:val="auto"/>
        </w:rPr>
      </w:pPr>
      <w:r>
        <w:rPr>
          <w:rFonts w:ascii="Times New Roman" w:cs="Times New Roman" w:eastAsia="Times New Roman" w:hAnsi="Times New Roman"/>
          <w:sz w:val="14"/>
          <w:szCs w:val="14"/>
          <w:color w:val="auto"/>
        </w:rPr>
        <w:t>Additionally, trade policies and geopolitical disputes and other international conflicts can result in tariffs, sanctions, and other measures that restrict international trade, and can materially adversely affect our business, particularly if these measures occur in regions where drug products are manufactured or raw materials are sourced. With the new presidential administration in the U.S. in 2025, additional and higher tariffs and sanctions may be imposed on goods imported from other countries which could increase the cost of goods needed to commercialize our products and continue development of our product candidates. Further, such actions by the U.S. could result in retaliatory action by those countries which could impact our ability to profitably commercialize our products in those jurisdictions in the future. As a result, our business, operations and financial condition could be materially harmed.</w:t>
      </w:r>
    </w:p>
    <w:p>
      <w:pPr>
        <w:spacing w:after="0" w:line="142" w:lineRule="exact"/>
        <w:rPr>
          <w:sz w:val="20"/>
          <w:szCs w:val="20"/>
          <w:color w:val="auto"/>
        </w:rPr>
      </w:pPr>
    </w:p>
    <w:p>
      <w:pPr>
        <w:jc w:val="both"/>
        <w:ind w:right="120" w:firstLine="254"/>
        <w:spacing w:after="0" w:line="269" w:lineRule="auto"/>
        <w:rPr>
          <w:sz w:val="20"/>
          <w:szCs w:val="20"/>
          <w:color w:val="auto"/>
        </w:rPr>
      </w:pPr>
      <w:r>
        <w:rPr>
          <w:rFonts w:ascii="Times New Roman" w:cs="Times New Roman" w:eastAsia="Times New Roman" w:hAnsi="Times New Roman"/>
          <w:sz w:val="14"/>
          <w:szCs w:val="14"/>
          <w:color w:val="auto"/>
        </w:rPr>
        <w:t>Any such volatility and disruptions may adversely affect our business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w:t>
      </w:r>
    </w:p>
    <w:p>
      <w:pPr>
        <w:spacing w:after="0" w:line="135"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Artificial intelligence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AI</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presents risks and challenges that can impact our business including by posing security risks to our confidential information, proprietary information and personal data.</w:t>
      </w:r>
    </w:p>
    <w:p>
      <w:pPr>
        <w:spacing w:after="0" w:line="123"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We incorporate AI solutions into our platform, and these applications may become important in our operations over time. AI presents risks such as inaccuracy, bias, toxicity, intellectual property infringement or misappropriation, data privacy and cybersecurity and data provenance. In addition, AI utilizes machine learning and predictive analytics, which may present flawed, biased, and inaccurate results, and may have errors or inadequacies that are not easily detectable and may also be subject to data herding and interconnectedness (i.e., multiple market participants utilizing the same data), in each case adversely impacting our business. These issues, combined with an uncertain regulatory environment, may further result in reputational harm, liability, or other adverse consequences to our business operations. Our vendors may incorporate generative AI tools into their offerings without disclosing this use to us, and the providers of these generative AI tools may not meet existing or rapidly evolving regulatory or industry standards with respect to privacy and data protection and may inhibit our or our vendors’ ability to maintain an adequate level of service and experience. If our vendors, or our third-party partners experience an actual or perceived breach or privacy or security incident because of the use of generative AI, we may lose valuable intellectual property and confidential information and our reputation and the public perception of the effectiveness of our security measures could be harmed. Further, bad actors around the world use increasingly sophisticated methods, including the use of AI,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we may not be able to accurately report our financial results or detect fraud. Consequently, investors could lose confidence in our financial reporting and this may negatively impact the trading price of our common stock.</w:t>
      </w:r>
    </w:p>
    <w:p>
      <w:pPr>
        <w:spacing w:after="0" w:line="123" w:lineRule="exact"/>
        <w:rPr>
          <w:sz w:val="20"/>
          <w:szCs w:val="20"/>
          <w:color w:val="auto"/>
        </w:rPr>
      </w:pPr>
    </w:p>
    <w:p>
      <w:pPr>
        <w:ind w:right="140" w:firstLine="254"/>
        <w:spacing w:after="0" w:line="264" w:lineRule="auto"/>
        <w:rPr>
          <w:sz w:val="20"/>
          <w:szCs w:val="20"/>
          <w:color w:val="auto"/>
        </w:rPr>
      </w:pPr>
      <w:r>
        <w:rPr>
          <w:rFonts w:ascii="Times New Roman" w:cs="Times New Roman" w:eastAsia="Times New Roman" w:hAnsi="Times New Roman"/>
          <w:sz w:val="14"/>
          <w:szCs w:val="14"/>
          <w:color w:val="auto"/>
        </w:rPr>
        <w:t>We are required, pursuant to Section 404 of the Sarbanes-Oxley Act, to furnish a quarterly report by management on, among other things, the effectiveness of our internal control over financial reporting. This assessment needs to include disclosure of any material weaknesses identified by our management in our internal control over financial reporting. We are required to disclose changes made in our internal control over financial reporting on a quarterly basis. We must also provide an auditor’s attestation report on management’s assessment of the effectiveness of our system of internal control over financial reporting pursuant to Section 404(b) of the Sarbanes-Oxley Act.</w:t>
      </w:r>
    </w:p>
    <w:p>
      <w:pPr>
        <w:spacing w:after="0" w:line="140"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We must maintain effective disclosure and internal controls to provide reliable financial reports. We have been assessing our controls to identify areas that need improvement. Based on our evaluation as of December 31, 2025, we concluded that our internal controls and procedures were effective as of December 31, 2025, however we have identified material weaknesses in the past and may do so again in the future.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Failure to maintain the improvements in our controls as necessary to maintain an effective system of such controls could harm our ability to accurately report our operating results and cause investors to lose confidence in our reported financial information. Any such loss of confidence would have a negative effect on the trading price of our common stock.</w:t>
      </w:r>
    </w:p>
    <w:p>
      <w:pPr>
        <w:spacing w:after="0" w:line="143"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Most of our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23" w:lineRule="exact"/>
        <w:rPr>
          <w:sz w:val="20"/>
          <w:szCs w:val="20"/>
          <w:color w:val="auto"/>
        </w:rPr>
      </w:pPr>
    </w:p>
    <w:p>
      <w:pPr>
        <w:ind w:right="400" w:firstLine="254"/>
        <w:spacing w:after="0" w:line="286" w:lineRule="auto"/>
        <w:rPr>
          <w:sz w:val="20"/>
          <w:szCs w:val="20"/>
          <w:color w:val="auto"/>
        </w:rPr>
      </w:pPr>
      <w:r>
        <w:rPr>
          <w:rFonts w:ascii="Times New Roman" w:cs="Times New Roman" w:eastAsia="Times New Roman" w:hAnsi="Times New Roman"/>
          <w:sz w:val="14"/>
          <w:szCs w:val="14"/>
          <w:color w:val="auto"/>
        </w:rPr>
        <w:t>We are vulnerable to damage from catastrophic events, such as power loss, natural disasters, terrorism and similar unforeseen events beyond our control. The majority of our operations are located in the San Francisco Bay Area, which in the past has experienced severe earthquakes and fires.</w:t>
      </w:r>
    </w:p>
    <w:p>
      <w:pPr>
        <w:spacing w:after="0" w:line="125" w:lineRule="exact"/>
        <w:rPr>
          <w:sz w:val="20"/>
          <w:szCs w:val="20"/>
          <w:color w:val="auto"/>
        </w:rPr>
      </w:pPr>
    </w:p>
    <w:p>
      <w:pPr>
        <w:ind w:right="40" w:firstLine="254"/>
        <w:spacing w:after="0" w:line="286" w:lineRule="auto"/>
        <w:rPr>
          <w:sz w:val="20"/>
          <w:szCs w:val="20"/>
          <w:color w:val="auto"/>
        </w:rPr>
      </w:pPr>
      <w:r>
        <w:rPr>
          <w:rFonts w:ascii="Times New Roman" w:cs="Times New Roman" w:eastAsia="Times New Roman" w:hAnsi="Times New Roman"/>
          <w:sz w:val="14"/>
          <w:szCs w:val="14"/>
          <w:color w:val="auto"/>
        </w:rPr>
        <w:t>We do not have a disaster recovery and business continuity plan in place. Earthquakes, fires, floods, hurricanes or other natural disasters could severely disrupt our operations and have a material adverse effect on our business, results of operations, financial condition and prospects.</w:t>
      </w:r>
    </w:p>
    <w:p>
      <w:pPr>
        <w:spacing w:after="0" w:line="125" w:lineRule="exact"/>
        <w:rPr>
          <w:sz w:val="20"/>
          <w:szCs w:val="20"/>
          <w:color w:val="auto"/>
        </w:rPr>
      </w:pPr>
    </w:p>
    <w:p>
      <w:pPr>
        <w:ind w:right="120" w:firstLine="254"/>
        <w:spacing w:after="0" w:line="286" w:lineRule="auto"/>
        <w:rPr>
          <w:sz w:val="20"/>
          <w:szCs w:val="20"/>
          <w:color w:val="auto"/>
        </w:rPr>
      </w:pPr>
      <w:r>
        <w:rPr>
          <w:rFonts w:ascii="Times New Roman" w:cs="Times New Roman" w:eastAsia="Times New Roman" w:hAnsi="Times New Roman"/>
          <w:sz w:val="14"/>
          <w:szCs w:val="14"/>
          <w:color w:val="auto"/>
        </w:rPr>
        <w:t>If a natural disaster, power outage or other event occurred that prevented us from using all or a significant portion of our headquarters, damaged critical infrastructure, such as our financial systems or manufacturing facility, or that otherwise disrupted our operations, it may be difficult or, in certain cases, impossible for us to continue business operations for a substantial period of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Natural disasters, including those resulting from significant climate change, could adversely affect our business and our third-party partners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businesses.</w:t>
      </w:r>
    </w:p>
    <w:p>
      <w:pPr>
        <w:spacing w:after="0" w:line="18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Natural disasters, such as hurricanes, tornadoes, floods, wildfire, and drought may impact our operations or our partners’ businesses. Climate change is increasing the frequency, intensity, and duration of these weather events. These natural disasters, including those resulting from significant climate change, could destroy or damage facilities or other properties, disrupt business, increase the probability of power or other outages, or otherwise cause significant economic dislocation in the affected regions. Any of these situations may adversely affect our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are subject to risks related to climate change.</w:t>
      </w:r>
    </w:p>
    <w:p>
      <w:pPr>
        <w:spacing w:after="0" w:line="180" w:lineRule="exact"/>
        <w:rPr>
          <w:sz w:val="20"/>
          <w:szCs w:val="20"/>
          <w:color w:val="auto"/>
        </w:rPr>
      </w:pPr>
    </w:p>
    <w:p>
      <w:pPr>
        <w:ind w:right="100" w:firstLine="254"/>
        <w:spacing w:after="0" w:line="258" w:lineRule="auto"/>
        <w:rPr>
          <w:sz w:val="20"/>
          <w:szCs w:val="20"/>
          <w:color w:val="auto"/>
        </w:rPr>
      </w:pPr>
      <w:r>
        <w:rPr>
          <w:rFonts w:ascii="Times New Roman" w:cs="Times New Roman" w:eastAsia="Times New Roman" w:hAnsi="Times New Roman"/>
          <w:sz w:val="14"/>
          <w:szCs w:val="14"/>
          <w:color w:val="auto"/>
        </w:rPr>
        <w:t>The long-term effects of global climate change could present both physical risks and transition risks (such as regulatory or technology changes), which are expected to be widespread and unpredictable. Transitional risks include, for example, a disorderly global transition away from fossil fuels that may result in increased energy prices; customer preference for low or no-carbon products; stakeholder pressure to decarbonize assets; or new legal or regulatory requirements that result in new or expanded carbon pricing, taxes, restrictions on greenhouse gas emissions, and increased greenhouse gas disclosure and transparency. These risks could increase operating costs, including the cost of our electricity and energy use, or other compliance costs. Physical risks to our operations include water stress and drought; flooding and storm surge; wildfires; extreme temperatures and storms, which could impact trials, increase costs, or disrupt supply chains. Our supply chain is likely subject to these same transitional and physical risks and would likely pass along any increased costs to us. We do not anticipate that these risks will have a material financial impact to the Company in the near term.</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Increased scrutiny of our environmental, social or governance responsibilities has and will likely continue to result in additional costs and risks and may adversely impact our reputation, employee retention and willingness of customers and suppliers to do business with us.</w:t>
      </w:r>
    </w:p>
    <w:p>
      <w:pPr>
        <w:spacing w:after="0" w:line="123" w:lineRule="exact"/>
        <w:rPr>
          <w:sz w:val="20"/>
          <w:szCs w:val="20"/>
          <w:color w:val="auto"/>
        </w:rPr>
      </w:pPr>
    </w:p>
    <w:p>
      <w:pPr>
        <w:ind w:right="320" w:firstLine="254"/>
        <w:spacing w:after="0" w:line="261" w:lineRule="auto"/>
        <w:rPr>
          <w:sz w:val="20"/>
          <w:szCs w:val="20"/>
          <w:color w:val="auto"/>
        </w:rPr>
      </w:pPr>
      <w:r>
        <w:rPr>
          <w:rFonts w:ascii="Times New Roman" w:cs="Times New Roman" w:eastAsia="Times New Roman" w:hAnsi="Times New Roman"/>
          <w:sz w:val="14"/>
          <w:szCs w:val="14"/>
          <w:color w:val="auto"/>
        </w:rPr>
        <w:t>There is an increasing focus from certain customers, consumers, employees and other stakeholders concerning environmental, social and governance (“ESG”) matters, including corporate citizenship and sustainability. Additionally, public interest and legislative pressure related to public companies’ ESG practices continues to grow. If our ESG practices fail to meet regulatory requirements or stakeholders’ evolving expectations and standards for responsible corporate citizenship in areas including environmental stewardship, support for local communities, Board of Director and employee inclusion, human capital management, employee health and safety practices, corporate governance and transparency and employing ESG strategies in our operations, our brand, reputation and employee retention may be negatively impacted, and customers and suppliers may be unwilling to do business with us.</w:t>
      </w:r>
    </w:p>
    <w:p>
      <w:pPr>
        <w:spacing w:after="0" w:line="142" w:lineRule="exact"/>
        <w:rPr>
          <w:sz w:val="20"/>
          <w:szCs w:val="20"/>
          <w:color w:val="auto"/>
        </w:rPr>
      </w:pPr>
    </w:p>
    <w:p>
      <w:pPr>
        <w:ind w:right="60" w:firstLine="254"/>
        <w:spacing w:after="0" w:line="258" w:lineRule="auto"/>
        <w:rPr>
          <w:sz w:val="20"/>
          <w:szCs w:val="20"/>
          <w:color w:val="auto"/>
        </w:rPr>
      </w:pPr>
      <w:r>
        <w:rPr>
          <w:rFonts w:ascii="Times New Roman" w:cs="Times New Roman" w:eastAsia="Times New Roman" w:hAnsi="Times New Roman"/>
          <w:sz w:val="14"/>
          <w:szCs w:val="14"/>
          <w:color w:val="auto"/>
        </w:rPr>
        <w:t>The trend of increased environmental regulation is not linear and can fluctuate depending on the administration and jurisdiction, even within the same county. For example, on January 20, 2025, President Trump issued Executive Orders seeking to rescind prior Executive Orders and agency actions enacted by the Biden Administration. These include revoking Biden-era Executive Orders withdrawing certain offshore waters within the Outer Continental Shelf available for oil and gas exploration and imposing a temporary prohibition of offshore wind leasing in the Outer Continental Shelf. We cannot foresee the potential impact and unintended consequences that future Executive Orders or the changes in enforcement of existing laws, rules, and orders may have on our business. Additionally, although the Trump Administration initially withdrew the U.S. from the Paris Agreement in November 2020, the U.S. reentered the Paris Agreement in February 2021 under the Biden Administration, but the Trump Administration again withdrew from the Paris Agreement on January 20, 2025. Though we are closely following developments in this area and changes in the regulatory landscape in the United States and other jurisdictions, we cannot predict with precision or quantify how or when challenges may arise and ultimately impact our business.</w:t>
      </w:r>
    </w:p>
    <w:p>
      <w:pPr>
        <w:spacing w:after="0" w:line="145"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Additionally, in January 2025, President Trump signed a number of Executive Orders focused on diversity, equity, and inclusion (“DEI”), which indicate continued scrutiny of DEI initiatives and potential related investigations of certain private entities with respect to DEI initiatives, including publicly traded companies. If we do not successfully manage expectations across varied stakeholder interests, it could erode stakeholder trust, impact our reputation and constrain our investment opportunities. Such scrutiny of both ESG and DEI related practices could expose us to the risk of litigation, investigations, or challenges by federal or state authorities or result in reputational harm.</w:t>
      </w:r>
    </w:p>
    <w:p>
      <w:pPr>
        <w:spacing w:after="0" w:line="140" w:lineRule="exact"/>
        <w:rPr>
          <w:sz w:val="20"/>
          <w:szCs w:val="20"/>
          <w:color w:val="auto"/>
        </w:rPr>
      </w:pPr>
    </w:p>
    <w:p>
      <w:pPr>
        <w:ind w:right="160" w:firstLine="254"/>
        <w:spacing w:after="0" w:line="258" w:lineRule="auto"/>
        <w:rPr>
          <w:sz w:val="20"/>
          <w:szCs w:val="20"/>
          <w:color w:val="auto"/>
        </w:rPr>
      </w:pPr>
      <w:r>
        <w:rPr>
          <w:rFonts w:ascii="Times New Roman" w:cs="Times New Roman" w:eastAsia="Times New Roman" w:hAnsi="Times New Roman"/>
          <w:sz w:val="14"/>
          <w:szCs w:val="14"/>
          <w:color w:val="auto"/>
        </w:rPr>
        <w:t>Nevertheless, as we work to align our ESG practices with industry standards, we have expanded and, in the future, will likely continue to expand our disclosures in these areas. From time-to-time, we communicate certain initiatives, including goals, regarding environmental matters, responsible sourcing and social investments. We also expect to incur additional costs and require additional resources to monitor, report and comply with our various ESG practices. The standards for tracking and reporting on ESG matters are relatively new, have not been harmonized and continue to evolve. The disclosure frameworks we choose to align with, if any, may change from time to time and may result in a lack of consistent or meaningful comparative data from period to period. Ensuring there are systems and processes in place to comply with various ESG tracking and reporting obligations will require management time and expense. In addition, our processes and controls may not always comply with evolving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w:t>
      </w:r>
    </w:p>
    <w:p>
      <w:pPr>
        <w:spacing w:after="0" w:line="145"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If we fail to adopt ESG standards or practices as quickly as stakeholders desire, fail, or be perceived to fail, in our achievement of such initiatives or goals, or fail in fully and accurately reporting our progress on such initiatives and goals, our reputation, business, financial performance and growth may be adversely impacted. In addition, we could be criticized for the scope of such initiatives or goals or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This prospectus contains “forward-looking statements” within the meaning of Section 27A of the Securities Act of 1933, as amended (the “Securities Act”), and Section 21E of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relating to:</w:t>
      </w:r>
    </w:p>
    <w:p>
      <w:pPr>
        <w:spacing w:after="0" w:line="309" w:lineRule="exact"/>
        <w:rPr>
          <w:sz w:val="20"/>
          <w:szCs w:val="20"/>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and commercialize our product candidates and clinical results and trial data;</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negotiate and receive royalty payments on the sales of our product candidates including Inavir;</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the various synergies envisioned in the Exclusive License and Collaboration Agreement with Dynavax Technologies Corporation;</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selected financial results for future time periods;</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enforce necessary patent and other intellectual property protection;</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partnership opportunities;</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the future contributions of our management team;</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management team to build out the Company and drive sustainable growth and value creation;</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vaccine tablets;</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clinical results and trial data;</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the effectiveness, safety, or convenience of our norovirus vaccine candidate;</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expectations regarding the effectiveness, safety, or convenience of any other vaccine candidate;</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use of proceeds from this offering; and</w:t>
      </w:r>
    </w:p>
    <w:p>
      <w:pPr>
        <w:spacing w:after="0" w:line="220"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with respect to the important advantages we believe our oral vaccine platform can offer over injectable alternatives.</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“aims,” “anticipates,” “assumes,” “believes,” “continue,” “could,” “expects,” “estimates,” “intends,” “may,” “plans,” “potential,” “will,” “would,” or the negative of these terms or other similar expressions. These statements reflect our current views with respect to future events and are based on estimates and assumptions and are subject to risks and uncertainties. Given these uncertainties, you should not place undue reliance on these forward-looking statements. We discuss in greater detail many of these risks in the section titled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in any prospectus supplement and free writing prospectuses we may authorize for use in connection with this offering, and in our most recent Annual Report on Form 10-K and Quarterly Reports on Form 10-Q, as well as any amendments thereto reflected in subsequent filings with the SEC. Also, these forward-looking statements represent our estimates and assumptions only as of the date of the document containing the applicable statement. Unless required by law, we undertake no obligation to update or revise any forward-looking statements to reflect new information or future events or developments.</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4"/>
          <w:szCs w:val="14"/>
          <w:color w:val="auto"/>
        </w:rPr>
        <w:t>You should read this prospectus and any free writing prospectus that we may authorize for use in connection with this offering, completely and with the understanding that our actual future results, levels of activity, performance and achievements may be materially different from what we expect. We qualify all of the forward-looking statements in this prospectus and any documents incorporated by reference herein by these cautionary statements. These cautionary statements qualify all forward-looking statements attributable to us or persons acting on our behalf.</w:t>
      </w: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OUR AGREEMENTS WITH LINCOLN PARK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This prospectus covers the resale by the selling stockholder of up to 32,914,599 shares of our common stock, comprised of: (i) up to 32,467,532 shares of our common stock that we may sell to Lincoln Park under the Purchase Agreement from time to time after the date of this prospectus and (ii) 447,067 Commitment Shares that we have already issued to Lincoln Park as a fee for making its irrevocable commitment to purchase our common stock under the Purchase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On April 16, 2026, we entered into the Purchase Agreement with Lincoln Park, pursuant to which Lincoln Park has agreed to purchase from us up to an aggregate of $25 million of our common stock (subject to certain limitations) from time to time over the term of the Purchase Agreement. Pursuant to the Purchase Agreement we issued to Lincoln Park, as consideration for its irrevocable commitment, 447,067 Commitment Shares (for which Commitment Shares we have not and will not receive any cash consideration).</w:t>
      </w:r>
    </w:p>
    <w:p>
      <w:pPr>
        <w:spacing w:after="0" w:line="137"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On April 16, 2026, we entered into a Registration Rights Agreement (the “Registration Rights Agreement”), pursuant to which we filed with the SEC the registration statement that includes this prospectus to register for resale under the Securities Act the shares of our common stock that have been or may be issued to Lincoln Park under the Purchase Agreement, for which we have not and will not receive any cash consideration.</w:t>
      </w:r>
    </w:p>
    <w:p>
      <w:pPr>
        <w:spacing w:after="0" w:line="137" w:lineRule="exact"/>
        <w:rPr>
          <w:sz w:val="20"/>
          <w:szCs w:val="20"/>
          <w:color w:val="auto"/>
        </w:rPr>
      </w:pPr>
    </w:p>
    <w:p>
      <w:pPr>
        <w:ind w:right="20" w:firstLine="254"/>
        <w:spacing w:after="0" w:line="256" w:lineRule="auto"/>
        <w:rPr>
          <w:sz w:val="20"/>
          <w:szCs w:val="20"/>
          <w:color w:val="auto"/>
        </w:rPr>
      </w:pPr>
      <w:r>
        <w:rPr>
          <w:rFonts w:ascii="Times New Roman" w:cs="Times New Roman" w:eastAsia="Times New Roman" w:hAnsi="Times New Roman"/>
          <w:sz w:val="14"/>
          <w:szCs w:val="14"/>
          <w:color w:val="auto"/>
        </w:rPr>
        <w:t>We do not have the right to commence any sales of our common stock to Lincoln Park under the Purchase Agreement until all of the conditions set forth in the Purchase Agreement have been satisfied, including that the SEC has declared effective the registration statement that includes this prospectus and the final form of this prospectus has been filed with the SEC, which we refer to in this prospectus as the “Commencement,” and the date on which the Commencement occurs we refer to as the “Commencement Date.” From and after the Commencement, we may, from time to time and at our sole discretion for a period of 24-months, on any business day on which the closing sale price of our common stock is greater than $0.10, direct Lincoln Park to purchase up to 150,000 shares of our common stock, which maximum share limitation may be increased to up to 175,000 shares if the closing sale price is not below $0.50, up to 225,000 shares if the closing sale price is not below $0.75, and up to 275,000 shares if the closing sale price is not below $1.00, in each case subject to a maximum commitment of $500,000 per purchase, which we refer to in this prospectus as “Regular Purchases.” The foregoing share amounts and per share prices will be adjusted for any reorganization, recapitalization, non-cash dividend, stock split, reverse stock split or other similar transaction occurring after the date of the Purchase Agreement. In addition to Regular Purchases, if we direct Lincoln Park to purchase the maximum number of shares of our common stock that we may sell in a Regular Purchase on the applicable business day we initiate such Regular Purchase, then, in addition to such Regular Purchase, we may also direct Lincoln Park to purchase certain additional amounts of our common stock as “Accelerated Purchases” and as “Additional Accelerated Purchases.”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jc w:val="both"/>
        <w:ind w:firstLine="254"/>
        <w:spacing w:after="0" w:line="259" w:lineRule="auto"/>
        <w:rPr>
          <w:sz w:val="20"/>
          <w:szCs w:val="20"/>
          <w:color w:val="auto"/>
        </w:rPr>
      </w:pPr>
      <w:r>
        <w:rPr>
          <w:rFonts w:ascii="Times New Roman" w:cs="Times New Roman" w:eastAsia="Times New Roman" w:hAnsi="Times New Roman"/>
          <w:sz w:val="14"/>
          <w:szCs w:val="14"/>
          <w:color w:val="auto"/>
        </w:rPr>
        <w:t>We will control the timing and amount of any sales of our common stock to Lincoln Park. The purchase price of the shares of our common stock that may be sold to Lincoln Park in Regular Purchases, Accelerated Purchases, and Additional Accelerated Purchases under the Purchase Agreement will be based on the market price of our common stock at or prior to the time of sale as computed under the Purchase Agreement. The purchase price per share will be equitably adjusted as provided in the Purchase Agreement for any reorganization, recapitalization, non-cash dividend, stock split, or other similar transaction as set forth in the Purchase Agreement. We may at any time in our sole discretion terminate the Purchase Agreement without fee, penalty or cost upon one business day notice. Actual sales of shares of our common stock to Lincoln Park under the Purchase Agreement will depend on a variety of factors to be determined by us from time to time, including, among others, market conditions, the trading price of our common stock and determinations by us as to the appropriate sources of funding for our operations.</w:t>
      </w:r>
    </w:p>
    <w:p>
      <w:pPr>
        <w:spacing w:after="0" w:line="145" w:lineRule="exact"/>
        <w:rPr>
          <w:sz w:val="20"/>
          <w:szCs w:val="20"/>
          <w:color w:val="auto"/>
        </w:rPr>
      </w:pPr>
    </w:p>
    <w:p>
      <w:pPr>
        <w:jc w:val="both"/>
        <w:ind w:firstLine="254"/>
        <w:spacing w:after="0" w:line="255" w:lineRule="auto"/>
        <w:rPr>
          <w:sz w:val="20"/>
          <w:szCs w:val="20"/>
          <w:color w:val="auto"/>
        </w:rPr>
      </w:pPr>
      <w:r>
        <w:rPr>
          <w:rFonts w:ascii="Times New Roman" w:cs="Times New Roman" w:eastAsia="Times New Roman" w:hAnsi="Times New Roman"/>
          <w:sz w:val="14"/>
          <w:szCs w:val="14"/>
          <w:color w:val="auto"/>
        </w:rPr>
        <w:t>As of May 1, 2026, there were 241,973,011 shares of our common stock outstanding, which include the Commitment Shares. Although the Purchase Agreement provides that we may sell up to an aggregate of $25 million of our common stock to Lincoln Park, 32,914,599 shares of our common stock are being registered under the Securities Act for resale by Lincoln Park under the registration statement that includes this prospectus, which represents the 447,067 Commitment Shares that we issued to Lincoln Park on April 16, 2026 as a fee for making its irrevocable commitment to purchase our common stock at our direction under the Purchase Agreement and an additional 32,467,532 shares of our common stock that we may issue and sell to Lincoln Park as Purchase Shares from and after the Commencement under the Purchase Agreement, if and when we elect to sell shares of our common stock to Lincoln Park under the Purchase Agreement. Depending on the market prices of our common stock at the time we elect to issue and sell shares of our common stock to Lincoln Park under the Purchase Agreement, we may need to register under the Securities Act for resale by Lincoln Park additional shares of our common stock in order to receive aggregate gross proceeds equal to the $25 million total commitment available to us under the Purchase Agreement. If, in addition to the 447,067 Commitment Shares that we have issued or will issue to Lincoln Park, all of the 32,467,532 shares of our common stock that we may elect to issue and sell to Lincoln Park in the future as Purchase Shares that are being registered under the Securities Act for resale by Lincoln Park in the registration statement that includes this prospectus were issued and outstanding (without taking into account the Beneficial Ownership Cap limitations described below), such shares of our common stock, together with the 447,067 Commitment Shares would represent approximately 11.99% of the total number of shares of our common stock outstanding as of May 1, 2026 including all of the shares potentially issued to Lincoln Park under this Purchase Agreement. If we elect to issue and sell to Lincoln Park under the Purchase Agreement more than the 32,467,532 shares of our common stock that we may elect to issue and sell to Lincoln Park in the future as Purchase Shares that are being registered under the Securities Act for resale by Lincoln Park in the registration statement that includes this prospectus, which we have the right, but not the obligation, to do, we must first register under the Securities Act for resale by Lincoln Park any such additional shares of our common stock, which could cause additional substantial dilution to our stockholders. The number of shares of our common stock ultimately offered for resale by Lincoln Park is dependent upon the number of shares of our common stock we ultimately decide to sell to Lincoln Park under the Purchase Agreement.</w:t>
      </w:r>
    </w:p>
    <w:p>
      <w:pPr>
        <w:spacing w:after="0" w:line="317"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The Purchase Agreement also prohibits us from directing Lincoln Park to purchase any shares of our common stock if those shares of our common stock, when aggregated with all other shares of our common stock then beneficially owned by Lincoln Park and its affiliates, would result in Lincoln Park having beneficial ownership, at any single point in time, of more than 4.99% of the then total outstanding shares of our common stock, as calculated pursuant to Section 13(d) of the Exchange Act and Rule 13d-3 thereunder, which limitation we refer to as the Beneficial Ownership Cap.</w:t>
      </w:r>
    </w:p>
    <w:p>
      <w:pPr>
        <w:spacing w:after="0" w:line="137" w:lineRule="exact"/>
        <w:rPr>
          <w:sz w:val="20"/>
          <w:szCs w:val="20"/>
          <w:color w:val="auto"/>
        </w:rPr>
      </w:pPr>
    </w:p>
    <w:p>
      <w:pPr>
        <w:jc w:val="both"/>
        <w:ind w:firstLine="254"/>
        <w:spacing w:after="0" w:line="261" w:lineRule="auto"/>
        <w:rPr>
          <w:sz w:val="20"/>
          <w:szCs w:val="20"/>
          <w:color w:val="auto"/>
        </w:rPr>
      </w:pPr>
      <w:r>
        <w:rPr>
          <w:rFonts w:ascii="Times New Roman" w:cs="Times New Roman" w:eastAsia="Times New Roman" w:hAnsi="Times New Roman"/>
          <w:sz w:val="14"/>
          <w:szCs w:val="14"/>
          <w:color w:val="auto"/>
        </w:rPr>
        <w:t>Issuances of our common stock to Lincoln Park under the Purchase Agreement will not affect the rights or privileges of our existing stockholders, except that the economic and voting interests of each of our existing stockholders will be diluted as a result of any such issuance. Although the number of shares of our common stock that our existing stockholders own will not decrease, the shares of our common stock owned by our existing stockholders will represent a smaller percentage of our total outstanding shares of our common stock after any such issuance of shares of our common stock to Lincoln Park under the Purchase Agreement. There are substantial risks to our stockholders as a result of the sale and issuance of common stock to Lincoln Park under the Purchase Agreement. See “Risk Factors.”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of Shares of our Common Stock Under the Purchase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Regular Purchases</w:t>
      </w:r>
    </w:p>
    <w:p>
      <w:pPr>
        <w:spacing w:after="0" w:line="180" w:lineRule="exact"/>
        <w:rPr>
          <w:sz w:val="20"/>
          <w:szCs w:val="20"/>
          <w:color w:val="auto"/>
        </w:rPr>
      </w:pPr>
    </w:p>
    <w:p>
      <w:pPr>
        <w:jc w:val="both"/>
        <w:ind w:firstLine="254"/>
        <w:spacing w:after="0" w:line="257" w:lineRule="auto"/>
        <w:rPr>
          <w:sz w:val="20"/>
          <w:szCs w:val="20"/>
          <w:color w:val="auto"/>
        </w:rPr>
      </w:pPr>
      <w:r>
        <w:rPr>
          <w:rFonts w:ascii="Times New Roman" w:cs="Times New Roman" w:eastAsia="Times New Roman" w:hAnsi="Times New Roman"/>
          <w:sz w:val="14"/>
          <w:szCs w:val="14"/>
          <w:color w:val="auto"/>
        </w:rPr>
        <w:t>From and after the Commencement Date, provided the last closing sale price of our common stock on the applicable “regular purchase date” (as defined in the Purchase Agreement) is greater than $0.10 (and provided all shares of common stock subject to all prior Regular Purchases have been properly delivered to Lincoln Park in accordance with the Purchase Agreement), we may, by written notice delivered by us to Lincoln Park within the time periods on such Regular Purchase Date, direct Lincoln Park to purchase up to 150,000 shares of our common stock in a Regular Purchase; provided that this amount shall be increased to (i) up to 175,000 shares of our common stock, if the closing sale price of our common stock on the applicable Regular Purchase Date is not below $0.50, (ii) up to 225,000 shares of our common stock, if the closing sale price of our common stock on the applicable Regular Purchase Date is not below $0.75, and (iii) up to 275,000 shares of our common stock, if the closing sale price of our common stock on the applicable Regular Purchase Date is not below $1.00 (all of which share and dollar amounts shall be appropriately proportionately adjusted for any reorganization, recapitalization, non-cash dividend, stock split or other similar transaction) (such share amount limitation, the “Regular Purchase Share Limit”). In no event will Lincoln Park’s committed obligation under any single Regular Purchase exceed $500,000.</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purchase price per share for each Regular Purchase will be 97.0% of the lower of:</w:t>
      </w:r>
    </w:p>
    <w:p>
      <w:pPr>
        <w:spacing w:after="0" w:line="178" w:lineRule="exact"/>
        <w:rPr>
          <w:sz w:val="20"/>
          <w:szCs w:val="20"/>
          <w:color w:val="auto"/>
        </w:rPr>
      </w:pPr>
    </w:p>
    <w:p>
      <w:pPr>
        <w:ind w:left="520" w:hanging="261"/>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lowest sale price for our common stock on the applicable Regular Purchase Date for such shares of our common stock; and</w:t>
      </w:r>
    </w:p>
    <w:p>
      <w:pPr>
        <w:spacing w:after="0" w:line="29" w:lineRule="exact"/>
        <w:rPr>
          <w:rFonts w:ascii="Times New Roman" w:cs="Times New Roman" w:eastAsia="Times New Roman" w:hAnsi="Times New Roman"/>
          <w:sz w:val="14"/>
          <w:szCs w:val="14"/>
          <w:color w:val="auto"/>
        </w:rPr>
      </w:pPr>
    </w:p>
    <w:p>
      <w:pPr>
        <w:ind w:left="520" w:right="20" w:hanging="261"/>
        <w:spacing w:after="0" w:line="286" w:lineRule="auto"/>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of the three lowest closing sale prices of our common stock during the 10-business day period immediately preceding the applicable Regular Purchase Date for such shares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Accelerated Purchases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In addition to Regular Purchases described above, we may also direct Lincoln Park, on any Regular Purchase Date on which we have properly submitted a Regular Purchase notice directing Lincoln Park to purchase the maximum number of shares of our common stock that we are then permitted to include in a single Regular Purchase notice (and provided all shares of common stock subject to all prior Regular Purchases, Accelerated Purchases and Additional Accelerated Purchases effected prior to such Regular Purchase Date have been properly delivered to Lincoln Park in accordance with the Purchase Agreement), to purchase an additional amount of our common stock, which we refer to as an “Accelerated Purchase”, on the business day immediately following the applicable Regular Purchase Date for such corresponding Regular Purchase, which we refer to as the “Accelerated Purchase Date,” not to exceed the lesser of:</w:t>
      </w:r>
    </w:p>
    <w:p>
      <w:pPr>
        <w:spacing w:after="0" w:line="142" w:lineRule="exact"/>
        <w:rPr>
          <w:sz w:val="20"/>
          <w:szCs w:val="20"/>
          <w:color w:val="auto"/>
        </w:rPr>
      </w:pPr>
    </w:p>
    <w:p>
      <w:pPr>
        <w:ind w:right="80" w:firstLine="5"/>
        <w:spacing w:after="0" w:line="269" w:lineRule="auto"/>
        <w:tabs>
          <w:tab w:leader="none" w:pos="19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of the aggregate number of shares of our common stock traded during all or, if certain trading volume or market price thresholds specified in the Purchase Agreement are crossed on the applicable Accelerated Purchase Date, the portion of the normal trading hours on the applicable Accelerated Purchase Date prior to such time that any one of such thresholds is crossed, which period of time on the applicable Accelerated Purchase Date we refer to herein as the “Accelerated Purchase Period”; and</w:t>
      </w:r>
    </w:p>
    <w:p>
      <w:pPr>
        <w:spacing w:after="0" w:line="137"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 of the number of purchase shares purchased pursuant to the corresponding Regular Purchase.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purchase price per share for the shares subject to an Accelerated Purchase will be equal to 97% of the lower of:</w:t>
      </w:r>
    </w:p>
    <w:p>
      <w:pPr>
        <w:spacing w:after="0" w:line="178" w:lineRule="exact"/>
        <w:rPr>
          <w:sz w:val="20"/>
          <w:szCs w:val="20"/>
          <w:color w:val="auto"/>
        </w:rPr>
      </w:pPr>
    </w:p>
    <w:p>
      <w:pPr>
        <w:ind w:left="240" w:hanging="235"/>
        <w:spacing w:after="0"/>
        <w:tabs>
          <w:tab w:leader="none" w:pos="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weighted average price of our common stock during the Accelerated Purchase Period on the applicable Accelerated Purchase Date; and</w:t>
      </w:r>
    </w:p>
    <w:p>
      <w:pPr>
        <w:spacing w:after="0" w:line="178"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sale price of our common stock on the applicable Accelerated Purchase Date.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Additional Accelerated Purchases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We may also direct Lincoln Park, by written notice delivered to Lincoln Park, not later than 1:00 p.m., eastern time, on the same Accelerated Purchase Date on which an Accelerated Purchase Period for an Accelerated Purchase has ended prior to such time (and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 to purchase an additional amount of our common stock on such same Accelerated Purchase Date, which we refer to as an Additional Accelerated Purchase, of up to the lesser of:</w:t>
      </w:r>
    </w:p>
    <w:p>
      <w:pPr>
        <w:spacing w:after="0" w:line="142" w:lineRule="exact"/>
        <w:rPr>
          <w:sz w:val="20"/>
          <w:szCs w:val="20"/>
          <w:color w:val="auto"/>
        </w:rPr>
      </w:pPr>
    </w:p>
    <w:p>
      <w:pPr>
        <w:ind w:right="40" w:firstLine="5"/>
        <w:spacing w:after="0" w:line="286" w:lineRule="auto"/>
        <w:tabs>
          <w:tab w:leader="none" w:pos="22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 of the aggregate number of shares of our common stock traded during the portion of the normal trading hours on the applicable Accelerated Purchase Date determined in accordance with the Purchase Agreement, which period of time on the applicable Accelerated Purchase Date we refer to as the Additional Accelerated Purchase Period; and</w:t>
      </w:r>
    </w:p>
    <w:p>
      <w:pPr>
        <w:spacing w:after="0" w:line="125"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 of the number of purchase shares purchased pursuant to the Regular Purchase corresponding to the Accelerated Purchase effected on such same Accelerated Purchase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purchase price per share for the shares subject to an Additional Accelerated Purchase will be equal to 97% of the lower of:</w:t>
      </w:r>
    </w:p>
    <w:p>
      <w:pPr>
        <w:spacing w:after="0" w:line="178" w:lineRule="exact"/>
        <w:rPr>
          <w:sz w:val="20"/>
          <w:szCs w:val="20"/>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volume weighted average price of our common stock during the applicable Additional Accelerated Purchase Measurement Period for such Additional Accelerated Purchase; and</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sale price of our common stock on the applicable same Accelerated Purchase Date.</w:t>
      </w:r>
    </w:p>
    <w:p>
      <w:pPr>
        <w:spacing w:after="0" w:line="178"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We may, in our sole discretion, submit multiple Additional Accelerated Purchase notices to Lincoln Park prior to 1:00 p.m., eastern time, on a single Accelerated Purchase Date, again provided all shares of common stock subject to all prior Regular Purchases, Accelerated Purchases and Additional Accelerated Purchases, including those prior Accelerated Purchases and Additional Accelerated Purchases effected on the same Accelerated Purchase Date as the applicable Additional Accelerated Purchase, have been properly delivered to Lincoln Park in accordance with the Purchase Agreement prior to such time.</w:t>
      </w:r>
    </w:p>
    <w:p>
      <w:pPr>
        <w:spacing w:after="0" w:line="140" w:lineRule="exact"/>
        <w:rPr>
          <w:sz w:val="20"/>
          <w:szCs w:val="20"/>
          <w:color w:val="auto"/>
        </w:rPr>
      </w:pPr>
    </w:p>
    <w:p>
      <w:pPr>
        <w:jc w:val="both"/>
        <w:ind w:right="200"/>
        <w:spacing w:after="0" w:line="269" w:lineRule="auto"/>
        <w:rPr>
          <w:sz w:val="20"/>
          <w:szCs w:val="20"/>
          <w:color w:val="auto"/>
        </w:rPr>
      </w:pPr>
      <w:r>
        <w:rPr>
          <w:rFonts w:ascii="Times New Roman" w:cs="Times New Roman" w:eastAsia="Times New Roman" w:hAnsi="Times New Roman"/>
          <w:sz w:val="14"/>
          <w:szCs w:val="14"/>
          <w:color w:val="auto"/>
        </w:rPr>
        <w:t>In the case of Regular Purchases, Accelerated Purchases and Additional Accelerated Purchases, the purchase price per share will be equitably adjusted for any reorganization, recapitalization, non-cash dividend, stock split, reverse stock split or other similar transaction occurring during the business days used to compute the purchase price. No Purchase Notices may be delivered at any time when the closing sale price is below $0.10.</w:t>
      </w:r>
    </w:p>
    <w:p>
      <w:pPr>
        <w:spacing w:after="0" w:line="13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Other than as described above, there are no trading volume requirements or restrictions under the Purchase Agreement, and we will control the timing and amount of any sales of our common stock to Lincoln Park.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Suspension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Suspension events under the Purchase Agreement include the following:</w:t>
      </w:r>
    </w:p>
    <w:p>
      <w:pPr>
        <w:spacing w:after="0" w:line="178" w:lineRule="exact"/>
        <w:rPr>
          <w:sz w:val="20"/>
          <w:szCs w:val="20"/>
          <w:color w:val="auto"/>
        </w:rPr>
      </w:pPr>
    </w:p>
    <w:p>
      <w:pPr>
        <w:ind w:right="20" w:firstLine="5"/>
        <w:spacing w:after="0" w:line="269" w:lineRule="auto"/>
        <w:tabs>
          <w:tab w:leader="none" w:pos="22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registration statement of which this prospectus forms a part lapses for any reason (including, without limitation, the issuance of a stop order), or any required prospectus supplement and accompanying prospectus are unavailable for the resale by Lincoln Park of our common stock offered hereby, and such lapse or unavailability continues for a period of 10 consecutive business days or for more than an aggregate of 30 business days in any 365-day period;</w:t>
      </w:r>
    </w:p>
    <w:p>
      <w:pPr>
        <w:spacing w:after="0" w:line="137"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by our principal market of our common stock from trading for a period of one business day;</w:t>
      </w:r>
    </w:p>
    <w:p>
      <w:pPr>
        <w:spacing w:after="0" w:line="178" w:lineRule="exact"/>
        <w:rPr>
          <w:rFonts w:ascii="Times New Roman" w:cs="Times New Roman" w:eastAsia="Times New Roman" w:hAnsi="Times New Roman"/>
          <w:sz w:val="14"/>
          <w:szCs w:val="14"/>
          <w:color w:val="auto"/>
        </w:rPr>
      </w:pPr>
    </w:p>
    <w:p>
      <w:pPr>
        <w:ind w:firstLine="5"/>
        <w:spacing w:after="0" w:line="269" w:lineRule="auto"/>
        <w:tabs>
          <w:tab w:leader="none" w:pos="22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delisting of our common stock from the OTCQX operated by OTC Markets Group, Inc., our principal market, provided our common stock is not immediately thereafter trading on The Nasdaq Capital Market, The Nasdaq Global Market, The Nasdaq Global Select Market, the New York Stock Exchange, the NYSE American, the NYSE Arca, or the OTCQB (or any nationally recognized successor to any of the foregoing);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60" w:firstLine="5"/>
        <w:spacing w:after="0" w:line="286" w:lineRule="auto"/>
        <w:tabs>
          <w:tab w:leader="none" w:pos="22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transfer agent to issue to Lincoln Park shares of our common stock within two business days after the applicable date on which Lincoln Park is entitled to receive such shares of our common stock;</w:t>
      </w:r>
    </w:p>
    <w:p>
      <w:pPr>
        <w:spacing w:after="0" w:line="125" w:lineRule="exact"/>
        <w:rPr>
          <w:rFonts w:ascii="Times New Roman" w:cs="Times New Roman" w:eastAsia="Times New Roman" w:hAnsi="Times New Roman"/>
          <w:sz w:val="14"/>
          <w:szCs w:val="14"/>
          <w:color w:val="auto"/>
        </w:rPr>
      </w:pPr>
    </w:p>
    <w:p>
      <w:pPr>
        <w:ind w:right="80" w:firstLine="5"/>
        <w:spacing w:after="0" w:line="286" w:lineRule="auto"/>
        <w:tabs>
          <w:tab w:leader="none" w:pos="226"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representations or warranties or covenants contained in the Purchase Agreement or Registration Rights Agreement that has or could have a material adverse effect on us and, in the case of a breach of a covenant that is reasonably curable, that is not cured within five business days;</w:t>
      </w:r>
    </w:p>
    <w:p>
      <w:pPr>
        <w:spacing w:after="0" w:line="125"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voluntary or involuntary participation or threatened participation in insolvency or bankruptcy proceedings by or against us;</w:t>
      </w:r>
    </w:p>
    <w:p>
      <w:pPr>
        <w:spacing w:after="0" w:line="178"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we are not eligible to transfer our common stock electronically; or</w:t>
      </w:r>
    </w:p>
    <w:p>
      <w:pPr>
        <w:spacing w:after="0" w:line="178" w:lineRule="exact"/>
        <w:rPr>
          <w:rFonts w:ascii="Times New Roman" w:cs="Times New Roman" w:eastAsia="Times New Roman" w:hAnsi="Times New Roman"/>
          <w:sz w:val="14"/>
          <w:szCs w:val="14"/>
          <w:color w:val="auto"/>
        </w:rPr>
      </w:pPr>
    </w:p>
    <w:p>
      <w:pPr>
        <w:ind w:left="240" w:hanging="235"/>
        <w:spacing w:after="0"/>
        <w:tabs>
          <w:tab w:leader="none" w:pos="2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Lincoln Park’s broker is unable to accept shares of our common stock for deposit for reasons not within Lincoln Park’s control.</w:t>
      </w:r>
    </w:p>
    <w:p>
      <w:pPr>
        <w:spacing w:after="0" w:line="178" w:lineRule="exact"/>
        <w:rPr>
          <w:sz w:val="20"/>
          <w:szCs w:val="20"/>
          <w:color w:val="auto"/>
        </w:rPr>
      </w:pPr>
    </w:p>
    <w:p>
      <w:pPr>
        <w:ind w:right="140" w:firstLine="254"/>
        <w:spacing w:after="0" w:line="264" w:lineRule="auto"/>
        <w:rPr>
          <w:sz w:val="20"/>
          <w:szCs w:val="20"/>
          <w:color w:val="auto"/>
        </w:rPr>
      </w:pPr>
      <w:r>
        <w:rPr>
          <w:rFonts w:ascii="Times New Roman" w:cs="Times New Roman" w:eastAsia="Times New Roman" w:hAnsi="Times New Roman"/>
          <w:sz w:val="14"/>
          <w:szCs w:val="14"/>
          <w:color w:val="auto"/>
        </w:rPr>
        <w:t>Following the Commencement Date, Lincoln Park does not have the right to terminate the Purchase Agreement upon any of the suspension events set forth above, although the Purchase Agreement would automatically terminate in the event of any voluntary or involuntary participation or threatened participation in insolvency or bankruptcy proceedings by or against us that are not discharged within 90 days. So long as a suspension event has occurred and is continuing, or if any event which, after notice and/or lapse of time, would reasonably be expected to become a suspension event has occurred and is continuing, we may not direct Lincoln Park to purchase any shares of our common stock under the Purchase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Termination Rights</w:t>
      </w:r>
    </w:p>
    <w:p>
      <w:pPr>
        <w:spacing w:after="0" w:line="180" w:lineRule="exact"/>
        <w:rPr>
          <w:sz w:val="20"/>
          <w:szCs w:val="20"/>
          <w:color w:val="auto"/>
        </w:rPr>
      </w:pPr>
    </w:p>
    <w:p>
      <w:pPr>
        <w:ind w:right="400" w:firstLine="254"/>
        <w:spacing w:after="0" w:line="264" w:lineRule="auto"/>
        <w:rPr>
          <w:sz w:val="20"/>
          <w:szCs w:val="20"/>
          <w:color w:val="auto"/>
        </w:rPr>
      </w:pPr>
      <w:r>
        <w:rPr>
          <w:rFonts w:ascii="Times New Roman" w:cs="Times New Roman" w:eastAsia="Times New Roman" w:hAnsi="Times New Roman"/>
          <w:sz w:val="14"/>
          <w:szCs w:val="14"/>
          <w:color w:val="auto"/>
        </w:rPr>
        <w:t>We have the unconditional right, at any time, for any reason and without any payment or liability to us, to terminate the Purchase Agreement following the Commencement Date upon one business day’s prior written notice to Lincoln Park. In the event of any voluntary or involuntary bankruptcy proceedings by or against us that are not discharged within 90 days, the Purchase Agreement would automatically terminate without any action by us or Lincoln Park. No termination of the Purchase Agreement will be effective during the pendency of any Regular Purchase, Accelerated Purchase or Additional Accelerated Purchase that has not then fully settled in accordance with the Purchase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Short-Selling or Hedging by Lincoln Park</w:t>
      </w:r>
    </w:p>
    <w:p>
      <w:pPr>
        <w:spacing w:after="0" w:line="18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Lincoln Park has represented to us that at no time prior to the time of execution of the Purchase Agreement has Lincoln Park or its agents, representatives or affiliates engaged in or effected, in any manner whatsoever, directly or indirectly, any short sale (as such term is defined in Rule 200 of Regulation SHO under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Prohibitions on Certain Substantially Similar Transactions</w:t>
      </w:r>
    </w:p>
    <w:p>
      <w:pPr>
        <w:spacing w:after="0" w:line="180" w:lineRule="exact"/>
        <w:rPr>
          <w:sz w:val="20"/>
          <w:szCs w:val="20"/>
          <w:color w:val="auto"/>
        </w:rPr>
      </w:pPr>
    </w:p>
    <w:p>
      <w:pPr>
        <w:ind w:right="60" w:firstLine="254"/>
        <w:spacing w:after="0" w:line="269" w:lineRule="auto"/>
        <w:rPr>
          <w:sz w:val="20"/>
          <w:szCs w:val="20"/>
          <w:color w:val="auto"/>
        </w:rPr>
      </w:pPr>
      <w:r>
        <w:rPr>
          <w:rFonts w:ascii="Times New Roman" w:cs="Times New Roman" w:eastAsia="Times New Roman" w:hAnsi="Times New Roman"/>
          <w:sz w:val="14"/>
          <w:szCs w:val="14"/>
          <w:color w:val="auto"/>
        </w:rPr>
        <w:t>There are no restrictions on future financings, rights of first refusal, participation rights, penalties or liquidated damages in the Purchase Agreement or Registration Rights Agreement, except we are prohibited (with certain specified exceptions set forth in the Purchase Agreement) from effecting or entering into an agreement to effect an “equity line of credit” or other substantially similar offering whereby an investor is irrevocably bound to purchase securities over a period of time from us at a price based on the market price of our common stock at the time of each such purchase.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Effect of Performance of the Purchase Agreement on Our Stockholders</w:t>
      </w:r>
    </w:p>
    <w:p>
      <w:pPr>
        <w:spacing w:after="0" w:line="180"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All of the shares of our common stock being registered for resale hereunder which have been or may be issued or sold by us to Lincoln Park under the Purchase Agreement are expected to be freely tradable. It is anticipated that shares registered in this offering will be sold from time to time over a period of up to 24-months commencing on the date that the registration statement of which this prospectus forms a part becomes effective, provided that all other conditions set forth in the Purchase Agreement have been satisfied. The sale by Lincoln Park of a significant number of shares of our common stock registered in this offering at any given time could cause the market price of our common stock to decline and to be highly volatile. Sales of our common stock to Lincoln Park, if any, will depend upon market conditions and other factors to be determined by us. We may ultimately decide to sell to Lincoln Park all, some or none of the additional shares of our common stock that may be available for us to sell pursuant to the Purchase Agreement. If and when we do sell additional shares of our common stock to Lincoln Park, after Lincoln Park has acquired the shares of our common stock, Lincoln Park may resell all, some or none of those shares of our common stock at any time or from time to time in its discretion. Therefore, sales to Lincoln Park by us under the Purchase Agreement may result in substantial dilution to the interests of other holders of our common stock. In addition, if we sell a substantial number of shares of our common stock to Lincoln Park under the Purchase Agreement, or if investors expect that we will do so, the actual sales of shares of our common stock or the mere existence of our arrangement with Lincoln Park may make it more difficult for us to sell equity or equity-related securities in the future at a time and at a price that we might otherwise wish to effect such sales. However, we have the right to control the timing and amount of any additional sales of our common stock to Lincoln Park and the Purchase Agreement may be terminated by us at any time at our discretion without any cost to us.</w:t>
      </w:r>
    </w:p>
    <w:p>
      <w:pPr>
        <w:spacing w:after="0" w:line="146"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Pursuant to the terms of the Purchase Agreement, from and after Commencement, we have the right, but not the obligation, from time to time to direct Lincoln Park to purchase up to $25 million of our common stock. Depending on the price per share at which we sell our common stock to Lincoln Park pursuant to the Purchase Agreement, we may need to sell to Lincoln Park under the Purchase Agreement more shares of our common stock than are being offered under this prospectus in order to receive aggregate gross proceeds equal to the $25 million total commitment available to us under the Purchase Agreement. If we choose to do so, we must first register for resale under the Securities Act such additional shares of our common stock, which could cause additional substantial dilution to our stockholders. The number of shares of our common stock ultimately offered for resale by Lincoln Park under this prospectus is dependent upon the number of shares of our common stock we direct Lincoln Park to purchase under the Purchase Agreement.</w:t>
      </w:r>
    </w:p>
    <w:p>
      <w:pPr>
        <w:spacing w:after="0" w:line="145" w:lineRule="exact"/>
        <w:rPr>
          <w:sz w:val="20"/>
          <w:szCs w:val="20"/>
          <w:color w:val="auto"/>
        </w:rPr>
      </w:pPr>
    </w:p>
    <w:p>
      <w:pPr>
        <w:ind w:right="460" w:firstLine="254"/>
        <w:spacing w:after="0" w:line="286" w:lineRule="auto"/>
        <w:rPr>
          <w:sz w:val="20"/>
          <w:szCs w:val="20"/>
          <w:color w:val="auto"/>
        </w:rPr>
      </w:pPr>
      <w:r>
        <w:rPr>
          <w:rFonts w:ascii="Times New Roman" w:cs="Times New Roman" w:eastAsia="Times New Roman" w:hAnsi="Times New Roman"/>
          <w:sz w:val="14"/>
          <w:szCs w:val="14"/>
          <w:color w:val="auto"/>
        </w:rPr>
        <w:t>The following table sets forth the amount of gross proceeds we would receive from Lincoln Park from our sale of common stock to Lincoln Park under the Purchase Agreement at varying purchase prices: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of our</w:t>
            </w:r>
          </w:p>
        </w:tc>
        <w:tc>
          <w:tcPr>
            <w:tcW w:w="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 of Registered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Gross Proceeds from the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Shares of our</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After</w:t>
            </w:r>
          </w:p>
        </w:tc>
        <w:tc>
          <w:tcPr>
            <w:tcW w:w="2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Sale of Shares of our</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 to be</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Giving Effect to</w:t>
            </w:r>
          </w:p>
        </w:tc>
        <w:tc>
          <w:tcPr>
            <w:tcW w:w="2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Common Stock to Lincoln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Issued if Full</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Issuance to</w:t>
            </w:r>
          </w:p>
        </w:tc>
        <w:tc>
          <w:tcPr>
            <w:tcW w:w="24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Park Under the</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16"/>
        </w:trPr>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 </w:t>
            </w:r>
            <w:r>
              <w:rPr>
                <w:rFonts w:ascii="Times New Roman" w:cs="Times New Roman" w:eastAsia="Times New Roman" w:hAnsi="Times New Roman"/>
                <w:sz w:val="23"/>
                <w:szCs w:val="23"/>
                <w:b w:val="1"/>
                <w:bCs w:val="1"/>
                <w:color w:val="auto"/>
                <w:vertAlign w:val="superscript"/>
              </w:rPr>
              <w:t>(1)</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Lincoln Park </w:t>
            </w:r>
            <w:r>
              <w:rPr>
                <w:rFonts w:ascii="Times New Roman" w:cs="Times New Roman" w:eastAsia="Times New Roman" w:hAnsi="Times New Roman"/>
                <w:sz w:val="23"/>
                <w:szCs w:val="23"/>
                <w:b w:val="1"/>
                <w:bCs w:val="1"/>
                <w:color w:val="auto"/>
                <w:vertAlign w:val="superscript"/>
              </w:rPr>
              <w:t>(2)</w:t>
            </w:r>
          </w:p>
        </w:tc>
        <w:tc>
          <w:tcPr>
            <w:tcW w:w="24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Purchase Agreement </w:t>
            </w:r>
            <w:r>
              <w:rPr>
                <w:rFonts w:ascii="Times New Roman" w:cs="Times New Roman" w:eastAsia="Times New Roman" w:hAnsi="Times New Roman"/>
                <w:sz w:val="23"/>
                <w:szCs w:val="23"/>
                <w:b w:val="1"/>
                <w:bCs w:val="1"/>
                <w:color w:val="auto"/>
                <w:vertAlign w:val="superscript"/>
              </w:rPr>
              <w:t>(1)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0"/>
        </w:trPr>
        <w:tc>
          <w:tcPr>
            <w:tcW w:w="1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16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89"/>
              </w:rPr>
              <w:t>0.25</w:t>
            </w:r>
          </w:p>
        </w:tc>
        <w:tc>
          <w:tcPr>
            <w:tcW w:w="2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32,467,532</w:t>
            </w:r>
          </w:p>
        </w:tc>
        <w:tc>
          <w:tcPr>
            <w:tcW w:w="180" w:type="dxa"/>
            <w:vAlign w:val="bottom"/>
            <w:shd w:val="clear" w:color="auto" w:fill="CCEEFF"/>
          </w:tcPr>
          <w:p>
            <w:pPr>
              <w:spacing w:after="0"/>
              <w:rPr>
                <w:sz w:val="13"/>
                <w:szCs w:val="13"/>
                <w:color w:val="auto"/>
              </w:rPr>
            </w:pPr>
          </w:p>
        </w:tc>
        <w:tc>
          <w:tcPr>
            <w:tcW w:w="252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11.83%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8,116,883</w:t>
            </w:r>
          </w:p>
        </w:tc>
        <w:tc>
          <w:tcPr>
            <w:tcW w:w="80" w:type="dxa"/>
            <w:vAlign w:val="bottom"/>
            <w:shd w:val="clear" w:color="auto" w:fill="CCEEFF"/>
          </w:tcPr>
          <w:p>
            <w:pPr>
              <w:spacing w:after="0"/>
              <w:rPr>
                <w:sz w:val="13"/>
                <w:szCs w:val="13"/>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0.50</w:t>
            </w:r>
          </w:p>
        </w:tc>
        <w:tc>
          <w:tcPr>
            <w:tcW w:w="16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32,467,532</w:t>
            </w:r>
          </w:p>
        </w:tc>
        <w:tc>
          <w:tcPr>
            <w:tcW w:w="25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7"/>
              </w:rPr>
              <w:t>11.83%</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16,233,766</w:t>
            </w:r>
          </w:p>
        </w:tc>
        <w:tc>
          <w:tcPr>
            <w:tcW w:w="80" w:type="dxa"/>
            <w:vAlign w:val="bottom"/>
          </w:tcPr>
          <w:p>
            <w:pPr>
              <w:spacing w:after="0"/>
              <w:rPr>
                <w:sz w:val="14"/>
                <w:szCs w:val="14"/>
                <w:color w:val="auto"/>
              </w:rPr>
            </w:pPr>
          </w:p>
        </w:tc>
      </w:tr>
      <w:tr>
        <w:trPr>
          <w:trHeight w:val="17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00"/>
              <w:spacing w:after="0" w:line="170" w:lineRule="exact"/>
              <w:rPr>
                <w:sz w:val="20"/>
                <w:szCs w:val="20"/>
                <w:color w:val="auto"/>
              </w:rPr>
            </w:pPr>
            <w:r>
              <w:rPr>
                <w:rFonts w:ascii="Times New Roman" w:cs="Times New Roman" w:eastAsia="Times New Roman" w:hAnsi="Times New Roman"/>
                <w:sz w:val="12"/>
                <w:szCs w:val="12"/>
                <w:color w:val="auto"/>
              </w:rPr>
              <w:t>0.77</w:t>
            </w:r>
            <w:r>
              <w:rPr>
                <w:rFonts w:ascii="Times New Roman" w:cs="Times New Roman" w:eastAsia="Times New Roman" w:hAnsi="Times New Roman"/>
                <w:sz w:val="19"/>
                <w:szCs w:val="19"/>
                <w:color w:val="auto"/>
                <w:vertAlign w:val="superscript"/>
              </w:rPr>
              <w:t>(3)</w:t>
            </w:r>
          </w:p>
        </w:tc>
        <w:tc>
          <w:tcPr>
            <w:tcW w:w="16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32,467,532</w:t>
            </w:r>
          </w:p>
        </w:tc>
        <w:tc>
          <w:tcPr>
            <w:tcW w:w="2520" w:type="dxa"/>
            <w:vAlign w:val="bottom"/>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w w:val="97"/>
              </w:rPr>
              <w:t>11.83%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shd w:val="clear" w:color="auto" w:fill="CCEEFF"/>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1.00</w:t>
            </w:r>
          </w:p>
        </w:tc>
        <w:tc>
          <w:tcPr>
            <w:tcW w:w="160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25,000,000</w:t>
            </w:r>
          </w:p>
        </w:tc>
        <w:tc>
          <w:tcPr>
            <w:tcW w:w="252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9"/>
              </w:rPr>
              <w:t>9.36%</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tcPr>
          <w:p>
            <w:pPr>
              <w:spacing w:after="0"/>
              <w:rPr>
                <w:sz w:val="14"/>
                <w:szCs w:val="14"/>
                <w:color w:val="auto"/>
              </w:rPr>
            </w:pPr>
          </w:p>
        </w:tc>
      </w:tr>
      <w:tr>
        <w:trPr>
          <w:trHeight w:val="170"/>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1.25</w:t>
            </w:r>
          </w:p>
        </w:tc>
        <w:tc>
          <w:tcPr>
            <w:tcW w:w="16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20,000,000</w:t>
            </w:r>
          </w:p>
        </w:tc>
        <w:tc>
          <w:tcPr>
            <w:tcW w:w="252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w w:val="99"/>
              </w:rPr>
              <w:t>7.63%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shd w:val="clear" w:color="auto" w:fill="CCEEFF"/>
          </w:tcPr>
          <w:p>
            <w:pPr>
              <w:spacing w:after="0"/>
              <w:rPr>
                <w:sz w:val="14"/>
                <w:szCs w:val="14"/>
                <w:color w:val="auto"/>
              </w:rPr>
            </w:pPr>
          </w:p>
        </w:tc>
      </w:tr>
    </w:tbl>
    <w:p>
      <w:pPr>
        <w:spacing w:after="0" w:line="155" w:lineRule="exact"/>
        <w:rPr>
          <w:sz w:val="20"/>
          <w:szCs w:val="20"/>
          <w:color w:val="auto"/>
        </w:rPr>
      </w:pPr>
    </w:p>
    <w:p>
      <w:pPr>
        <w:ind w:left="760" w:hanging="246"/>
        <w:spacing w:after="0" w:line="257" w:lineRule="auto"/>
        <w:tabs>
          <w:tab w:leader="none" w:pos="7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Purchase Agreement provides that we may sell up to $25 million of our common stock to Lincoln Park, we are registering 32,914,599 shares of our common stock for resale under this prospectus, including 447,067 Commitment Shares that we have issued or will issue to Lincoln Park as a fee for making its irrevocable commitment to purchase our common stock under the Purchase Agreement (for which we have not and will not receive any cash consideration), which may or may not cover all the shares of our common stock we ultimately sell to Lincoln Park under the Purchase Agreement, depending on the purchase price per share. Accordingly, the gross proceeds reflected in the rightmost column are calculated by multiplying only the shares of common stock in the second column in from the left that may be issued and sold by us to Lincoln Park in the future as Purchase Shares under the Purchase Agreement that are being registered under the Securities Act for resale by Lincoln Park in the registration statement that includes this prospectus, by the assumed average price per share set forth in the first column on the left, because we have not and will not receive any cash consideration for the 447,067 shares of common stock that we issued or will issue to Lincoln Park as Commitment Shares. The number of registered shares of common stock to be issued reflected in the table does not give effect to the limitations on the amount of shares we may be permitted to issue to Lincoln Park from time to time under the Purchase Agreement as a result of the Beneficial Ownership Cap.</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760" w:right="20" w:hanging="246"/>
        <w:spacing w:after="0" w:line="261" w:lineRule="auto"/>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denominator will be based on 241,973,011 shares of our common stock outstanding as of May 1, 2026 (including the 447,067 Commitment Shares), adjusted to include the shares of our common stock listed in the second column from the left that we would have sold to Lincoln Park as Purchase Shares pursuant to the Purchase Agreement, assuming such Purchase Shares are sold to Lincoln Park at the assumed average purchase price per share set forth in the first column on the left. The numerator will be based on the number of shares of our common stock issuable under the Purchase Agreement at the corresponding assumed average purchase price per share set forth in the first column on the left, without giving effect to the Beneficial Ownership Cap.</w:t>
      </w:r>
    </w:p>
    <w:p>
      <w:pPr>
        <w:spacing w:after="0" w:line="16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sale price per share of our common stock on May 1, 2026</w:t>
      </w: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right="600" w:firstLine="283"/>
        <w:spacing w:after="0" w:line="286" w:lineRule="auto"/>
        <w:rPr>
          <w:sz w:val="20"/>
          <w:szCs w:val="20"/>
          <w:color w:val="auto"/>
        </w:rPr>
      </w:pPr>
      <w:r>
        <w:rPr>
          <w:rFonts w:ascii="Times New Roman" w:cs="Times New Roman" w:eastAsia="Times New Roman" w:hAnsi="Times New Roman"/>
          <w:sz w:val="14"/>
          <w:szCs w:val="14"/>
          <w:color w:val="auto"/>
        </w:rPr>
        <w:t>This prospectus relates to shares of our common stock that may be offered and sold from time to time by Lincoln Park. See “Plan of Distribution” elsewhere in this prospectus for more information. We are not selling any securities under this prospectus and we will not receive any proceeds from the sale of shares by Lincoln Park under this prospectus.</w:t>
      </w:r>
    </w:p>
    <w:p>
      <w:pPr>
        <w:spacing w:after="0" w:line="125" w:lineRule="exact"/>
        <w:rPr>
          <w:sz w:val="20"/>
          <w:szCs w:val="20"/>
          <w:color w:val="auto"/>
        </w:rPr>
      </w:pPr>
    </w:p>
    <w:p>
      <w:pPr>
        <w:jc w:val="both"/>
        <w:ind w:right="80" w:firstLine="283"/>
        <w:spacing w:after="0" w:line="269" w:lineRule="auto"/>
        <w:rPr>
          <w:sz w:val="20"/>
          <w:szCs w:val="20"/>
          <w:color w:val="auto"/>
        </w:rPr>
      </w:pPr>
      <w:r>
        <w:rPr>
          <w:rFonts w:ascii="Times New Roman" w:cs="Times New Roman" w:eastAsia="Times New Roman" w:hAnsi="Times New Roman"/>
          <w:sz w:val="14"/>
          <w:szCs w:val="14"/>
          <w:color w:val="auto"/>
        </w:rPr>
        <w:t>We may receive up to $25 million in aggregate gross proceeds from sales of shares of our common stock we make to Lincoln Park under the Purchase Agreement. We may choose to sell fewer than $25 million in shares of our common stock, or, due to the Beneficial Ownership Cap, we may not be able to sell all $25 million in shares of our common stock under the Purchase Agreement, in which case we would raise less than $25 million in aggregate gross proceeds under the Purchase Agreement. It is also possible that we do not sell any shares under the Purchase Agreement.</w:t>
      </w:r>
    </w:p>
    <w:p>
      <w:pPr>
        <w:spacing w:after="0" w:line="137" w:lineRule="exact"/>
        <w:rPr>
          <w:sz w:val="20"/>
          <w:szCs w:val="20"/>
          <w:color w:val="auto"/>
        </w:rPr>
      </w:pPr>
    </w:p>
    <w:p>
      <w:pPr>
        <w:ind w:right="140" w:firstLine="283"/>
        <w:spacing w:after="0" w:line="259" w:lineRule="auto"/>
        <w:rPr>
          <w:sz w:val="20"/>
          <w:szCs w:val="20"/>
          <w:color w:val="auto"/>
        </w:rPr>
      </w:pPr>
      <w:r>
        <w:rPr>
          <w:rFonts w:ascii="Times New Roman" w:cs="Times New Roman" w:eastAsia="Times New Roman" w:hAnsi="Times New Roman"/>
          <w:sz w:val="14"/>
          <w:szCs w:val="14"/>
          <w:color w:val="auto"/>
        </w:rPr>
        <w:t>We will have broad discretion in the use of the net proceeds from any sale of shares of our common stock to Lincoln Park under the Purchase Agreement. Based upon our current plans and business conditions, we intend to use net proceeds from such sales for working capital and general corporate purposes, which include, but are not limited to, research and development expenses and general and administrative expenses. We have not determined the amount of net proceeds to be used specifically for such purposes. The amounts and timing of our actual expenditures may vary significantly and will depend on numerous factors, including market conditions, cash generated or used by our operations, business developments and opportunities that may arise. We may find it necessary or advisable to use portions of the proceeds we receive from our sale of shares of common stock to Lincoln Park under the Purchase Agreement for other purposes. Pending the use of any net proceeds, we expect to invest the net proceeds in interest-bearing, marketable securities.</w:t>
      </w:r>
    </w:p>
    <w:p>
      <w:pPr>
        <w:spacing w:after="0" w:line="145" w:lineRule="exact"/>
        <w:rPr>
          <w:sz w:val="20"/>
          <w:szCs w:val="20"/>
          <w:color w:val="auto"/>
        </w:rPr>
      </w:pPr>
    </w:p>
    <w:p>
      <w:pPr>
        <w:ind w:firstLine="283"/>
        <w:spacing w:after="0" w:line="286" w:lineRule="auto"/>
        <w:rPr>
          <w:sz w:val="20"/>
          <w:szCs w:val="20"/>
          <w:color w:val="auto"/>
        </w:rPr>
      </w:pPr>
      <w:r>
        <w:rPr>
          <w:rFonts w:ascii="Times New Roman" w:cs="Times New Roman" w:eastAsia="Times New Roman" w:hAnsi="Times New Roman"/>
          <w:sz w:val="14"/>
          <w:szCs w:val="14"/>
          <w:color w:val="auto"/>
        </w:rPr>
        <w:t>We will bear all of the costs, fees and expenses incurred in effecting the registration of the shares covered by this prospectus, including, without limitation, the registration and filing fees, printing fees, and fees and expenses of our counsel and our accountants, but all selling and other expenses incurred by the selling stockholder will be paid by the selling stockholder.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MARKET FOR COMMON STOCK AND DIVIDEND POLICY</w:t>
      </w:r>
    </w:p>
    <w:p>
      <w:pPr>
        <w:spacing w:after="0" w:line="18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Our common stock is traded on the OTCQX under the symbol “VXRT.” The last reported sale price of our common stock on May 7, 2026 on the OTCQX was $0.74 per share. As of May 1, 2026, there were 1,355 stockholders of record of our common stock, one of which was Cede &amp; Co., a nominee for Depository Trust Company (“DTC”). The actual number of stockholders is greater than this number of holders of record and includes stockholders who are beneficial owners, but whose shares are held in “street name” by brokerage firms, banks and other financial institutions or nominees.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We have never declared or paid any cash dividend on our common stock. We intend to retain any future earnings and do not expect to pay dividends in the foreseeable future.</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0" w:lineRule="exact"/>
        <w:rPr>
          <w:sz w:val="20"/>
          <w:szCs w:val="20"/>
          <w:color w:val="auto"/>
        </w:rPr>
      </w:pPr>
    </w:p>
    <w:p>
      <w:pPr>
        <w:ind w:right="580" w:firstLine="254"/>
        <w:spacing w:after="0" w:line="286" w:lineRule="auto"/>
        <w:rPr>
          <w:sz w:val="20"/>
          <w:szCs w:val="20"/>
          <w:color w:val="auto"/>
        </w:rPr>
      </w:pPr>
      <w:r>
        <w:rPr>
          <w:rFonts w:ascii="Times New Roman" w:cs="Times New Roman" w:eastAsia="Times New Roman" w:hAnsi="Times New Roman"/>
          <w:sz w:val="14"/>
          <w:szCs w:val="14"/>
          <w:color w:val="auto"/>
        </w:rPr>
        <w:t>Vaxart Biosciences, Inc. was originally incorporated in California under the name West Coast Biologicals, Inc. in March 2004 and changed its name to Vaxart, Inc. (“Private Vaxart”) in July 2007, when it reincorporated in the state of Delaware.</w:t>
      </w:r>
    </w:p>
    <w:p>
      <w:pPr>
        <w:spacing w:after="0" w:line="125" w:lineRule="exact"/>
        <w:rPr>
          <w:sz w:val="20"/>
          <w:szCs w:val="20"/>
          <w:color w:val="auto"/>
        </w:rPr>
      </w:pPr>
    </w:p>
    <w:p>
      <w:pPr>
        <w:ind w:right="220" w:firstLine="254"/>
        <w:spacing w:after="0" w:line="286" w:lineRule="auto"/>
        <w:rPr>
          <w:sz w:val="20"/>
          <w:szCs w:val="20"/>
          <w:color w:val="auto"/>
        </w:rPr>
      </w:pPr>
      <w:r>
        <w:rPr>
          <w:rFonts w:ascii="Times New Roman" w:cs="Times New Roman" w:eastAsia="Times New Roman" w:hAnsi="Times New Roman"/>
          <w:sz w:val="14"/>
          <w:szCs w:val="14"/>
          <w:color w:val="auto"/>
        </w:rPr>
        <w:t>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spacing w:after="0" w:line="125" w:lineRule="exact"/>
        <w:rPr>
          <w:sz w:val="20"/>
          <w:szCs w:val="20"/>
          <w:color w:val="auto"/>
        </w:rPr>
      </w:pPr>
    </w:p>
    <w:p>
      <w:pPr>
        <w:ind w:right="760" w:firstLine="254"/>
        <w:spacing w:after="0" w:line="286" w:lineRule="auto"/>
        <w:rPr>
          <w:sz w:val="20"/>
          <w:szCs w:val="20"/>
          <w:color w:val="auto"/>
        </w:rPr>
      </w:pPr>
      <w:r>
        <w:rPr>
          <w:rFonts w:ascii="Times New Roman" w:cs="Times New Roman" w:eastAsia="Times New Roman" w:hAnsi="Times New Roman"/>
          <w:sz w:val="14"/>
          <w:szCs w:val="14"/>
          <w:color w:val="auto"/>
        </w:rPr>
        <w:t>We are a clinical-stage biotechnology company primarily focused on the development of oral recombinant vaccines based on our Vector-Adjuvant-Antigen Standardized Technology (“VAAST”) proprietary oral vaccine platform.</w:t>
      </w:r>
    </w:p>
    <w:p>
      <w:pPr>
        <w:spacing w:after="0" w:line="125" w:lineRule="exact"/>
        <w:rPr>
          <w:sz w:val="20"/>
          <w:szCs w:val="20"/>
          <w:color w:val="auto"/>
        </w:rPr>
      </w:pPr>
    </w:p>
    <w:p>
      <w:pPr>
        <w:ind w:right="20" w:firstLine="254"/>
        <w:spacing w:after="0" w:line="269" w:lineRule="auto"/>
        <w:rPr>
          <w:sz w:val="20"/>
          <w:szCs w:val="20"/>
          <w:color w:val="auto"/>
        </w:rPr>
      </w:pPr>
      <w:r>
        <w:rPr>
          <w:rFonts w:ascii="Times New Roman" w:cs="Times New Roman" w:eastAsia="Times New Roman" w:hAnsi="Times New Roman"/>
          <w:sz w:val="14"/>
          <w:szCs w:val="14"/>
          <w:color w:val="auto"/>
        </w:rPr>
        <w:t>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believe our oral tablet vaccine candidates offer important advantages:</w:t>
      </w:r>
    </w:p>
    <w:p>
      <w:pPr>
        <w:spacing w:after="0" w:line="178" w:lineRule="exact"/>
        <w:rPr>
          <w:sz w:val="20"/>
          <w:szCs w:val="20"/>
          <w:color w:val="auto"/>
        </w:rPr>
      </w:pPr>
    </w:p>
    <w:p>
      <w:pPr>
        <w:ind w:right="240" w:firstLine="254"/>
        <w:spacing w:after="0" w:line="286" w:lineRule="auto"/>
        <w:rPr>
          <w:sz w:val="20"/>
          <w:szCs w:val="20"/>
          <w:color w:val="auto"/>
        </w:rPr>
      </w:pPr>
      <w:r>
        <w:rPr>
          <w:rFonts w:ascii="Times New Roman" w:cs="Times New Roman" w:eastAsia="Times New Roman" w:hAnsi="Times New Roman"/>
          <w:sz w:val="14"/>
          <w:szCs w:val="14"/>
          <w:color w:val="auto"/>
        </w:rPr>
        <w:t>First, they are designed to generate broad and durable immune responses, including systemic, mucosal and T cell responses, which may enhance protection against certain infectious diseases, such as norovirus, COVID-19 and influenza, and may have potential clinical benefit for certain cancers and chronic viral infections, such as those caused by HPV.</w:t>
      </w:r>
    </w:p>
    <w:p>
      <w:pPr>
        <w:spacing w:after="0" w:line="125"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Second, our tablet vaccine candidates are designed to provide a more efficient and convenient method of administration, enhance patient acceptance and reduce distribution bottlenecks, which we believe will improve the effectiveness of vaccination campaigns.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Tablet Vaccine Platform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Platform Components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platform technology employs a vector-based approach and consists of the following components:</w:t>
      </w:r>
    </w:p>
    <w:p>
      <w:pPr>
        <w:spacing w:after="0" w:line="178" w:lineRule="exact"/>
        <w:rPr>
          <w:sz w:val="20"/>
          <w:szCs w:val="20"/>
          <w:color w:val="auto"/>
        </w:rPr>
      </w:pPr>
    </w:p>
    <w:p>
      <w:pPr>
        <w:ind w:left="520" w:right="80" w:hanging="261"/>
        <w:spacing w:after="0" w:line="264" w:lineRule="auto"/>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vector, which is a virus used as a carrier to deliver DNA coding for vaccine antigens and an adjuvant selected to activate the immune system. Specifically, we use non-replicating adenovirus type 5 (“Ad5”), which delivers the DNA encoding both the antigen and adjuvant to the cells of the small intestine, where the antigen and adjuvant are co-expressed. Over 200 clinical trials conducted by others have used Ad5 for a wide range of applications, and we believe that using the same adenovirus in our tablet vaccine candidates may reduce regulatory risk because it is known to regulatory authorities.</w:t>
      </w:r>
    </w:p>
    <w:p>
      <w:pPr>
        <w:spacing w:after="0" w:line="139" w:lineRule="exact"/>
        <w:rPr>
          <w:rFonts w:ascii="Times New Roman" w:cs="Times New Roman" w:eastAsia="Times New Roman" w:hAnsi="Times New Roman"/>
          <w:sz w:val="14"/>
          <w:szCs w:val="14"/>
          <w:color w:val="auto"/>
        </w:rPr>
      </w:pPr>
    </w:p>
    <w:p>
      <w:pPr>
        <w:ind w:left="520" w:right="20" w:hanging="261"/>
        <w:spacing w:after="0" w:line="286" w:lineRule="auto"/>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antigen, which is a viral or bacterial protein that stimulates an immune response to the targeted pathogen. Our antigens are encoded in the Ad5 DNA rather than being directly included in the vaccine. We use a different antigen for each of our clinical vaccine candidates.</w:t>
      </w:r>
    </w:p>
    <w:p>
      <w:pPr>
        <w:spacing w:after="0" w:line="125" w:lineRule="exact"/>
        <w:rPr>
          <w:rFonts w:ascii="Times New Roman" w:cs="Times New Roman" w:eastAsia="Times New Roman" w:hAnsi="Times New Roman"/>
          <w:sz w:val="14"/>
          <w:szCs w:val="14"/>
          <w:color w:val="auto"/>
        </w:rPr>
      </w:pPr>
    </w:p>
    <w:p>
      <w:pPr>
        <w:jc w:val="both"/>
        <w:ind w:left="520" w:right="140" w:hanging="261"/>
        <w:spacing w:after="0" w:line="269" w:lineRule="auto"/>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adjuvant, which is a substance that enhances the immune-stimulating properties of the vaccine. We use a short section of double-stranded RNA (“dsRNA”) encoded in the Ad5 DNA as an adjuvant. dsRNA is a Toll-like receptor 3 (“TLR3”) agonist and is recognized by the innate immune system as a signal of a viral infection and thereby triggering it to mount an immune response in defense.</w:t>
      </w:r>
    </w:p>
    <w:p>
      <w:pPr>
        <w:spacing w:after="0" w:line="137"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proprietary enteric-coated tablet, which is designed to deliver the Ad5 vector to the small intestine.</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How Our Tablet Vaccine Candidates Work</w:t>
      </w:r>
    </w:p>
    <w:p>
      <w:pPr>
        <w:spacing w:after="0" w:line="180"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Our tablets are designed to deliver vaccines to the small intestine. The tablets are covered with a protective coating that remains intact in the low-pH environment of the stomach and protects the active ingredient contained in the tablet core from degradation in the stomach. The coating is designed to dissolve in the neutral-pH environment of the small intestine. The tablets disintegrate, and the vaccine is released into the small intestine where it can reach and enter the mucosal cells lining the intestine. Once inside the mucosal cells, the Ad5 vector instructs the cells to manufacture antigen protein and adjuvant. The adjuvant is always produced within the exact same intestinal cells that also produce the antigen, so that no excess adjuvant is produced, resulting in enhanced safety. Importantly, the production of antigens in our approach closely mimics the process of actual infection by a pathogenic virus. In addition, we believe that delivering the replication-incompetent Ad5-vectored vaccine via tablet directly to the gut avoids neutralization by systemic immunity.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Significance of Mucosal Immunity and T Cell Responses</w:t>
      </w:r>
    </w:p>
    <w:p>
      <w:pPr>
        <w:spacing w:after="0" w:line="180" w:lineRule="exact"/>
        <w:rPr>
          <w:sz w:val="20"/>
          <w:szCs w:val="20"/>
          <w:color w:val="auto"/>
        </w:rPr>
      </w:pPr>
    </w:p>
    <w:p>
      <w:pPr>
        <w:ind w:right="80" w:firstLine="254"/>
        <w:spacing w:after="0" w:line="264" w:lineRule="auto"/>
        <w:rPr>
          <w:sz w:val="20"/>
          <w:szCs w:val="20"/>
          <w:color w:val="auto"/>
        </w:rPr>
      </w:pPr>
      <w:r>
        <w:rPr>
          <w:rFonts w:ascii="Times New Roman" w:cs="Times New Roman" w:eastAsia="Times New Roman" w:hAnsi="Times New Roman"/>
          <w:sz w:val="14"/>
          <w:szCs w:val="14"/>
          <w:color w:val="auto"/>
        </w:rPr>
        <w:t>The immune system has developed defenses against pathogens by creating special classes of immune effectors, such as mucosal antibodies directed to wet surfaces and killer T cells that can kill pathogen-infected cells. Most vaccines available today have been developed primarily to elicit blood circulating, or systemic B cell responses, such as serum antibodies. However, there remain many infections, such as norovirus, for which no approved or marketed vaccines exist. These infections and other pathogens may need greater immune responses outside of serum antibodies. These infections largely evade the serum antibody immune response because the pathogen can infect cells that line the mucosal membranes without coming into direct contact with blood.</w:t>
      </w:r>
    </w:p>
    <w:p>
      <w:pPr>
        <w:spacing w:after="0" w:line="140" w:lineRule="exact"/>
        <w:rPr>
          <w:sz w:val="20"/>
          <w:szCs w:val="20"/>
          <w:color w:val="auto"/>
        </w:rPr>
      </w:pPr>
    </w:p>
    <w:p>
      <w:pPr>
        <w:ind w:right="100" w:firstLine="254"/>
        <w:spacing w:after="0" w:line="264" w:lineRule="auto"/>
        <w:rPr>
          <w:sz w:val="20"/>
          <w:szCs w:val="20"/>
          <w:color w:val="auto"/>
        </w:rPr>
      </w:pPr>
      <w:r>
        <w:rPr>
          <w:rFonts w:ascii="Times New Roman" w:cs="Times New Roman" w:eastAsia="Times New Roman" w:hAnsi="Times New Roman"/>
          <w:sz w:val="14"/>
          <w:szCs w:val="14"/>
          <w:color w:val="auto"/>
        </w:rPr>
        <w:t>One of the key benefits of our technology is delivery to the gastrointestinal tract, enabling the vaccine to directly enter the mucosal surface of the intestine and activate the immune system of the gut. Mucosal vaccine delivery is believed to enhance protection against mucosal pathogens by generating immunity at the surface where such pathogens invade. Our tablet vaccine candidates target the mucosal immune cells with a vector-based approach and are designed to create a more potent cytotoxic T cell response and mucosal antibody response, which may provide more effective immunity for certain diseases. Further, we have demonstrated that our vaccine delivered to the intestine can produce mucosal responses at sites distal to the intestine such as the nose and the mouth.</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Oral Non-Replicating Ad5 Vector is Designed to Circumvent Anti-Vector Issues</w:t>
      </w:r>
    </w:p>
    <w:p>
      <w:pPr>
        <w:spacing w:after="0" w:line="180" w:lineRule="exact"/>
        <w:rPr>
          <w:sz w:val="20"/>
          <w:szCs w:val="20"/>
          <w:color w:val="auto"/>
        </w:rPr>
      </w:pPr>
    </w:p>
    <w:p>
      <w:pPr>
        <w:ind w:right="420" w:firstLine="254"/>
        <w:spacing w:after="0" w:line="286" w:lineRule="auto"/>
        <w:rPr>
          <w:sz w:val="20"/>
          <w:szCs w:val="20"/>
          <w:color w:val="auto"/>
        </w:rPr>
      </w:pPr>
      <w:r>
        <w:rPr>
          <w:rFonts w:ascii="Times New Roman" w:cs="Times New Roman" w:eastAsia="Times New Roman" w:hAnsi="Times New Roman"/>
          <w:sz w:val="14"/>
          <w:szCs w:val="14"/>
          <w:color w:val="auto"/>
        </w:rPr>
        <w:t>Injected Ad5 vectored vaccines generate strong anti-Ad5 responses, with up to a 100-fold increase in the anti-Ad5 neutralizing antibody titers. In contrast, our oral Ad5 vectored vaccine is designed to circumvent the complications related to anti-Ad5 immunity, allowing the platform to be used for multiple vaccines and repeat annual and booster vaccinations.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Product Pipeline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outlines the status of our oral vaccine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122555</wp:posOffset>
            </wp:positionV>
            <wp:extent cx="4193540" cy="1804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93540" cy="180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Norovirus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Overview</w:t>
      </w:r>
    </w:p>
    <w:p>
      <w:pPr>
        <w:spacing w:after="0" w:line="180"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Norovirus is the leading cause of vomiting and diarrhea from acute gastroenteritis among people of all ages in the U.S. Each year, on average, norovirus causes 19 to 21 million cases of acute gastroenteritis and contributes to 109,000 hospitalizations and 900 deaths, mostly among young children and older adults. In the U.S., we believe a norovirus vaccine would be beneficial for high-risk groups such as infants and children up to five years old, older adults and the elderly, as well as for workers in the food and travel industries, for healthcare, childcare and elder care workers, first responders, the military, and travelers. In a study published by Johns Hopkins University and the Centers for Disease Control and Prevention (“CDC”) in 2016, the total global annual economic burden of norovirus was estimated at $60 billion. In a more recent health economic study published in the Journal of Infectious Diseases in July 2020, the economic impact to the U.S. was estimated to be $10.6 billion annually. There are currently no approved vaccines or therapies to prevent or treat norovirus infection.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Norovirus Vaccine Candidate</w:t>
      </w:r>
    </w:p>
    <w:p>
      <w:pPr>
        <w:spacing w:after="0" w:line="180" w:lineRule="exact"/>
        <w:rPr>
          <w:sz w:val="20"/>
          <w:szCs w:val="20"/>
          <w:color w:val="auto"/>
        </w:rPr>
      </w:pPr>
    </w:p>
    <w:p>
      <w:pPr>
        <w:ind w:right="40" w:firstLine="254"/>
        <w:spacing w:after="0" w:line="269" w:lineRule="auto"/>
        <w:rPr>
          <w:sz w:val="20"/>
          <w:szCs w:val="20"/>
          <w:color w:val="auto"/>
        </w:rPr>
      </w:pPr>
      <w:r>
        <w:rPr>
          <w:rFonts w:ascii="Times New Roman" w:cs="Times New Roman" w:eastAsia="Times New Roman" w:hAnsi="Times New Roman"/>
          <w:sz w:val="14"/>
          <w:szCs w:val="14"/>
          <w:color w:val="auto"/>
        </w:rPr>
        <w:t>We are developing a VP1-based bivalent oral tablet vaccine candidate that would protect against norovirus GI and norovirus GII, the two major norovirus genogroups affecting humans, by targeting the norovirus GI.1 Norwalk strain and the norovirus GII.4 Sydney strain. Because norovirus is an enteric pathogen that infects epithelial cells of the small intestine, we believe that a vaccine that produces antibodies against norovirus locally in the intestine, such as our tablet vaccine candidate which is delivered directly to the gut, may induce optimal protection against infection.</w:t>
      </w:r>
    </w:p>
    <w:p>
      <w:pPr>
        <w:spacing w:after="0" w:line="137"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In September 2023, we announced that our Phase 2 GI.1 norovirus challenge study evaluating the safety, immunogenicity, and clinical efficacy of the GI.1 component of our first-generation bivalent norovirus vaccine candidate met five of six primary endpoints based on preliminary topline data. The study achieved its primary endpoints of a statistically significant 29% relative reduction in the rate of norovirus infection between the vaccinated and placebo arms, a strong induction of norovirus-specific immunoglobulin A (IgA) and immunoglobulin G (IgG) antibodies, and other immune response endpoints.</w:t>
      </w:r>
    </w:p>
    <w:p>
      <w:pPr>
        <w:spacing w:after="0" w:line="140"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Vaccination also led to a 21% relative reduction in norovirus acute gastroenteritis in the vaccine arm compared to placebo, but this was not statistically significant. In prespecified analyses, the study also showed an 85% relative decrease in viral shedding in the vaccine arm compared with placebo and no statistically significant difference in disease severity in the vaccinated cohort compared with placebo. The vaccine candidate was also safe and well tolerated with no vaccine-related serious adverse events.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80" w:firstLine="254"/>
        <w:spacing w:after="0" w:line="264" w:lineRule="auto"/>
        <w:rPr>
          <w:sz w:val="20"/>
          <w:szCs w:val="20"/>
          <w:color w:val="auto"/>
        </w:rPr>
      </w:pPr>
      <w:r>
        <w:rPr>
          <w:rFonts w:ascii="Times New Roman" w:cs="Times New Roman" w:eastAsia="Times New Roman" w:hAnsi="Times New Roman"/>
          <w:sz w:val="14"/>
          <w:szCs w:val="14"/>
          <w:color w:val="auto"/>
        </w:rPr>
        <w:t>Based on our norovirus clinical data findings to date, our norovirus oral vaccination induces mucosal and systemic immune responses. Norovirus oral vaccination reduced shedding and infection in a rigorous human challenge model. Based on our machine learning and evaluation of more than 13 different immune parameters, norovirus vaccination protection most tightly associates with making a functional antibody response to norovirus in the serum (“NBAA”) and norovirus specific fecal IgA antibodies. Because of the strong induction of mucosal IgA due to the oral vaccination and potential read through into the serum, we believe that this likely means that a functional fecal IgA response is probably critical for protection against norovirus infection.</w:t>
      </w:r>
    </w:p>
    <w:p>
      <w:pPr>
        <w:spacing w:after="0" w:line="140" w:lineRule="exact"/>
        <w:rPr>
          <w:sz w:val="20"/>
          <w:szCs w:val="20"/>
          <w:color w:val="auto"/>
        </w:rPr>
      </w:pPr>
    </w:p>
    <w:p>
      <w:pPr>
        <w:ind w:right="140" w:firstLine="254"/>
        <w:spacing w:after="0" w:line="269" w:lineRule="auto"/>
        <w:rPr>
          <w:sz w:val="20"/>
          <w:szCs w:val="20"/>
          <w:color w:val="auto"/>
        </w:rPr>
      </w:pPr>
      <w:r>
        <w:rPr>
          <w:rFonts w:ascii="Times New Roman" w:cs="Times New Roman" w:eastAsia="Times New Roman" w:hAnsi="Times New Roman"/>
          <w:sz w:val="14"/>
          <w:szCs w:val="14"/>
          <w:color w:val="auto"/>
        </w:rPr>
        <w:t>In the second half of 2024, we received constructive feedback from the U.S. Food and Drug Administration (“FDA”) on our data for potential correlates of protection and next steps for our norovirus program. While we believe we have identified a functional antibody response that may be associated with protection for norovirus, the FDA requested new clinical data before proceeding with further review of our potential correlate.</w:t>
      </w:r>
    </w:p>
    <w:p>
      <w:pPr>
        <w:spacing w:after="0" w:line="137" w:lineRule="exact"/>
        <w:rPr>
          <w:sz w:val="20"/>
          <w:szCs w:val="20"/>
          <w:color w:val="auto"/>
        </w:rPr>
      </w:pPr>
    </w:p>
    <w:p>
      <w:pPr>
        <w:ind w:right="180" w:firstLine="254"/>
        <w:spacing w:after="0" w:line="286" w:lineRule="auto"/>
        <w:rPr>
          <w:sz w:val="20"/>
          <w:szCs w:val="20"/>
          <w:color w:val="auto"/>
        </w:rPr>
      </w:pPr>
      <w:r>
        <w:rPr>
          <w:rFonts w:ascii="Times New Roman" w:cs="Times New Roman" w:eastAsia="Times New Roman" w:hAnsi="Times New Roman"/>
          <w:sz w:val="14"/>
          <w:szCs w:val="14"/>
          <w:color w:val="auto"/>
        </w:rPr>
        <w:t>In 2024, we also created new, second-generation norovirus GI.1 and GII.4 constructs. In preclinical studies, the second-generation norovirus GI.1 and GII.4 constructs appear to be more potent than the first-generation norovirus constructs we previously evaluated in clinical trials. Our expectation is that these second-generation norovirus constructs would also be more potent in humans.</w:t>
      </w:r>
    </w:p>
    <w:p>
      <w:pPr>
        <w:spacing w:after="0" w:line="125" w:lineRule="exact"/>
        <w:rPr>
          <w:sz w:val="20"/>
          <w:szCs w:val="20"/>
          <w:color w:val="auto"/>
        </w:rPr>
      </w:pPr>
    </w:p>
    <w:p>
      <w:pPr>
        <w:jc w:val="both"/>
        <w:ind w:right="240" w:firstLine="254"/>
        <w:spacing w:after="0" w:line="269" w:lineRule="auto"/>
        <w:rPr>
          <w:sz w:val="20"/>
          <w:szCs w:val="20"/>
          <w:color w:val="auto"/>
        </w:rPr>
      </w:pPr>
      <w:r>
        <w:rPr>
          <w:rFonts w:ascii="Times New Roman" w:cs="Times New Roman" w:eastAsia="Times New Roman" w:hAnsi="Times New Roman"/>
          <w:sz w:val="14"/>
          <w:szCs w:val="14"/>
          <w:color w:val="auto"/>
        </w:rPr>
        <w:t>With advice from advisors and infectious disease experts, we decided to proceed with a Phase 1, open label, dose ranging clinical trial evaluating our second-generation oral norovirus vaccine constructs head-to-head against our first-generation constructs. The trial measured safety and immunogenicity, including immune parameters that have correlated to protection in our Phase 2 GI.1 norovirus challenge study.</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June 2025, we reported positive topline results from the Phase 1 clinical trial (Study VXA-109) evaluating our second-generation bivalent norovirus vaccine constructs head-to-head against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first-generation bivalent norovirus vaccine constructs. The open-label, Phase 1 trial was conducted in 60 healthy volunteers who were randomized to receive the first-generation vaccine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constructs, an equivalent dose of the second-generation GI.1 and GII.4 vaccine constructs, or a lower dose of the second-generation vaccine constructs (n=20 for each group). The primary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immunological endpoint was norovirus blocking antibody assay (NBAA) titer at Day 0 and Day 28. In a Phase 2 challenge study of the first-generation vaccine constructs, these functional NBAA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titers were identified as correlates of protection against norovirus infection. Although the study was not powered to determine superiority by statistical methods, the increase in NBAA titers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second-generation vaccine candidates was sufficiently large (141% for the GI.1 vaccine candidate and 94% for the GII.4 vaccine candidate) to demonstrate statistical significance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equivalent dose. Further support for the second-generation bivalent norovirus vaccine was provided by the fecal IgA data from the VXA-109 Study. The data showed a 25-fold increase in the GII.4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fecal IgA response and a 10-fold increase in the GI.1 fecal IgA response over baseline with the high dose of the second-generation vaccine candidates after a single tablet administration for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strain. The data also showed an 8-fold increase in the GII.4 fecal IgA response and a 7-fold increase in the GI.1 fecal IgA response over baseline with the low dose of the second-generation vaccine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candidates after a single tablet administration for each strain. While the Phase 1 study was not powered to determine superiority by statistical methods, the fecal IgA increases observed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second-generation constructs compared favorably to the increases observed with the first-generation constructs at the same high dose level and in the same study (13-fold GII.4 and 6-fold GI.1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baseline).</w:t>
      </w:r>
    </w:p>
    <w:p>
      <w:pPr>
        <w:spacing w:after="0" w:line="1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Following the successful outcome of the VXA-109 trial, the next step, pending a partnership or other funding, would be to advance the program to the next stage of clinical development in 2026.</w:t>
      </w:r>
    </w:p>
    <w:p>
      <w:pPr>
        <w:spacing w:after="0" w:line="176" w:lineRule="exact"/>
        <w:rPr>
          <w:sz w:val="20"/>
          <w:szCs w:val="20"/>
          <w:color w:val="auto"/>
        </w:rPr>
      </w:pPr>
    </w:p>
    <w:p>
      <w:pPr>
        <w:ind w:firstLine="254"/>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Pediatric Population</w:t>
      </w:r>
      <w:r>
        <w:rPr>
          <w:rFonts w:ascii="Times New Roman" w:cs="Times New Roman" w:eastAsia="Times New Roman" w:hAnsi="Times New Roman"/>
          <w:sz w:val="14"/>
          <w:szCs w:val="14"/>
          <w:color w:val="auto"/>
        </w:rPr>
        <w:t>. Our current tablet vaccine formulation is designed for delivery to the gut in solid dosage form using an enteric-coated tablet which we believe is the optimal vaccine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delivery system for the adult population and children eight years and older. For children six months to seven years in age, we plan to develop minitablet formulations that can deliver the vectored vaccine intact to the gut. Development of our norovirus vaccine in the pediatric population will proceed with a stepdown approach through progressively younger age segments (i.e. 8 to 5 years, 4 to 2 years, 2 years to 6 months).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0" w:firstLine="254"/>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Breastfeeding Mothers. </w:t>
      </w:r>
      <w:r>
        <w:rPr>
          <w:rFonts w:ascii="Times New Roman" w:cs="Times New Roman" w:eastAsia="Times New Roman" w:hAnsi="Times New Roman"/>
          <w:sz w:val="14"/>
          <w:szCs w:val="14"/>
          <w:color w:val="auto"/>
        </w:rPr>
        <w:t>In December 2024, we completed a Phase 1 norovirus bivalent vaccine candidate study in partnership with the Bill &amp; Melinda Gates Foundation. The study enrolled 76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healthy, lactating post-partum, women volunteers, to determine the impact of our norovirus vaccine on breast milk norovirus-specific IgA and its potential presence, post-breastfeeding, within infant fecal samples. The study was a randomized, double-blinded, and placebo controlled study to evaluate the safety, tolerability, and immunogenicity of the placebo cohorts and two vaccine cohorts: medium dose (1×10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IU) and high dose (2×10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IU). Passive transfer of antibodies from mother to infant that are induced in milk may protect breastfeeding infants from infectious pathogens. We initiated this study in the fourth quarter of 2023 and announced positive top line results in April 2024. Top line results showed antibodies rose in lactating mothers who received the high dose of our bivalent vaccine candidate. Specifically, serum antibodies to norovirus rose on average 5.6 fold in response to the GI.1 virus strain and 4.4 fold in response to the GII.4 virus strain and breast milk antibodies to norovirus rose on average 4.0 fold in response to the GI.1 virus strain and 6.0 fold in response to the GII.4 virus strain. The vaccine was well tolerated with no vaccine-related serious adverse events and no dose-limiting pharmacotoxicity. Infant stool samples contained antibodies to norovirus that correlated with levels in the paired mother’s breast milk, suggesting efficient passive transfer occurred. As a grant recipient from the Bill &amp; Melinda Gates Foundation, Vaxart has agreed to a global access commitment for use of its bivalent norovirus vaccine candidate, if proven effective and approved, in breastfeeding mothers from low- and middle-income countries.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COVID-19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Overview</w:t>
      </w:r>
    </w:p>
    <w:p>
      <w:pPr>
        <w:spacing w:after="0" w:line="180" w:lineRule="exact"/>
        <w:rPr>
          <w:sz w:val="20"/>
          <w:szCs w:val="20"/>
          <w:color w:val="auto"/>
        </w:rPr>
      </w:pPr>
    </w:p>
    <w:p>
      <w:pPr>
        <w:ind w:right="60" w:firstLine="254"/>
        <w:spacing w:after="0" w:line="269" w:lineRule="auto"/>
        <w:rPr>
          <w:sz w:val="20"/>
          <w:szCs w:val="20"/>
          <w:color w:val="auto"/>
        </w:rPr>
      </w:pPr>
      <w:r>
        <w:rPr>
          <w:rFonts w:ascii="Times New Roman" w:cs="Times New Roman" w:eastAsia="Times New Roman" w:hAnsi="Times New Roman"/>
          <w:sz w:val="14"/>
          <w:szCs w:val="14"/>
          <w:color w:val="auto"/>
        </w:rPr>
        <w:t>Coronaviruses comprise a group of respiratory viruses, encompassing SARS-CoV-1, SARS-CoV-2, and Middle East respiratory syndrome coronavirus (MERS-CoV), among various others. SARS-CoV-2, the virus responsible for COVID-19, induces a severe respiratory tract infection and stands as a significant cause of hospitalization and mortality globally. Currently approved COVID-19 vaccines seem to have varying levels of efficacy to emerging strains of SARS-CoV-2.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COVID-19 Vaccine Candidates</w:t>
      </w:r>
    </w:p>
    <w:p>
      <w:pPr>
        <w:spacing w:after="0" w:line="180"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We have spent significant effort developing COVID-19 vaccine candidates over the past few years. One of our first COVID-19 vaccine candidates (rAd-S, known as Vaxart clinical candidate VXA-CoV2-1.1-S) expressed only the spike (“S”) protein from the SARS-CoV-2 Wuhan strain. In September 2022, we announced the results from the first part of a two-part Phase 2 clinical study evaluating the safety and immunogenicity of VXA-CoV2-1.1-S met both its primary and secondary endpoints based on topline data. VXA-CoV2-1.1-S was able to boost the serum antibody responses for volunteers that previously received an mRNA vaccine (either Pfizer/BioNTech or Moderna). Serum neutralizing antibody responses to SARS-CoV-2 (Wuhan), a recognized correlate of protection, were boosted in this population from a geometric mean of 481 to 778, a fold rise of 1.6. Volunteers that had lower starting titers had larger increases than subjects that had higher titers. There were also substantial increases in the neutralizing antibody responses to the SARS-CoV-2 Omicron BA4/5 in these volunteers as measured by sVNT assay. Increases in the mucosal IgA antibody responses (antibodies in the nose and mouth) were observed in approximately 50% of subjects. Subjects that had an increase in the mucosal IgA response to SARS-CoV-2 Wuhan S had an increase in IgA responses to other coronaviruses including SARS-CoV-2 Omicron BA4/5, SARS-CoV-1, and MERS-CoV, demonstrating the cross-reactive nature of these immune readouts. We are not proceeding with the second part of the study.</w:t>
      </w:r>
    </w:p>
    <w:p>
      <w:pPr>
        <w:spacing w:after="0" w:line="145" w:lineRule="exact"/>
        <w:rPr>
          <w:sz w:val="20"/>
          <w:szCs w:val="20"/>
          <w:color w:val="auto"/>
        </w:rPr>
      </w:pPr>
    </w:p>
    <w:p>
      <w:pPr>
        <w:ind w:right="280" w:firstLine="254"/>
        <w:spacing w:after="0" w:line="286" w:lineRule="auto"/>
        <w:rPr>
          <w:sz w:val="20"/>
          <w:szCs w:val="20"/>
          <w:color w:val="auto"/>
        </w:rPr>
      </w:pPr>
      <w:r>
        <w:rPr>
          <w:rFonts w:ascii="Times New Roman" w:cs="Times New Roman" w:eastAsia="Times New Roman" w:hAnsi="Times New Roman"/>
          <w:sz w:val="14"/>
          <w:szCs w:val="14"/>
          <w:color w:val="auto"/>
        </w:rPr>
        <w:t>We have also made a COVID-19 vaccine candidate that expresses only the S protein from the SARS-CoV-2 XBB strain as well as a COVID-19 vaccine candidate that expresses the S protein from the SARS-CoV-2 KP.2 strain. Based on preclinical data, our XBB COVID-19 vaccine candidate is more potent than our prior COVID-19 vaccine constructs.</w:t>
      </w:r>
    </w:p>
    <w:p>
      <w:pPr>
        <w:spacing w:after="0" w:line="125" w:lineRule="exact"/>
        <w:rPr>
          <w:sz w:val="20"/>
          <w:szCs w:val="20"/>
          <w:color w:val="auto"/>
        </w:rPr>
      </w:pPr>
    </w:p>
    <w:p>
      <w:pPr>
        <w:ind w:right="180" w:firstLine="254"/>
        <w:spacing w:after="0" w:line="269" w:lineRule="auto"/>
        <w:rPr>
          <w:sz w:val="20"/>
          <w:szCs w:val="20"/>
          <w:color w:val="auto"/>
        </w:rPr>
      </w:pPr>
      <w:r>
        <w:rPr>
          <w:rFonts w:ascii="Times New Roman" w:cs="Times New Roman" w:eastAsia="Times New Roman" w:hAnsi="Times New Roman"/>
          <w:sz w:val="14"/>
          <w:szCs w:val="14"/>
          <w:color w:val="auto"/>
        </w:rPr>
        <w:t>In January 2024, we were awarded a contract by the U.S. Biomedical Advanced Research and Development Authority (“BARDA”), a division of the Administration for Strategic Preparedness and Response (“ASPR”) within the U.S. Department of Health and Human Services (“HHS”), for $9.3 million to fund preparation for a Phase 2b clinical study involving 10,000 patients. Vaxart executed on the deliverables and received all $9.3 million of cash payments related to this contract in 2024. BARDA and Vaxart have closed out this contract.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In June 2024, we entered into an agreement (as modified or amended from time to time, the “2024 ATI-RRPV Contract”) with Advanced Technology International (“ATI”), the Rapid Response Partnership Vehicle’s Consortium Management Firm funded by BARDA. Under the 2024 ATI-RRPV Contract, we may receive up to $460.7 million to conduct the Phase 2b study, manufacture a COVID-19 vaccine candidate targeting the KP.2 strain, and acquire an approved mRNA vaccine targeting the KP.2 strain. However, funding has been released incrementally based on modifications to the 2024 ATI-RRPV Contract as certain milestones are attained. Pursuant to Modification No. 6 to the 2024 ATI-RRPV Contract, dated March 10, 2026, the total amount of funding available for payment under the 2024 ATI-RRPV Contract is approximately $316.0 million.</w:t>
      </w:r>
    </w:p>
    <w:p>
      <w:pPr>
        <w:spacing w:after="0" w:line="142" w:lineRule="exact"/>
        <w:rPr>
          <w:sz w:val="20"/>
          <w:szCs w:val="20"/>
          <w:color w:val="auto"/>
        </w:rPr>
      </w:pPr>
    </w:p>
    <w:p>
      <w:pPr>
        <w:ind w:right="200" w:firstLine="254"/>
        <w:spacing w:after="0" w:line="264" w:lineRule="auto"/>
        <w:rPr>
          <w:sz w:val="20"/>
          <w:szCs w:val="20"/>
          <w:color w:val="auto"/>
        </w:rPr>
      </w:pPr>
      <w:r>
        <w:rPr>
          <w:rFonts w:ascii="Times New Roman" w:cs="Times New Roman" w:eastAsia="Times New Roman" w:hAnsi="Times New Roman"/>
          <w:sz w:val="14"/>
          <w:szCs w:val="14"/>
          <w:color w:val="auto"/>
        </w:rPr>
        <w:t>The Phase 2b study is a double-blind, multi-center, randomized, comparator-controlled study to determine the relative efficacy, safety, and immunogenicity of Vaxart’s oral pill COVID-19 vaccine candidate against an approved mRNA COVID-19 injectable vaccine in adults previously immunized against COVID-19 infection. The study design anticipates enrolling approximately 10,400 healthy adults 18 years and older in the U.S. with approximately 5,200 receiving our COVID-19 vaccine candidate and approximately 5,200 receiving an approved mRNA comparator. The study strives to enroll participants in line with U.S. demographics, as well as including at least 25% over the age of 65.</w:t>
      </w:r>
    </w:p>
    <w:p>
      <w:pPr>
        <w:spacing w:after="0" w:line="140" w:lineRule="exact"/>
        <w:rPr>
          <w:sz w:val="20"/>
          <w:szCs w:val="20"/>
          <w:color w:val="auto"/>
        </w:rPr>
      </w:pPr>
    </w:p>
    <w:p>
      <w:pPr>
        <w:ind w:right="220" w:firstLine="254"/>
        <w:spacing w:after="0" w:line="269" w:lineRule="auto"/>
        <w:rPr>
          <w:sz w:val="20"/>
          <w:szCs w:val="20"/>
          <w:color w:val="auto"/>
        </w:rPr>
      </w:pPr>
      <w:r>
        <w:rPr>
          <w:rFonts w:ascii="Times New Roman" w:cs="Times New Roman" w:eastAsia="Times New Roman" w:hAnsi="Times New Roman"/>
          <w:sz w:val="14"/>
          <w:szCs w:val="14"/>
          <w:color w:val="auto"/>
        </w:rPr>
        <w:t>The Phase 2b study will measure comparative efficacy for symptomatic and asymptomatic disease, systemic and mucosal immune induction, and the incidence of adverse events. The primary endpoint is relative efficacy of Vaxart’s COVID-19 vaccine candidate compared to an approved mRNA comparator for the prevention of symptomatic disease. Primary efficacy analysis will be performed when all participants have either discontinued or completed a study visit 12 months post-vaccination.</w:t>
      </w:r>
    </w:p>
    <w:p>
      <w:pPr>
        <w:spacing w:after="0" w:line="137" w:lineRule="exact"/>
        <w:rPr>
          <w:sz w:val="20"/>
          <w:szCs w:val="20"/>
          <w:color w:val="auto"/>
        </w:rPr>
      </w:pPr>
    </w:p>
    <w:p>
      <w:pPr>
        <w:jc w:val="both"/>
        <w:ind w:right="200" w:firstLine="254"/>
        <w:spacing w:after="0" w:line="269" w:lineRule="auto"/>
        <w:rPr>
          <w:sz w:val="20"/>
          <w:szCs w:val="20"/>
          <w:color w:val="auto"/>
        </w:rPr>
      </w:pPr>
      <w:r>
        <w:rPr>
          <w:rFonts w:ascii="Times New Roman" w:cs="Times New Roman" w:eastAsia="Times New Roman" w:hAnsi="Times New Roman"/>
          <w:sz w:val="14"/>
          <w:szCs w:val="14"/>
          <w:color w:val="auto"/>
        </w:rPr>
        <w:t>In the second half of 2024, we initiated and completed enrollment of the sentinel cohort of the Phase 2b study consisting of 400 participants comparing our XBB COVID-19 vaccine candidate against an approved mRNA XBB comparator. In January 2025, an independent data safety monitoring board (“DSMB”) recommended the study to proceed without modifications based on initial safety assessment of 30-day data from the sentinel cohort. Additional data regarding the 12-month follow-up for these 400 individuals is anticipated to be shared in the first half of 2026.</w:t>
      </w:r>
    </w:p>
    <w:p>
      <w:pPr>
        <w:spacing w:after="0" w:line="137" w:lineRule="exact"/>
        <w:rPr>
          <w:sz w:val="20"/>
          <w:szCs w:val="20"/>
          <w:color w:val="auto"/>
        </w:rPr>
      </w:pPr>
    </w:p>
    <w:p>
      <w:pPr>
        <w:ind w:right="100" w:firstLine="254"/>
        <w:spacing w:after="0" w:line="264" w:lineRule="auto"/>
        <w:rPr>
          <w:sz w:val="20"/>
          <w:szCs w:val="20"/>
          <w:color w:val="auto"/>
        </w:rPr>
      </w:pPr>
      <w:r>
        <w:rPr>
          <w:rFonts w:ascii="Times New Roman" w:cs="Times New Roman" w:eastAsia="Times New Roman" w:hAnsi="Times New Roman"/>
          <w:sz w:val="14"/>
          <w:szCs w:val="14"/>
          <w:color w:val="auto"/>
        </w:rPr>
        <w:t>In February 2025, we received written notification from ATI in the form of a stop work order (the “February 2025 SWO”) directing the Company to stop work on the 2024 ATI-RRPV Contract, with the exception that we could continue efforts associated with the per protocol follow-up for the 400-participant sentinel cohort. The February 2025 SWO was to be in effect for a period of 90 days. Subsequently, in April 2025, the Company received written notification from ATI in the form of a stop work order lift (the “Lift Notice”) that the February 2025 SWO had been lifted and that the Company may resume incurring costs, participating in meetings, and communicating with the Government and ATI concerning the project award.</w:t>
      </w:r>
    </w:p>
    <w:p>
      <w:pPr>
        <w:spacing w:after="0" w:line="140" w:lineRule="exact"/>
        <w:rPr>
          <w:sz w:val="20"/>
          <w:szCs w:val="20"/>
          <w:color w:val="auto"/>
        </w:rPr>
      </w:pPr>
    </w:p>
    <w:p>
      <w:pPr>
        <w:ind w:right="160" w:firstLine="254"/>
        <w:spacing w:after="0" w:line="286" w:lineRule="auto"/>
        <w:rPr>
          <w:sz w:val="20"/>
          <w:szCs w:val="20"/>
          <w:color w:val="auto"/>
        </w:rPr>
      </w:pPr>
      <w:r>
        <w:rPr>
          <w:rFonts w:ascii="Times New Roman" w:cs="Times New Roman" w:eastAsia="Times New Roman" w:hAnsi="Times New Roman"/>
          <w:sz w:val="14"/>
          <w:szCs w:val="14"/>
          <w:color w:val="auto"/>
        </w:rPr>
        <w:t>In May 2025, following additional discussion between the Company and HHS BARDA regarding costs, timelines, and regulatory pathway, we received approval from HHS BARDA to initiate dosing. We subsequently proceeded to dose patients in the 10,000-participant portion of the Phase 2b clinical study.</w:t>
      </w:r>
    </w:p>
    <w:p>
      <w:pPr>
        <w:spacing w:after="0" w:line="125" w:lineRule="exact"/>
        <w:rPr>
          <w:sz w:val="20"/>
          <w:szCs w:val="20"/>
          <w:color w:val="auto"/>
        </w:rPr>
      </w:pPr>
    </w:p>
    <w:p>
      <w:pPr>
        <w:ind w:right="220" w:firstLine="254"/>
        <w:spacing w:after="0" w:line="269" w:lineRule="auto"/>
        <w:rPr>
          <w:sz w:val="20"/>
          <w:szCs w:val="20"/>
          <w:color w:val="auto"/>
        </w:rPr>
      </w:pPr>
      <w:r>
        <w:rPr>
          <w:rFonts w:ascii="Times New Roman" w:cs="Times New Roman" w:eastAsia="Times New Roman" w:hAnsi="Times New Roman"/>
          <w:sz w:val="14"/>
          <w:szCs w:val="14"/>
          <w:color w:val="auto"/>
        </w:rPr>
        <w:t>In August 2025, the Company received written notification from ATI in the form of a second stop work order (the “August 2025 SWO”) directing the Company to stop work on screening and enrollment for the 10,000-person cohort of the Phase 2b clinical study. The Company was, however, permitted to continue efforts associated with the per protocol follow-up to the extent study participants were already dosed. As of the notification date, the Company had enrolled approximately half of the targeted number of participants for the study.</w:t>
      </w:r>
    </w:p>
    <w:p>
      <w:pPr>
        <w:spacing w:after="0" w:line="137"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On October 8, 2025, the Company received another notice (the “Follow-Up Notice”) from ATI, clarifying the scope of the August 2025 SWO and therefore the 2024 ATI-RRPV Contract. The Follow-Up Notice definitively confirmed that BARDA intends to stop all ongoing enrollment under the 2024 ATI-RRPV Contract but allows efforts in support of participants already enrolled in the study, who will continue to be followed, including planned analyses of the sentinel cohort as well as the enrolled main study population.</w:t>
      </w:r>
    </w:p>
    <w:p>
      <w:pPr>
        <w:spacing w:after="0" w:line="137" w:lineRule="exact"/>
        <w:rPr>
          <w:sz w:val="20"/>
          <w:szCs w:val="20"/>
          <w:color w:val="auto"/>
        </w:rPr>
      </w:pPr>
    </w:p>
    <w:p>
      <w:pPr>
        <w:jc w:val="both"/>
        <w:ind w:right="100" w:firstLine="254"/>
        <w:spacing w:after="0" w:line="269" w:lineRule="auto"/>
        <w:rPr>
          <w:sz w:val="20"/>
          <w:szCs w:val="20"/>
          <w:color w:val="auto"/>
        </w:rPr>
      </w:pPr>
      <w:r>
        <w:rPr>
          <w:rFonts w:ascii="Times New Roman" w:cs="Times New Roman" w:eastAsia="Times New Roman" w:hAnsi="Times New Roman"/>
          <w:sz w:val="14"/>
          <w:szCs w:val="14"/>
          <w:color w:val="auto"/>
        </w:rPr>
        <w:t>On March 10, 2026, the Company entered into Modification No. 6 to the 2024 ATI-RRPV Contract. Pursuant to Modification No. 6 to the 2024 ATI-RRPV Contract, pursuant to which the total amount of funding available for payment under the 2024 ATI-RRPV Contract was increased to $316.0 million. The Company anticipates a further modification to the 2024 ATI-RRPV Contract that will reflect the reduced scope of work and corresponding reduction in funding that resulted from previously issued stop work orders.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As of the filing date of this prospectus, we anticipate that the Phase 2b study, which enrolled healthy adults 18 years and older in the U.S. with 400 participants from the sentinel cohort and approximately 5,000 participants enrolled from the main cohort as of our receipt of the August 2025 SWO, will continue to collect participant data over a 12 month period post-vaccination and will continue to be funded under the 2024 ATI-RRPV Contract. Out of the approximately 5,400 total participants, we expect approximately 2,700 to have received our COVID-19 vaccine candidate and approximately 2,700 to have received an approved strain-matched mRNA comparator. Primary efficacy analysis will be performed when all participants have either discontinued or completed a study visit 12 months post-vaccination.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Influenza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Overview</w:t>
      </w:r>
    </w:p>
    <w:p>
      <w:pPr>
        <w:spacing w:after="0" w:line="180"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Influenza is one of the most common global infectious diseases, causing mild to life-threatening illness with symptoms such as sore throat, nasal discharge, fever, and even death. It is estimated that there are around one billion cases of seasonal influenza annually worldwide, of which 3 million to 5 million cases are considered severe, causing 290,000 to 650,000 deaths per year globally. Very young children and the elderly are at greatest risk from death. In the U.S., between 9,000,000 and 41,000,000 people catch influenza annually, between 140,000 and 710,000 people are hospitalized with complications of influenza, and between 12,000 and 52,000 people die from influenza and its complications each year.</w:t>
      </w:r>
    </w:p>
    <w:p>
      <w:pPr>
        <w:spacing w:after="0" w:line="140"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The CDC generally recommends that individuals six months and older be vaccinated annually against influenza. In the U.S., this means an influenza vaccination is recommended for more than 300 million people.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Seasonal Influenza Vaccine Candidate</w:t>
      </w:r>
    </w:p>
    <w:p>
      <w:pPr>
        <w:spacing w:after="0" w:line="180" w:lineRule="exact"/>
        <w:rPr>
          <w:sz w:val="20"/>
          <w:szCs w:val="20"/>
          <w:color w:val="auto"/>
        </w:rPr>
      </w:pPr>
    </w:p>
    <w:p>
      <w:pPr>
        <w:ind w:right="140" w:firstLine="254"/>
        <w:spacing w:after="0" w:line="257" w:lineRule="auto"/>
        <w:rPr>
          <w:sz w:val="20"/>
          <w:szCs w:val="20"/>
          <w:color w:val="auto"/>
        </w:rPr>
      </w:pPr>
      <w:r>
        <w:rPr>
          <w:rFonts w:ascii="Times New Roman" w:cs="Times New Roman" w:eastAsia="Times New Roman" w:hAnsi="Times New Roman"/>
          <w:sz w:val="14"/>
          <w:szCs w:val="14"/>
          <w:color w:val="auto"/>
        </w:rPr>
        <w:t>We are developing a tablet vaccine candidate for the immunization of healthy adults against seasonal influenza. Commercial seasonal influenza vaccines today are composed of either three (trivalent) or four (quadrivalent) strains, either one influenza B and two influenza A strains, or two of each. Our seasonal influenza vaccine candidate is a trivalent seasonal influenza vaccine consisting of two circulating influenza A lineage viruses (H1N1 and H3N2) as well as one circulating influenza B lineage virus (B/Victoria lineage), matching the seasonally updated recommendations by the World Health Organization. We envision formulating our tablet vaccine candidate as one tablet per strain, or three tablets in total for the trivalent vaccine. We believe this modularity will allow for enhanced flexibility. For instance, in the event of a late season strain change, the tablet containing the obsolete strain could be easily replaced without having to discard the two correctly matched vaccine tablets. We will also consider formulating all three strains into a single tablet. This format would be the simplest to administer but would take away some of the flexibility advantages that separate tablets would afford. We will assess the final formulation of our tablet vaccine candidates after conducting market studies to evaluate market acceptance closer to commercialization.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 Influenza Clinical Trials</w:t>
      </w:r>
    </w:p>
    <w:p>
      <w:pPr>
        <w:spacing w:after="0" w:line="18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To date, we have completed two Phase 1 trials and have conducted the active portion of a Phase 2 challenge trial of our H1N1 influenza vaccine candidate. We have also completed a Phase 1 trial of an influenza B vaccine candidate (B Yamagata lineage).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H1N1 Influenza Phase 2 Challenge Study Funded by HHS BARDA</w:t>
      </w:r>
    </w:p>
    <w:p>
      <w:pPr>
        <w:spacing w:after="0" w:line="180" w:lineRule="exact"/>
        <w:rPr>
          <w:sz w:val="20"/>
          <w:szCs w:val="20"/>
          <w:color w:val="auto"/>
        </w:rPr>
      </w:pPr>
    </w:p>
    <w:p>
      <w:pPr>
        <w:ind w:right="100" w:firstLine="254"/>
        <w:spacing w:after="0" w:line="264" w:lineRule="auto"/>
        <w:rPr>
          <w:sz w:val="20"/>
          <w:szCs w:val="20"/>
          <w:color w:val="auto"/>
        </w:rPr>
      </w:pPr>
      <w:r>
        <w:rPr>
          <w:rFonts w:ascii="Times New Roman" w:cs="Times New Roman" w:eastAsia="Times New Roman" w:hAnsi="Times New Roman"/>
          <w:sz w:val="14"/>
          <w:szCs w:val="14"/>
          <w:color w:val="auto"/>
        </w:rPr>
        <w:t>In 2015, we were awarded a $13.9 million contract by BARDA, part of the HHS. This two-year contract was awarded under a Broad Agency Announcement issued to support the advanced development of more effective influenza vaccines to improve seasonal and pandemic influenza preparedness. The contract primarily funded a Phase 2 challenge study in human volunteers, designed to evaluate whether our H1N1 tablet vaccine candidate offers broader and more durable protection than currently marketed injectable vaccines. The contract with HHS BARDA was subsequently increased to $15.7 million and the term was extended until September 2018.</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In this Phase 2 study, volunteers were randomized into three groups. One group received our oral H1N1 influenza tablet vaccine candidate, a second group received a commercially licensed inactivated influenza vaccine by intramuscular injection, and a third group received placebo. Three months following immunization, volunteers were challenged (deliberate experimental administration) with live H1N1 (A/H1N1 pdm09) influenza virus by intranasal administration. The placebo group served as the control group to determine how many unvaccinated volunteers became infected and how severe their influenza symptoms became. Data from our vaccine candidate group and the commercially licensed inactivated vaccine group were compared to placebo to determine each vaccine’s efficacy in this challenge study. Importantly, the two vaccines were also compared head-to-head. The goal of the study was to compare the efficacy of our vaccine to protect volunteers from illness caused by H1N1 influenza challenge, compared to both the injectable vaccine and placebo three months after immunization.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Clinical Trial Results VXA-CHAL-201</w:t>
      </w:r>
    </w:p>
    <w:p>
      <w:pPr>
        <w:spacing w:after="0" w:line="180" w:lineRule="exact"/>
        <w:rPr>
          <w:sz w:val="20"/>
          <w:szCs w:val="20"/>
          <w:color w:val="auto"/>
        </w:rPr>
      </w:pPr>
    </w:p>
    <w:p>
      <w:pPr>
        <w:ind w:right="280" w:firstLine="254"/>
        <w:spacing w:after="0" w:line="286" w:lineRule="auto"/>
        <w:rPr>
          <w:sz w:val="20"/>
          <w:szCs w:val="20"/>
          <w:color w:val="auto"/>
        </w:rPr>
      </w:pPr>
      <w:r>
        <w:rPr>
          <w:rFonts w:ascii="Times New Roman" w:cs="Times New Roman" w:eastAsia="Times New Roman" w:hAnsi="Times New Roman"/>
          <w:sz w:val="14"/>
          <w:szCs w:val="14"/>
          <w:color w:val="auto"/>
        </w:rPr>
        <w:t>The Phase 2 challenge study was enrolled during 2016 and 2017. During this time, 179 subjects that cleared the screening requirements were randomized to receive a single dose of our tablet vaccine, the commercial injectable vaccine, or placebo. Of these 179 subjects, 143 subjects were subsequently challenged with live H1N1 influenza virus 90 to 120 days after dosing.</w:t>
      </w:r>
    </w:p>
    <w:p>
      <w:pPr>
        <w:spacing w:after="0" w:line="123" w:lineRule="exact"/>
        <w:rPr>
          <w:sz w:val="20"/>
          <w:szCs w:val="20"/>
          <w:color w:val="auto"/>
        </w:rPr>
      </w:pPr>
    </w:p>
    <w:p>
      <w:pPr>
        <w:ind w:left="520" w:right="20" w:hanging="261"/>
        <w:spacing w:after="0" w:line="265" w:lineRule="auto"/>
        <w:tabs>
          <w:tab w:leader="none" w:pos="5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Safety. </w:t>
      </w:r>
      <w:r>
        <w:rPr>
          <w:rFonts w:ascii="Times New Roman" w:cs="Times New Roman" w:eastAsia="Times New Roman" w:hAnsi="Times New Roman"/>
          <w:sz w:val="14"/>
          <w:szCs w:val="14"/>
          <w:color w:val="auto"/>
        </w:rPr>
        <w:t>The side effects of the vaccines and placebo in the first seven days following administration were generally mild. In the first seven days following administration, the solicited adverse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events reported in the vaccine and placebo groups were mostly grade 1 in severity, and none were above grade 2. The most frequent solicited adverse event was headache in our tablet vaccine group (7%), injection site tenderness in the commercially licensed inactivated vaccine group (26%) and headache in the placebo group (19%). There were no serious adverse events and no new onsets of chronic illnesses related to our vaccine adjuvant recorded during the follow up period of the study.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Efficacy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Reduction of PCR Confirmed Influenza Illness.</w:t>
      </w:r>
    </w:p>
    <w:p>
      <w:pPr>
        <w:spacing w:after="0" w:line="180"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The primary efficacy objective was to determine vaccine efficacy of our tablet vaccine following the challenge with the wild-type influenza A H1 virus strain (A/H1N1 pdm09). The primary efficacy endpoint was illness. The illness rate was 29% for our tablet vaccine, 35% for the commercial inactivated influenza vaccine, and 48% for subjects in the placebo group. Our tablet vaccine had a lower rate of illness than the commercial vaccine (-6% difference in illness rate in favor of our vaccine), although given the small size of the study, these differences were not statistically significant. Similarly, the difference in illness rates between our tablet vaccine and placebo (-19.1%) and the commercial injected vaccine and placebo (-13.2%) trended toward protection but were not statistically significant. These results suggest that our vaccine is no worse, and trended better than the commercial vaccine for protection. These results are summarized in Table 2 below.</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Table 2. </w:t>
      </w:r>
      <w:r>
        <w:rPr>
          <w:rFonts w:ascii="Times New Roman" w:cs="Times New Roman" w:eastAsia="Times New Roman" w:hAnsi="Times New Roman"/>
          <w:sz w:val="14"/>
          <w:szCs w:val="14"/>
          <w:color w:val="auto"/>
        </w:rPr>
        <w:t>H1 Influenza Phase 2 Challenge Study: Illness Rates*.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w w:val="95"/>
              </w:rPr>
              <w:t>VAXART-</w:t>
            </w: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660" w:type="dxa"/>
            <w:vAlign w:val="bottom"/>
          </w:tcPr>
          <w:p>
            <w:pPr>
              <w:spacing w:after="0"/>
              <w:rPr>
                <w:sz w:val="16"/>
                <w:szCs w:val="16"/>
                <w:color w:val="auto"/>
              </w:rPr>
            </w:pP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VAXART</w:t>
            </w:r>
          </w:p>
        </w:tc>
        <w:tc>
          <w:tcPr>
            <w:tcW w:w="86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240" w:type="dxa"/>
            <w:vAlign w:val="bottom"/>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780" w:type="dxa"/>
            <w:vAlign w:val="bottom"/>
          </w:tcPr>
          <w:p>
            <w:pPr>
              <w:spacing w:after="0"/>
              <w:rPr>
                <w:sz w:val="16"/>
                <w:szCs w:val="16"/>
                <w:color w:val="auto"/>
              </w:rPr>
            </w:pPr>
          </w:p>
        </w:tc>
        <w:tc>
          <w:tcPr>
            <w:tcW w:w="19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Placebo</w:t>
            </w:r>
          </w:p>
        </w:tc>
      </w:tr>
      <w:tr>
        <w:trPr>
          <w:trHeight w:val="170"/>
        </w:trPr>
        <w:tc>
          <w:tcPr>
            <w:tcW w:w="660" w:type="dxa"/>
            <w:vAlign w:val="bottom"/>
            <w:shd w:val="clear" w:color="auto" w:fill="CCEEFF"/>
          </w:tcPr>
          <w:p>
            <w:pPr>
              <w:jc w:val="center"/>
              <w:ind w:right="169"/>
              <w:spacing w:after="0"/>
              <w:rPr>
                <w:sz w:val="20"/>
                <w:szCs w:val="20"/>
                <w:color w:val="auto"/>
              </w:rPr>
            </w:pPr>
            <w:r>
              <w:rPr>
                <w:rFonts w:ascii="Times New Roman" w:cs="Times New Roman" w:eastAsia="Times New Roman" w:hAnsi="Times New Roman"/>
                <w:sz w:val="14"/>
                <w:szCs w:val="14"/>
                <w:color w:val="auto"/>
                <w:w w:val="85"/>
              </w:rPr>
              <w:t>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 CI)</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(95% CI)</w:t>
            </w:r>
          </w:p>
        </w:tc>
        <w:tc>
          <w:tcPr>
            <w:tcW w:w="224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Rate Difference (95% CI)</w:t>
            </w:r>
          </w:p>
        </w:tc>
        <w:tc>
          <w:tcPr>
            <w:tcW w:w="78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 CI)</w:t>
            </w:r>
          </w:p>
        </w:tc>
      </w:tr>
      <w:tr>
        <w:trPr>
          <w:trHeight w:val="184"/>
        </w:trPr>
        <w:tc>
          <w:tcPr>
            <w:tcW w:w="6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58</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60" w:type="dxa"/>
            <w:vAlign w:val="bottom"/>
          </w:tcPr>
          <w:p>
            <w:pPr>
              <w:spacing w:after="0"/>
              <w:rPr>
                <w:sz w:val="20"/>
                <w:szCs w:val="20"/>
                <w:color w:val="auto"/>
              </w:rPr>
            </w:pPr>
            <w:r>
              <w:rPr>
                <w:rFonts w:ascii="Times New Roman" w:cs="Times New Roman" w:eastAsia="Times New Roman" w:hAnsi="Times New Roman"/>
                <w:sz w:val="14"/>
                <w:szCs w:val="14"/>
                <w:color w:val="auto"/>
              </w:rPr>
              <w:t>(18.1, 42.7)</w:t>
            </w:r>
          </w:p>
        </w:tc>
        <w:tc>
          <w:tcPr>
            <w:tcW w:w="86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54</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(22.7, 49.4)</w:t>
            </w:r>
          </w:p>
        </w:tc>
        <w:tc>
          <w:tcPr>
            <w:tcW w:w="224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-5.9 (-24.3, 12.5)</w:t>
            </w:r>
          </w:p>
        </w:tc>
        <w:tc>
          <w:tcPr>
            <w:tcW w:w="7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(30.2, 66.9)</w:t>
            </w:r>
          </w:p>
        </w:tc>
      </w:tr>
    </w:tbl>
    <w:p>
      <w:pPr>
        <w:spacing w:after="0" w:line="139" w:lineRule="exact"/>
        <w:rPr>
          <w:sz w:val="20"/>
          <w:szCs w:val="20"/>
          <w:color w:val="auto"/>
        </w:rPr>
      </w:pPr>
    </w:p>
    <w:p>
      <w:pPr>
        <w:ind w:right="60"/>
        <w:spacing w:after="0" w:line="200" w:lineRule="auto"/>
        <w:rPr>
          <w:sz w:val="20"/>
          <w:szCs w:val="20"/>
          <w:color w:val="auto"/>
        </w:rPr>
      </w:pPr>
      <w:r>
        <w:rPr>
          <w:rFonts w:ascii="Times New Roman" w:cs="Times New Roman" w:eastAsia="Times New Roman" w:hAnsi="Times New Roman"/>
          <w:sz w:val="14"/>
          <w:szCs w:val="14"/>
          <w:i w:val="1"/>
          <w:iCs w:val="1"/>
          <w:color w:val="auto"/>
        </w:rPr>
        <w:t>*Illness was defined as a combination of symptoms reported on a patient reported outcome tool (Flu-PRO</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4"/>
          <w:szCs w:val="14"/>
          <w:i w:val="1"/>
          <w:iCs w:val="1"/>
          <w:color w:val="auto"/>
        </w:rPr>
        <w:t>) and quantitative reverse transcriptase polymerase chain reaction (qRT-PCR) detectable shed influenza virus.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Efficacy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 xml:space="preserve"> Shedding</w:t>
      </w:r>
    </w:p>
    <w:p>
      <w:pPr>
        <w:spacing w:after="0" w:line="180"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Shedding represents influenza virus that is detected in nasal swabs post infection and is representative of viral infection and replication. In the study, 44.8% of subjects in VXA-A1.1 had at least one day positive for shedding, versus the commercial injected vaccine where 53.7% were positive for shedding and where 71.0% of placebo subjects were positive for shedding. There were no statistically significant differences observed between our tablet vaccine and the commercial inactivated influenza vaccine for viral shedding area under the curve (“AUC”). However, AUC was calculated using a standard logarithmic trapezoidal method and included only detectable shedding during the first five days of the duration of shedding, with subjects removed from the analysis that didn’t shed influenza for five days (a zero value cannot be used in log calculations and integrated). This may have led to an underestimate of the effect on viral shedding for the two vaccines relative to placebo. Therefore, in order to better determine the effect of the vaccines on shedding, an alternative method was used in which volunteers were defined as infected if they had detectable viral shedding at any time 36 hours after challenge. This approach eliminated possible issues related to calculations (log calculations of zero values) and of large doses of challenge virus (first 36 hours might be pass through rather than replicating influenza). In a Bayesian analysis, both vaccines significantly reduced the probability of shedding relative to placebo (Bayesian posterior p=0.001 for our tablet vaccine and p=0.009 for the commercial inactivated influenza vaccine). There is also trend toward greater efficacy for our vaccine with a posterior probability of approximately 80% (</w:t>
      </w:r>
      <w:r>
        <w:rPr>
          <w:rFonts w:ascii="Times New Roman" w:cs="Times New Roman" w:eastAsia="Times New Roman" w:hAnsi="Times New Roman"/>
          <w:sz w:val="14"/>
          <w:szCs w:val="14"/>
          <w:b w:val="1"/>
          <w:bCs w:val="1"/>
          <w:color w:val="auto"/>
        </w:rPr>
        <w:t>Table 3</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Table 3. </w:t>
      </w:r>
      <w:r>
        <w:rPr>
          <w:rFonts w:ascii="Times New Roman" w:cs="Times New Roman" w:eastAsia="Times New Roman" w:hAnsi="Times New Roman"/>
          <w:sz w:val="14"/>
          <w:szCs w:val="14"/>
          <w:color w:val="auto"/>
        </w:rPr>
        <w:t>H1 Influenza Phase 2 Challenge Study: Infection Rates*.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Treatment Arm</w:t>
            </w:r>
          </w:p>
        </w:tc>
        <w:tc>
          <w:tcPr>
            <w:tcW w:w="13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N</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Infected</w:t>
            </w:r>
          </w:p>
        </w:tc>
        <w:tc>
          <w:tcPr>
            <w:tcW w:w="228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Percent (95% CI)</w:t>
            </w:r>
          </w:p>
        </w:tc>
        <w:tc>
          <w:tcPr>
            <w:tcW w:w="21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Posterior P</w:t>
            </w:r>
          </w:p>
        </w:tc>
      </w:tr>
      <w:tr>
        <w:trPr>
          <w:trHeight w:val="170"/>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Placebo</w:t>
            </w:r>
          </w:p>
        </w:tc>
        <w:tc>
          <w:tcPr>
            <w:tcW w:w="1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31</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22</w:t>
            </w:r>
          </w:p>
        </w:tc>
        <w:tc>
          <w:tcPr>
            <w:tcW w:w="228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71% (55-85%)</w:t>
            </w:r>
          </w:p>
        </w:tc>
        <w:tc>
          <w:tcPr>
            <w:tcW w:w="218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84"/>
              </w:rPr>
              <w:t>-</w:t>
            </w:r>
          </w:p>
        </w:tc>
      </w:tr>
      <w:tr>
        <w:trPr>
          <w:trHeight w:val="170"/>
        </w:trPr>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Commercial</w:t>
            </w:r>
          </w:p>
        </w:tc>
        <w:tc>
          <w:tcPr>
            <w:tcW w:w="13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54</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24</w:t>
            </w:r>
          </w:p>
        </w:tc>
        <w:tc>
          <w:tcPr>
            <w:tcW w:w="22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44% (32-58%)</w:t>
            </w:r>
          </w:p>
        </w:tc>
        <w:tc>
          <w:tcPr>
            <w:tcW w:w="21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0.009</w:t>
            </w:r>
          </w:p>
        </w:tc>
      </w:tr>
      <w:tr>
        <w:trPr>
          <w:trHeight w:val="170"/>
        </w:trPr>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Vaxart Vaccine</w:t>
            </w:r>
          </w:p>
        </w:tc>
        <w:tc>
          <w:tcPr>
            <w:tcW w:w="13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58</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21</w:t>
            </w:r>
          </w:p>
        </w:tc>
        <w:tc>
          <w:tcPr>
            <w:tcW w:w="2280" w:type="dxa"/>
            <w:vAlign w:val="bottom"/>
            <w:shd w:val="clear" w:color="auto" w:fill="CCEEFF"/>
          </w:tcPr>
          <w:p>
            <w:pPr>
              <w:jc w:val="center"/>
              <w:ind w:right="89"/>
              <w:spacing w:after="0"/>
              <w:rPr>
                <w:sz w:val="20"/>
                <w:szCs w:val="20"/>
                <w:color w:val="auto"/>
              </w:rPr>
            </w:pPr>
            <w:r>
              <w:rPr>
                <w:rFonts w:ascii="Times New Roman" w:cs="Times New Roman" w:eastAsia="Times New Roman" w:hAnsi="Times New Roman"/>
                <w:sz w:val="14"/>
                <w:szCs w:val="14"/>
                <w:color w:val="auto"/>
              </w:rPr>
              <w:t>36% (24-49%)</w:t>
            </w:r>
          </w:p>
        </w:tc>
        <w:tc>
          <w:tcPr>
            <w:tcW w:w="218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0.001</w:t>
            </w:r>
          </w:p>
        </w:tc>
      </w:tr>
    </w:tbl>
    <w:p>
      <w:pPr>
        <w:spacing w:after="0" w:line="15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i w:val="1"/>
          <w:iCs w:val="1"/>
          <w:color w:val="auto"/>
        </w:rPr>
        <w:t>*Infection was defined as any positive quantitative reverse transcriptase polymerase chain reaction (qRT-PCR) detectable shed influenza virus on any day after 36 hours from viral challenge. In a Bayesian analysis, both vaccines provide a statistically significant protection against infection. There is also trend toward greater efficacy for our vaccine with a posterior probability of approximately 80%.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Phase 1 Trial. Influenza B (Yamagata lineage)</w:t>
      </w:r>
    </w:p>
    <w:p>
      <w:pPr>
        <w:spacing w:after="0" w:line="180" w:lineRule="exact"/>
        <w:rPr>
          <w:sz w:val="20"/>
          <w:szCs w:val="20"/>
          <w:color w:val="auto"/>
        </w:rPr>
      </w:pPr>
    </w:p>
    <w:p>
      <w:pPr>
        <w:ind w:right="20" w:firstLine="254"/>
        <w:spacing w:after="0" w:line="232" w:lineRule="auto"/>
        <w:rPr>
          <w:sz w:val="20"/>
          <w:szCs w:val="20"/>
          <w:color w:val="auto"/>
        </w:rPr>
      </w:pPr>
      <w:r>
        <w:rPr>
          <w:rFonts w:ascii="Times New Roman" w:cs="Times New Roman" w:eastAsia="Times New Roman" w:hAnsi="Times New Roman"/>
          <w:sz w:val="14"/>
          <w:szCs w:val="14"/>
          <w:color w:val="auto"/>
        </w:rPr>
        <w:t>In 2015 and 2016, we conducted a randomized, double-blind, placebo-controlled Phase 1 trial to test the safety and immunogenicity of an influenza B tablet vaccine. A total of 54 healthy adults aged 18 to 49 were enrolled, with 38 receiving the vaccine and 16 receiving placebo. To participate in this trial, subjects were required to have an initial HAI measure of no greater than 1:20. The active phase of the trial was through day 28, with the follow-up phase for monitoring safety to continue for one year. All subjects who received the vaccine received a single dose of either 1 x 10</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color w:val="auto"/>
        </w:rPr>
        <w:t xml:space="preserve"> IU or 1 x 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IU on Day 0.</w:t>
      </w:r>
    </w:p>
    <w:p>
      <w:pPr>
        <w:spacing w:after="0" w:line="23" w:lineRule="exact"/>
        <w:rPr>
          <w:sz w:val="20"/>
          <w:szCs w:val="20"/>
          <w:color w:val="auto"/>
        </w:rPr>
      </w:pPr>
    </w:p>
    <w:p>
      <w:pPr>
        <w:ind w:right="80" w:firstLine="254"/>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Safety</w:t>
      </w:r>
      <w:r>
        <w:rPr>
          <w:rFonts w:ascii="Times New Roman" w:cs="Times New Roman" w:eastAsia="Times New Roman" w:hAnsi="Times New Roman"/>
          <w:sz w:val="14"/>
          <w:szCs w:val="14"/>
          <w:color w:val="auto"/>
        </w:rPr>
        <w:t>. The side effects of the vaccine or placebo in the first seven days following administration were generally mild with no serious adverse events. There were no notable differences between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active dose groups and placebo in safety and tolerability.</w:t>
      </w:r>
    </w:p>
    <w:p>
      <w:pPr>
        <w:spacing w:after="0" w:line="121" w:lineRule="exact"/>
        <w:rPr>
          <w:sz w:val="20"/>
          <w:szCs w:val="20"/>
          <w:color w:val="auto"/>
        </w:rPr>
      </w:pPr>
    </w:p>
    <w:p>
      <w:pPr>
        <w:ind w:right="140" w:firstLine="254"/>
        <w:spacing w:after="0" w:line="214" w:lineRule="auto"/>
        <w:rPr>
          <w:sz w:val="20"/>
          <w:szCs w:val="20"/>
          <w:color w:val="auto"/>
        </w:rPr>
      </w:pPr>
      <w:r>
        <w:rPr>
          <w:rFonts w:ascii="Times New Roman" w:cs="Times New Roman" w:eastAsia="Times New Roman" w:hAnsi="Times New Roman"/>
          <w:sz w:val="14"/>
          <w:szCs w:val="14"/>
          <w:b w:val="1"/>
          <w:bCs w:val="1"/>
          <w:i w:val="1"/>
          <w:iCs w:val="1"/>
          <w:color w:val="auto"/>
        </w:rPr>
        <w:t>HAI</w:t>
      </w:r>
      <w:r>
        <w:rPr>
          <w:rFonts w:ascii="Times New Roman" w:cs="Times New Roman" w:eastAsia="Times New Roman" w:hAnsi="Times New Roman"/>
          <w:sz w:val="14"/>
          <w:szCs w:val="14"/>
          <w:color w:val="auto"/>
        </w:rPr>
        <w:t>. In the placebo group, HAI GMT remained essentially unchanged (1:33) at day 28 post dosing. The GMFR of HAI titers both active treated groups at day 28 post dosing was about 2-fold,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and independent of dose. For the vaccinated groups receiving either 1×10</w:t>
      </w:r>
      <w:r>
        <w:rPr>
          <w:rFonts w:ascii="Times New Roman" w:cs="Times New Roman" w:eastAsia="Times New Roman" w:hAnsi="Times New Roman"/>
          <w:sz w:val="23"/>
          <w:szCs w:val="23"/>
          <w:color w:val="auto"/>
          <w:vertAlign w:val="superscript"/>
        </w:rPr>
        <w:t>10</w:t>
      </w:r>
      <w:r>
        <w:rPr>
          <w:rFonts w:ascii="Times New Roman" w:cs="Times New Roman" w:eastAsia="Times New Roman" w:hAnsi="Times New Roman"/>
          <w:sz w:val="14"/>
          <w:szCs w:val="14"/>
          <w:color w:val="auto"/>
        </w:rPr>
        <w:t xml:space="preserve"> IU or 1×10</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4"/>
          <w:szCs w:val="14"/>
          <w:color w:val="auto"/>
        </w:rPr>
        <w:t xml:space="preserve"> IU, seroconversion was observed in 5/19 subjects (26.3%) and 3/19 subjects (15.8%), respectively. There were no seroconversions in the placebo group.</w:t>
      </w:r>
    </w:p>
    <w:p>
      <w:pPr>
        <w:spacing w:after="0" w:line="155" w:lineRule="exact"/>
        <w:rPr>
          <w:sz w:val="20"/>
          <w:szCs w:val="20"/>
          <w:color w:val="auto"/>
        </w:rPr>
      </w:pPr>
    </w:p>
    <w:p>
      <w:pPr>
        <w:jc w:val="both"/>
        <w:ind w:right="60" w:firstLine="254"/>
        <w:spacing w:after="0" w:line="21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Antibody Secreting Cells (ASCs). </w:t>
      </w:r>
      <w:r>
        <w:rPr>
          <w:rFonts w:ascii="Times New Roman" w:cs="Times New Roman" w:eastAsia="Times New Roman" w:hAnsi="Times New Roman"/>
          <w:sz w:val="14"/>
          <w:szCs w:val="14"/>
          <w:color w:val="auto"/>
        </w:rPr>
        <w:t>In order to measure total antibody responses to HA, the numbers of circulating B cells that recognize influenza HA in peripheral blood were measured by ASC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assay on days 0 and 7 after immunization. Results show that ASCs could be reliably measured on day 7 in the vaccine-treated groups. Background ASCs were generally negligible on day 0. By IgG ASC, 68% of 1×10</w:t>
      </w:r>
      <w:r>
        <w:rPr>
          <w:rFonts w:ascii="Times New Roman" w:cs="Times New Roman" w:eastAsia="Times New Roman" w:hAnsi="Times New Roman"/>
          <w:sz w:val="22"/>
          <w:szCs w:val="22"/>
          <w:color w:val="auto"/>
          <w:vertAlign w:val="superscript"/>
        </w:rPr>
        <w:t>10</w:t>
      </w:r>
      <w:r>
        <w:rPr>
          <w:rFonts w:ascii="Times New Roman" w:cs="Times New Roman" w:eastAsia="Times New Roman" w:hAnsi="Times New Roman"/>
          <w:sz w:val="14"/>
          <w:szCs w:val="14"/>
          <w:color w:val="auto"/>
        </w:rPr>
        <w:t xml:space="preserve"> IU dose subjects responded, and 84% of subjects in the 1×10</w:t>
      </w:r>
      <w:r>
        <w:rPr>
          <w:rFonts w:ascii="Times New Roman" w:cs="Times New Roman" w:eastAsia="Times New Roman" w:hAnsi="Times New Roman"/>
          <w:sz w:val="22"/>
          <w:szCs w:val="22"/>
          <w:color w:val="auto"/>
          <w:vertAlign w:val="superscript"/>
        </w:rPr>
        <w:t>11</w:t>
      </w:r>
      <w:r>
        <w:rPr>
          <w:rFonts w:ascii="Times New Roman" w:cs="Times New Roman" w:eastAsia="Times New Roman" w:hAnsi="Times New Roman"/>
          <w:sz w:val="14"/>
          <w:szCs w:val="14"/>
          <w:color w:val="auto"/>
        </w:rPr>
        <w:t xml:space="preserve"> IU dose group responded. For the 1×10</w:t>
      </w:r>
      <w:r>
        <w:rPr>
          <w:rFonts w:ascii="Times New Roman" w:cs="Times New Roman" w:eastAsia="Times New Roman" w:hAnsi="Times New Roman"/>
          <w:sz w:val="22"/>
          <w:szCs w:val="22"/>
          <w:color w:val="auto"/>
          <w:vertAlign w:val="superscript"/>
        </w:rPr>
        <w:t>11</w:t>
      </w:r>
      <w:r>
        <w:rPr>
          <w:rFonts w:ascii="Times New Roman" w:cs="Times New Roman" w:eastAsia="Times New Roman" w:hAnsi="Times New Roman"/>
          <w:sz w:val="14"/>
          <w:szCs w:val="14"/>
          <w:color w:val="auto"/>
        </w:rPr>
        <w:t xml:space="preserve"> IU dose vaccine treated group, an average of 21 IgA ASCs (95% CI: 7</w:t>
      </w:r>
    </w:p>
    <w:p>
      <w:pPr>
        <w:spacing w:after="0" w:line="188" w:lineRule="auto"/>
        <w:rPr>
          <w:sz w:val="20"/>
          <w:szCs w:val="20"/>
          <w:color w:val="auto"/>
        </w:rPr>
      </w:pPr>
      <w:r>
        <w:rPr>
          <w:rFonts w:ascii="Times New Roman" w:cs="Times New Roman" w:eastAsia="Times New Roman" w:hAnsi="Times New Roman"/>
          <w:sz w:val="12"/>
          <w:szCs w:val="12"/>
          <w:color w:val="auto"/>
        </w:rPr>
        <w:t>– 35) and 73 IgG ASCs (95% CI: 35 – 111) each per 1×10</w:t>
      </w:r>
      <w:r>
        <w:rPr>
          <w:rFonts w:ascii="Times New Roman" w:cs="Times New Roman" w:eastAsia="Times New Roman" w:hAnsi="Times New Roman"/>
          <w:sz w:val="19"/>
          <w:szCs w:val="19"/>
          <w:color w:val="auto"/>
          <w:vertAlign w:val="superscript"/>
        </w:rPr>
        <w:t>6</w:t>
      </w:r>
      <w:r>
        <w:rPr>
          <w:rFonts w:ascii="Times New Roman" w:cs="Times New Roman" w:eastAsia="Times New Roman" w:hAnsi="Times New Roman"/>
          <w:sz w:val="12"/>
          <w:szCs w:val="12"/>
          <w:color w:val="auto"/>
        </w:rPr>
        <w:t xml:space="preserve"> peripheral blood mononuclear cell (PBMC) were found at day 7. For the 1×10</w:t>
      </w:r>
      <w:r>
        <w:rPr>
          <w:rFonts w:ascii="Times New Roman" w:cs="Times New Roman" w:eastAsia="Times New Roman" w:hAnsi="Times New Roman"/>
          <w:sz w:val="19"/>
          <w:szCs w:val="19"/>
          <w:color w:val="auto"/>
          <w:vertAlign w:val="superscript"/>
        </w:rPr>
        <w:t>10</w:t>
      </w:r>
      <w:r>
        <w:rPr>
          <w:rFonts w:ascii="Times New Roman" w:cs="Times New Roman" w:eastAsia="Times New Roman" w:hAnsi="Times New Roman"/>
          <w:sz w:val="12"/>
          <w:szCs w:val="12"/>
          <w:color w:val="auto"/>
        </w:rPr>
        <w:t xml:space="preserve"> IU dose vaccine treated group, an average of 16 IgA</w:t>
      </w:r>
    </w:p>
    <w:p>
      <w:pPr>
        <w:ind w:right="120"/>
        <w:spacing w:after="0" w:line="263" w:lineRule="auto"/>
        <w:rPr>
          <w:sz w:val="20"/>
          <w:szCs w:val="20"/>
          <w:color w:val="auto"/>
        </w:rPr>
      </w:pPr>
      <w:r>
        <w:rPr>
          <w:rFonts w:ascii="Times New Roman" w:cs="Times New Roman" w:eastAsia="Times New Roman" w:hAnsi="Times New Roman"/>
          <w:sz w:val="14"/>
          <w:szCs w:val="14"/>
          <w:color w:val="auto"/>
        </w:rPr>
        <w:t>ASCs (95% CI: 2 – 29) and 44 IgG ASCs (95% CI: 21 – 66) were found at day 7. The placebo group had no responders, and negligible average number of spots (1 or less) on Day 7 (95% CI: -0.6 – -2).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Next Steps</w:t>
      </w:r>
    </w:p>
    <w:p>
      <w:pPr>
        <w:spacing w:after="0" w:line="180"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We continue to advance our avian influenza program. We previously published data demonstrating protection in a preclinical model against avian influenza after oral immunization (Clin Vaccine Immunol 2013). In 2025, we completed a preclinical study with a newly created avian influenza vaccine candidate to cover the latest clade 2.3.4.4b H5N1 avian influenza strain. This vaccine candidate was 100% protective against death in a robust ferret clade 2.3.4.4b challenge model, compared with 0% survival in placebo-treated animals. Vaxart intends to publish the results of this preclinical study in a peer-reviewed publication.</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380" w:firstLine="254"/>
        <w:spacing w:after="0" w:line="286" w:lineRule="auto"/>
        <w:rPr>
          <w:sz w:val="20"/>
          <w:szCs w:val="20"/>
          <w:color w:val="auto"/>
        </w:rPr>
      </w:pPr>
      <w:r>
        <w:rPr>
          <w:rFonts w:ascii="Times New Roman" w:cs="Times New Roman" w:eastAsia="Times New Roman" w:hAnsi="Times New Roman"/>
          <w:sz w:val="14"/>
          <w:szCs w:val="14"/>
          <w:color w:val="auto"/>
        </w:rPr>
        <w:t>The Company intends to work with governments around the world to create pandemic monovalent influenza vaccines for emergency use or stockpiling, if requested. We are also continuing development of our preclinical seasonal influenza vaccine candidate.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HPV Therapeutic Vaccine Program</w:t>
      </w:r>
    </w:p>
    <w:p>
      <w:pPr>
        <w:spacing w:after="0" w:line="180" w:lineRule="exact"/>
        <w:rPr>
          <w:sz w:val="20"/>
          <w:szCs w:val="20"/>
          <w:color w:val="auto"/>
        </w:rPr>
      </w:pPr>
    </w:p>
    <w:p>
      <w:pPr>
        <w:ind w:right="60" w:firstLine="254"/>
        <w:spacing w:after="0" w:line="259" w:lineRule="auto"/>
        <w:rPr>
          <w:sz w:val="20"/>
          <w:szCs w:val="20"/>
          <w:color w:val="auto"/>
        </w:rPr>
      </w:pPr>
      <w:r>
        <w:rPr>
          <w:rFonts w:ascii="Times New Roman" w:cs="Times New Roman" w:eastAsia="Times New Roman" w:hAnsi="Times New Roman"/>
          <w:sz w:val="14"/>
          <w:szCs w:val="14"/>
          <w:color w:val="auto"/>
        </w:rPr>
        <w:t>HPV is a family of more than 120 viruses which are extremely common globally. At least 13 HPV types are cancer-causing. HPV is primarily transmitted through sexual contact and infection is very prevalent following the onset of sexual activity. Nearly all cases of cervical cancer are attributable to HPV infection, with two HPV types – HPV-16 and HPV-18 – responsible for 70% of cervical cancers and precancerous cervical lesions. Cervical cancer is the fourth most common cancer in women worldwide, and about 13,000 new cases are diagnosed annually in the U.S. according to the National Cervical Cancer Coalition. Studies have indicated a high lifetime probability of any HPV infection by both men and women in the U.S., with some estimates indicating at least 80% of women and men acquire HPV by age 45. The CDC estimates 80 million U.S. citizens are currently infected with HPV, representing 25% of the population, with about 14 million new infections per year.</w:t>
      </w:r>
    </w:p>
    <w:p>
      <w:pPr>
        <w:spacing w:after="0" w:line="145" w:lineRule="exact"/>
        <w:rPr>
          <w:sz w:val="20"/>
          <w:szCs w:val="20"/>
          <w:color w:val="auto"/>
        </w:rPr>
      </w:pPr>
    </w:p>
    <w:p>
      <w:pPr>
        <w:ind w:right="140" w:firstLine="254"/>
        <w:spacing w:after="0" w:line="269" w:lineRule="auto"/>
        <w:rPr>
          <w:sz w:val="20"/>
          <w:szCs w:val="20"/>
          <w:color w:val="auto"/>
        </w:rPr>
      </w:pPr>
      <w:r>
        <w:rPr>
          <w:rFonts w:ascii="Times New Roman" w:cs="Times New Roman" w:eastAsia="Times New Roman" w:hAnsi="Times New Roman"/>
          <w:sz w:val="14"/>
          <w:szCs w:val="14"/>
          <w:color w:val="auto"/>
        </w:rPr>
        <w:t>In women, many HPV infections of the cervix will spontaneously resolve and clear within two to three years, but women who have a persistent infection are at high risk of developing cellular abnormalities known as cervical intraepithelial neoplasia (“CIN”), which can progress to invasive cancer over time. More than 400,000 women are diagnosed with CIN annually in the U.S., with an annual incidence estimate for CIN1 and CIN2/3 at 1.6 and 1.2 per 1,000 women, respectively.</w:t>
      </w:r>
    </w:p>
    <w:p>
      <w:pPr>
        <w:spacing w:after="0" w:line="137" w:lineRule="exact"/>
        <w:rPr>
          <w:sz w:val="20"/>
          <w:szCs w:val="20"/>
          <w:color w:val="auto"/>
        </w:rPr>
      </w:pPr>
    </w:p>
    <w:p>
      <w:pPr>
        <w:ind w:right="160" w:firstLine="254"/>
        <w:spacing w:after="0" w:line="269" w:lineRule="auto"/>
        <w:rPr>
          <w:sz w:val="20"/>
          <w:szCs w:val="20"/>
          <w:color w:val="auto"/>
        </w:rPr>
      </w:pPr>
      <w:r>
        <w:rPr>
          <w:rFonts w:ascii="Times New Roman" w:cs="Times New Roman" w:eastAsia="Times New Roman" w:hAnsi="Times New Roman"/>
          <w:sz w:val="14"/>
          <w:szCs w:val="14"/>
          <w:color w:val="auto"/>
        </w:rPr>
        <w:t>There are currently no approved therapeutic vaccines to treat HPV infection or cancer. Current treatment options for women infected with HPV include monitoring CIN status, surgical procedures to remove affected tissue, and chemotherapeutic or radiation therapies to treat localized or metastatic cervical cancer. Therefore, a medical need remains for a therapeutic vaccine to treat women with HPV-associated CIN and/or cervical cancer.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HPV Therapeutic Vaccine Candidate</w:t>
      </w:r>
    </w:p>
    <w:p>
      <w:pPr>
        <w:spacing w:after="0" w:line="180" w:lineRule="exact"/>
        <w:rPr>
          <w:sz w:val="20"/>
          <w:szCs w:val="20"/>
          <w:color w:val="auto"/>
        </w:rPr>
      </w:pPr>
    </w:p>
    <w:p>
      <w:pPr>
        <w:ind w:right="100" w:firstLine="254"/>
        <w:spacing w:after="0" w:line="264" w:lineRule="auto"/>
        <w:rPr>
          <w:sz w:val="20"/>
          <w:szCs w:val="20"/>
          <w:color w:val="auto"/>
        </w:rPr>
      </w:pPr>
      <w:r>
        <w:rPr>
          <w:rFonts w:ascii="Times New Roman" w:cs="Times New Roman" w:eastAsia="Times New Roman" w:hAnsi="Times New Roman"/>
          <w:sz w:val="14"/>
          <w:szCs w:val="14"/>
          <w:color w:val="auto"/>
        </w:rPr>
        <w:t>We are in the early stages of developing a bivalent HPV vaccine against HPV-16 and HPV-18, the strains responsible for approximately 70% of cases of cervical cancer. We plan to target the E6 and E7 gene products of each strain, which are the primary oncogenic proteins responsible for progression through the stages of CIN to invasive cervical cancer. In pre-clinical studies, we have demonstrated immunogenicity for both our HPV-16 and our HPV-18 vaccine candidates. Specifically, mice given our HPV-16 or HPV-18 vaccines induced T cell responses to HPV as measured by IFN gamma ELISPOT. In addition, our HPV-16 vaccine has demonstrated tumor growth suppression as well as increased survival in a robust HPV tumor model in mice.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Next Steps</w:t>
      </w:r>
    </w:p>
    <w:p>
      <w:pPr>
        <w:spacing w:after="0" w:line="18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We will need to make a regulatory filing to proceed with clinical trials for an HPV vaccine candidate. Our clinical plan is to test the vaccine candidate in subjects with cervical dysplasia related to HPV-16 or HPV-18, and to evaluate the ability of the vaccine candidate to clear HPV infection, reduce the cervical dysplasia score, and induce T cells known to be important in the clearance of HPV. The primary endpoint will be safety and the secondary endpoint will be immunogenicity by examining T cell responses. Although clinical responses will be tracked, it is expected that the first study may not be powered to obtain statistically significant efficacy readouts.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Anti-Virals</w:t>
      </w:r>
    </w:p>
    <w:p>
      <w:pPr>
        <w:spacing w:after="0" w:line="180" w:lineRule="exact"/>
        <w:rPr>
          <w:sz w:val="20"/>
          <w:szCs w:val="20"/>
          <w:color w:val="auto"/>
        </w:rPr>
      </w:pPr>
    </w:p>
    <w:p>
      <w:pPr>
        <w:ind w:left="260" w:hanging="128"/>
        <w:spacing w:after="0" w:line="259" w:lineRule="auto"/>
        <w:tabs>
          <w:tab w:leader="none" w:pos="2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2018 Merger with Aviragen, we acquired two royalty earning products, Relenza and Inavir. We also acquired three Phase 2 clinical stage antiviral compounds, of which we have discontinued independent clinical development. However, for one of these, Vapendavir, we have entered into an exclusive worldwide license agreement with Altesa Biosciences, Inc. (“Altesa”) in July 2021, permitting Altesa to develop and commercialize this capsid-binding broad-spectrum antiviral. In May 2025, Altesa announced positive top line results from its Phase 2 placebo-controlled study examining the effects of Vapendavir in COPD patients challenged with rhinovirus. Altesa subsequently communicated their intention to run a randomized placebo-controlled Phase 2b trial that will enroll 900 COPD patients to examine the safety and efficacy of Vapendavir to treat rhinovirus infections in patients with COPD. In February 2026, Altesa announced a $75 million Series B funding round to support the Phase 2b study.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260" w:right="20" w:hanging="128"/>
        <w:spacing w:after="0" w:line="264" w:lineRule="auto"/>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Relenza and Inavir are antivirals for the treatment of influenza, marketed by GlaxoSmithKline, plc (“GSK”) and Daiichi Sankyo Company, Limited (“Daiichi Sankyo”), respectively. We have earned royalties on the net sales of Relenza and Inavir in Japan. The last patent for Relenza expired in July 2019 and based on information provided by Daiichi Sankyo, the last patent for Inavir expires in August 2036. Sales of these antivirals vary significantly by quarter, because influenza virus activity displays strong seasonal cycles, and by year depending on the intensity and duration of the flu season, the impact COVID-19 has had, and may continue to have, on seasonal influenza, and competition from other antivirals such as Tamiflu and Xofluza.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180" w:lineRule="exact"/>
        <w:rPr>
          <w:sz w:val="20"/>
          <w:szCs w:val="20"/>
          <w:color w:val="auto"/>
        </w:rPr>
      </w:pPr>
    </w:p>
    <w:p>
      <w:pPr>
        <w:ind w:right="300" w:firstLine="254"/>
        <w:spacing w:after="0" w:line="269" w:lineRule="auto"/>
        <w:rPr>
          <w:sz w:val="20"/>
          <w:szCs w:val="20"/>
          <w:color w:val="auto"/>
        </w:rPr>
      </w:pPr>
      <w:r>
        <w:rPr>
          <w:rFonts w:ascii="Times New Roman" w:cs="Times New Roman" w:eastAsia="Times New Roman" w:hAnsi="Times New Roman"/>
          <w:sz w:val="14"/>
          <w:szCs w:val="14"/>
          <w:color w:val="auto"/>
        </w:rPr>
        <w:t>Manufacturing our oral tablet vaccines consists of two main stages, the production of bulk vaccine (drug substance), and the formulation and tableting thereof (drug product). Drug substance manufacturing consists primarily of the production and purification of the active ingredient. Bulk drug substance is then lyophilized, formulated and subsequently tableted and coated using a proprietary formulation and tableting process that we developed.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Bulk Vaccine Manufacturing (Drug Substance)</w:t>
      </w:r>
    </w:p>
    <w:p>
      <w:pPr>
        <w:spacing w:after="0" w:line="180"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From inception, we relied on a combination of third-party contract manufacturers and in-house facilities to manufacture clinical cGMP bulk drug substance for our tablet vaccine candidates. Starting in 2017, we invested in developing our own bulk vaccine manufacturing process with the aim to establish a small cGMP bulk manufacturing facility at our corporate headquarters in California for manufacturing cGMP product for our Phase 1 and small Phase 2 trials. We expanded in November 2021 by subleasing another GMP manufacturing facility which we use to perform the same bulk manufacturing processes in-house.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Vaccine Tablet Manufacturing (Drug Product)</w:t>
      </w:r>
    </w:p>
    <w:p>
      <w:pPr>
        <w:spacing w:after="0" w:line="180"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From inception we contracted with third-party contract manufacturers for the manufacture, labeling, packaging, storage, and distribution of our drug product. In 2016, we established drug product manufacturing capabilities at our corporate headquarters. Our facility is licensed by the State of California Department of Public Health Food and Drug Branch to manufacture drug product for clinical trials. We have also built a new GMP facility in California for tableting, coating and packaging of our vaccine candidates.</w:t>
      </w:r>
    </w:p>
    <w:p>
      <w:pPr>
        <w:spacing w:after="0" w:line="137" w:lineRule="exact"/>
        <w:rPr>
          <w:sz w:val="20"/>
          <w:szCs w:val="20"/>
          <w:color w:val="auto"/>
        </w:rPr>
      </w:pPr>
    </w:p>
    <w:p>
      <w:pPr>
        <w:ind w:right="60" w:firstLine="254"/>
        <w:spacing w:after="0" w:line="257" w:lineRule="auto"/>
        <w:rPr>
          <w:sz w:val="20"/>
          <w:szCs w:val="20"/>
          <w:color w:val="auto"/>
        </w:rPr>
      </w:pPr>
      <w:r>
        <w:rPr>
          <w:rFonts w:ascii="Times New Roman" w:cs="Times New Roman" w:eastAsia="Times New Roman" w:hAnsi="Times New Roman"/>
          <w:sz w:val="14"/>
          <w:szCs w:val="14"/>
          <w:color w:val="auto"/>
        </w:rPr>
        <w:t>We have limited experience with process development, and the manufacture, testing, quality release, storage and distribution of drug substance and drug product according to cGMP and regulatory filings. The cGMP regulations include requirements relating to the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Our facilities, and our third-party manufacturers, are subject to periodic inspections by FDA and local authorities, which include, but are not limited to procedures and operations used in the testing and manufacture of our vaccine candidates to assess our compliance with applicable regulations. If we or our third-part manufacturers fail to comply with statutory and regulatory requirements we and they could be subject to possible legal or regulatory action, including warning letters, the seizure or recall of products, injunctions, consent decrees placing significant restrictions on or suspending manufacturing operations and civil and criminal penalties. These actions could have a material adverse impact on the availability of our tablet vaccine candidates. Similar to contract manufacturers, we have in the past encountered difficulties involving production yields, quality control and quality assurance, and if we are not able to produce drug product or drug substance in sufficient quantities our ability to conduct our clinical trials and commercialize our tablet vaccine candidates, if approved, will be impaired.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80" w:lineRule="exact"/>
        <w:rPr>
          <w:sz w:val="20"/>
          <w:szCs w:val="20"/>
          <w:color w:val="auto"/>
        </w:rPr>
      </w:pPr>
    </w:p>
    <w:p>
      <w:pPr>
        <w:jc w:val="both"/>
        <w:ind w:right="340" w:firstLine="254"/>
        <w:spacing w:after="0" w:line="269"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with third parties, such as clinical research organizations, medical institutions, clinical investigators and contract laboratories, to conduct our clinical trials and aspects of our research and preclinical testing. These third parties provide project management and monitoring services and regulatory consulting and investigative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18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The pharmaceutical and vaccine industries are characterized by intense competition to develop new technologies and proprietary products. In general, competition among pharmaceutical products is based in part on product efficacy, safety, reliability, availability, price and patent position.</w:t>
      </w:r>
    </w:p>
    <w:p>
      <w:pPr>
        <w:spacing w:after="0" w:line="125" w:lineRule="exact"/>
        <w:rPr>
          <w:sz w:val="20"/>
          <w:szCs w:val="20"/>
          <w:color w:val="auto"/>
        </w:rPr>
      </w:pPr>
    </w:p>
    <w:p>
      <w:pPr>
        <w:ind w:right="40" w:firstLine="254"/>
        <w:spacing w:after="0" w:line="269" w:lineRule="auto"/>
        <w:rPr>
          <w:sz w:val="20"/>
          <w:szCs w:val="20"/>
          <w:color w:val="auto"/>
        </w:rPr>
      </w:pPr>
      <w:r>
        <w:rPr>
          <w:rFonts w:ascii="Times New Roman" w:cs="Times New Roman" w:eastAsia="Times New Roman" w:hAnsi="Times New Roman"/>
          <w:sz w:val="14"/>
          <w:szCs w:val="14"/>
          <w:color w:val="auto"/>
        </w:rPr>
        <w:t>While we believe that our proprietary tablet vaccine candidates provide competitive advantages, we face competition from many different sources, including biotechnology and pharmaceutical companies, and we may also face competition from academic institutions, government agencies, as well as public and private research institutions. Any products that we may commercialize will have to compete with existing products and therapies as well as new products and therapies that may become available in the future.</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are other organizations working to improve existing therapies, vaccines or delivery methods, or to develop new vaccines, therapies or delivery methods for their selected indications.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Depending on how successful these efforts are, it is possible they may increase the barriers to adoption and success of our vaccine candidates, if approved.</w:t>
      </w:r>
    </w:p>
    <w:p>
      <w:pPr>
        <w:spacing w:after="0" w:line="164"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We anticipate that we will face intense and increasing competition as new vaccines enter the market and advanced technologies become available. We expect any tablet or other oral delivery vaccine candidates that we develop and commercialize to compete on the basis of, among other things, efficacy, safety, convenience of administration and delivery, price, availability of therapeutics, the level of generic competition and the availability of reimbursement from government and other third-party payors.</w:t>
      </w:r>
    </w:p>
    <w:p>
      <w:pPr>
        <w:spacing w:after="0" w:line="137" w:lineRule="exact"/>
        <w:rPr>
          <w:sz w:val="20"/>
          <w:szCs w:val="20"/>
          <w:color w:val="auto"/>
        </w:rPr>
      </w:pPr>
    </w:p>
    <w:p>
      <w:pPr>
        <w:ind w:right="80" w:firstLine="254"/>
        <w:spacing w:after="0" w:line="264" w:lineRule="auto"/>
        <w:rPr>
          <w:sz w:val="20"/>
          <w:szCs w:val="20"/>
          <w:color w:val="auto"/>
        </w:rPr>
      </w:pPr>
      <w:r>
        <w:rPr>
          <w:rFonts w:ascii="Times New Roman" w:cs="Times New Roman" w:eastAsia="Times New Roman" w:hAnsi="Times New Roman"/>
          <w:sz w:val="14"/>
          <w:szCs w:val="14"/>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can obtain approval for our vaccine candidates, which could result in our competitors establishing a strong market position before we are able to enter the market. In addition, our ability to compete may be affected in many cases by insurers or other third-party payors seeking to encourage the use of generic products.</w:t>
      </w:r>
    </w:p>
    <w:p>
      <w:pPr>
        <w:spacing w:after="0" w:line="140"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We face competition from smaller companies who, like us, rely on investors to fund research and development and compete for co-development and licensing opportunities from large and established pharmaceutical companies. We may also face significant competition in pursuing partnership opportunities and strategic acquisitions from other companies, financial investors and enterprises whose cost of capital may be lower than ours. Competition for future partnerships or asset acquisition opportunities in our markets is intense and we may be forced to increase the price we pay for such assets.</w:t>
      </w:r>
    </w:p>
    <w:p>
      <w:pPr>
        <w:spacing w:after="0" w:line="140" w:lineRule="exact"/>
        <w:rPr>
          <w:sz w:val="20"/>
          <w:szCs w:val="20"/>
          <w:color w:val="auto"/>
        </w:rPr>
      </w:pPr>
    </w:p>
    <w:p>
      <w:pPr>
        <w:ind w:right="20" w:firstLine="254"/>
        <w:spacing w:after="0" w:line="286" w:lineRule="auto"/>
        <w:rPr>
          <w:sz w:val="20"/>
          <w:szCs w:val="20"/>
          <w:color w:val="auto"/>
        </w:rPr>
      </w:pPr>
      <w:r>
        <w:rPr>
          <w:rFonts w:ascii="Times New Roman" w:cs="Times New Roman" w:eastAsia="Times New Roman" w:hAnsi="Times New Roman"/>
          <w:sz w:val="14"/>
          <w:szCs w:val="14"/>
          <w:color w:val="auto"/>
        </w:rPr>
        <w:t>We also depend upon our ability to attract and retain qualified personnel, obtain patent protection or otherwise develop proprietary products or processes and secure sufficient capital resources for the development and commercialization of our products.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Norovirus Vaccine Candidate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January 2026, there are no vaccines approved by the FDA or other global regulatory agencies for the prevention of norovirus. We are aware that Moderna, Inc. and Merck, Inc.</w:t>
      </w:r>
    </w:p>
    <w:p>
      <w:pPr>
        <w:spacing w:after="0" w:line="2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are developing norovirus vaccines that would be delivered by injection. Other companies reporting development of a norovirus vaccine candidate are Anhui Zhifei Longcom Biopharmaceutical Co. Ltd., Chongqing Zhifei Biological Products Co., Ltd., and the National Vaccine and Serum Institute of China. In addition, we are aware of Cocrystal Pharma, Inc. reporting development of an oral antiviral for norovirus. There may be other development programs that we are not aware of.</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Vaccine Candidate</w:t>
      </w:r>
    </w:p>
    <w:p>
      <w:pPr>
        <w:spacing w:after="0" w:line="18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There is significant competition in the COVID-19 vaccine market. Pfizer-BioNTech’s COVID-19 vaccine, Moderna’s COVID-19 vaccine, and Novavax’s COVID-19 vaccine have been approved in the U.S. and many countries around the world.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 Influenza Vaccine Candidate</w:t>
      </w:r>
    </w:p>
    <w:p>
      <w:pPr>
        <w:spacing w:after="0" w:line="180" w:lineRule="exact"/>
        <w:rPr>
          <w:sz w:val="20"/>
          <w:szCs w:val="20"/>
          <w:color w:val="auto"/>
        </w:rPr>
      </w:pPr>
    </w:p>
    <w:p>
      <w:pPr>
        <w:ind w:right="260" w:firstLine="254"/>
        <w:spacing w:after="0" w:line="264" w:lineRule="auto"/>
        <w:rPr>
          <w:sz w:val="20"/>
          <w:szCs w:val="20"/>
          <w:color w:val="auto"/>
        </w:rPr>
      </w:pPr>
      <w:r>
        <w:rPr>
          <w:rFonts w:ascii="Times New Roman" w:cs="Times New Roman" w:eastAsia="Times New Roman" w:hAnsi="Times New Roman"/>
          <w:sz w:val="14"/>
          <w:szCs w:val="14"/>
          <w:color w:val="auto"/>
        </w:rPr>
        <w:t>We believe our seasonal influenza vaccine candidate would compete directly with approved vaccines in the market, which include non-recombinant and recombinant products that are administered via injection or intranasally. Major players include AstraZeneca plc, CSL Ltd., Emergent BioSolutions Inc., F. Hoffmann-La Roche AG, GSK PLC, Instituto Butantan, Merck &amp; Co., Inc., Pfizer, Inc., Sanofi S.A., and Sinovac Biotech Ltd. Novel influenza programs are being developed by Centivax, Inc., Emergent BioSolutions, GSK plc, and Moderna, Inc. Antiviral programs targeting influenza are in development or marketed by F. Hoffmann-La Roche AG. and Merck &amp; Co., Inc.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HPV Therapeutic Vaccine Candidate</w:t>
      </w:r>
    </w:p>
    <w:p>
      <w:pPr>
        <w:spacing w:after="0" w:line="180" w:lineRule="exact"/>
        <w:rPr>
          <w:sz w:val="20"/>
          <w:szCs w:val="20"/>
          <w:color w:val="auto"/>
        </w:rPr>
      </w:pPr>
    </w:p>
    <w:p>
      <w:pPr>
        <w:ind w:right="60" w:firstLine="254"/>
        <w:spacing w:after="0" w:line="269" w:lineRule="auto"/>
        <w:rPr>
          <w:sz w:val="20"/>
          <w:szCs w:val="20"/>
          <w:color w:val="auto"/>
        </w:rPr>
      </w:pPr>
      <w:r>
        <w:rPr>
          <w:rFonts w:ascii="Times New Roman" w:cs="Times New Roman" w:eastAsia="Times New Roman" w:hAnsi="Times New Roman"/>
          <w:sz w:val="14"/>
          <w:szCs w:val="14"/>
          <w:color w:val="auto"/>
        </w:rPr>
        <w:t>As of January 2026, there are no therapeutic vaccines approved by the FDA or other global regulatory agencies for the treatment of HPV; however, a number of vaccine manufacturers, academic institutions and other organizations currently have, or have had, programs to develop such a vaccine. We believe that several companies are in various stages of developing an HPV therapeutic vaccine including Inovio Pharmaceuticals, Inc., Genexine Inc., and several others.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Inavir</w:t>
      </w:r>
    </w:p>
    <w:p>
      <w:pPr>
        <w:spacing w:after="0" w:line="180" w:lineRule="exact"/>
        <w:rPr>
          <w:sz w:val="20"/>
          <w:szCs w:val="20"/>
          <w:color w:val="auto"/>
        </w:rPr>
      </w:pPr>
    </w:p>
    <w:p>
      <w:pPr>
        <w:jc w:val="both"/>
        <w:ind w:right="20" w:firstLine="254"/>
        <w:spacing w:after="0" w:line="269" w:lineRule="auto"/>
        <w:rPr>
          <w:sz w:val="20"/>
          <w:szCs w:val="20"/>
          <w:color w:val="auto"/>
        </w:rPr>
      </w:pPr>
      <w:r>
        <w:rPr>
          <w:rFonts w:ascii="Times New Roman" w:cs="Times New Roman" w:eastAsia="Times New Roman" w:hAnsi="Times New Roman"/>
          <w:sz w:val="14"/>
          <w:szCs w:val="14"/>
          <w:color w:val="auto"/>
        </w:rPr>
        <w:t>A number of competing anti-influenza antivirals are marketed in Japan, including Xofluza, Tamiflu, Rapiacta, and Relenza. Xofluza is marketed by Shionogi &amp; Co., Ltd. and currently believed to be the market leader in Japan, substantially reducing the sales of Inavir in Japan by Daiichi Sankyo. This has had a significant negative impact on the royalty payments we have received from Daiichi Sankyo and may continue to have a significant negative impact on our future royalty revenues.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80"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We strive to protect and enhance our proprietary technology, inventions and improvements that are commercially important to our business by seeking, maintaining, and defending patent rights. We also rely on trade secrets relating to our platform and on know-how, continuing technological innovation to develop, strengthen and maintain our proprietary position in the vaccine field. In addition, we rely on regulatory protection afforded through data exclusivity, market exclusivity and patent term extensions where available. We also utilize trademark protection for our company name and expect to do so for products and/or services as they are marketed.</w:t>
      </w:r>
    </w:p>
    <w:p>
      <w:pPr>
        <w:spacing w:after="0" w:line="140"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Our commercial success will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stop third parties from making, using, selling, offering to sell or importing our tablet vaccine candidates may depend on the extent to which we have rights under valid and enforceable patents or trade secrets that cover these activities. With respect to company-owned intellectual property, we cannot be sure that patents will be granted with respect to any of our pending patent applications or with respect to any patent applications we may file in the future, nor can we be sure that any of our existing patents or any patents that may be granted to us in the future will be commercially useful in protecting our commercial products and methods of manufacturing the same.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developed numerous patents and patent applications and own substantial know-how and trade secrets related to our platform and tablet vaccine candidates.</w:t>
      </w:r>
    </w:p>
    <w:p>
      <w:pPr>
        <w:spacing w:after="0" w:line="176" w:lineRule="exact"/>
        <w:rPr>
          <w:sz w:val="20"/>
          <w:szCs w:val="20"/>
          <w:color w:val="auto"/>
        </w:rPr>
      </w:pPr>
    </w:p>
    <w:p>
      <w:pPr>
        <w:ind w:left="520" w:right="100" w:hanging="261"/>
        <w:spacing w:after="0" w:line="271" w:lineRule="auto"/>
        <w:tabs>
          <w:tab w:leader="none" w:pos="5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Vaccine Platform Technology</w:t>
      </w:r>
      <w:r>
        <w:rPr>
          <w:rFonts w:ascii="Times New Roman" w:cs="Times New Roman" w:eastAsia="Times New Roman" w:hAnsi="Times New Roman"/>
          <w:sz w:val="14"/>
          <w:szCs w:val="14"/>
          <w:color w:val="auto"/>
        </w:rPr>
        <w:t>. As of December 31, 2025, we held three U.S. patents with claims relating to our platform technology. Two of these U.S. patents include claims related to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seasonal influenza vaccine candidate. These patents will expire in 2027, or later if patent term extension applies. As of December 31, 2025, we held more than 45 issued foreign patents related to our platform technology and/or our vaccine candidates. These patents will expire in 2027, or later if patent term extension applies.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520" w:right="160" w:hanging="261"/>
        <w:spacing w:after="0" w:line="271" w:lineRule="auto"/>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Tablet Vaccine Formulation</w:t>
      </w:r>
      <w:r>
        <w:rPr>
          <w:rFonts w:ascii="Times New Roman" w:cs="Times New Roman" w:eastAsia="Times New Roman" w:hAnsi="Times New Roman"/>
          <w:sz w:val="14"/>
          <w:szCs w:val="14"/>
          <w:color w:val="auto"/>
        </w:rPr>
        <w:t>. We own considerable know-how and as of December 31, 2025, held over 25 foreign patents, including in a number of European countries, Canada, Japan,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China, South Korea, Singapore, Australia, Russia, Israel, Indonesia, Vietnam, the Eurasian Patent Organization and South Africa. We also have one application pending in the U.S. Patents issuing from these applications will expire in 2035, or later if patent term extension applies.</w:t>
      </w:r>
    </w:p>
    <w:p>
      <w:pPr>
        <w:spacing w:after="0" w:line="133" w:lineRule="exact"/>
        <w:rPr>
          <w:rFonts w:ascii="Times New Roman" w:cs="Times New Roman" w:eastAsia="Times New Roman" w:hAnsi="Times New Roman"/>
          <w:sz w:val="14"/>
          <w:szCs w:val="14"/>
          <w:color w:val="auto"/>
        </w:rPr>
      </w:pPr>
    </w:p>
    <w:p>
      <w:pPr>
        <w:ind w:left="520" w:right="100" w:hanging="261"/>
        <w:spacing w:after="0" w:line="289" w:lineRule="auto"/>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COVID-19 Vaccine Candidate</w:t>
      </w:r>
      <w:r>
        <w:rPr>
          <w:rFonts w:ascii="Times New Roman" w:cs="Times New Roman" w:eastAsia="Times New Roman" w:hAnsi="Times New Roman"/>
          <w:sz w:val="14"/>
          <w:szCs w:val="14"/>
          <w:color w:val="auto"/>
        </w:rPr>
        <w:t>. As of December 31, 2025, we have filed a PCT application and have pending applications in the U.S., EPO, Australia, Canada, China, Japan, South Korea,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India, and South Africa relating to our COVID-19 vaccine candidate. Any patents issuing from these pending applications will expire in 2041/2042, or later if patent term extension applies.</w:t>
      </w:r>
    </w:p>
    <w:p>
      <w:pPr>
        <w:spacing w:after="0" w:line="121" w:lineRule="exact"/>
        <w:rPr>
          <w:rFonts w:ascii="Times New Roman" w:cs="Times New Roman" w:eastAsia="Times New Roman" w:hAnsi="Times New Roman"/>
          <w:sz w:val="14"/>
          <w:szCs w:val="14"/>
          <w:color w:val="auto"/>
        </w:rPr>
      </w:pPr>
    </w:p>
    <w:p>
      <w:pPr>
        <w:jc w:val="both"/>
        <w:ind w:left="520" w:right="360" w:hanging="261"/>
        <w:spacing w:after="0" w:line="265" w:lineRule="auto"/>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Norovirus Vaccine Tablet Candidates</w:t>
      </w:r>
      <w:r>
        <w:rPr>
          <w:rFonts w:ascii="Times New Roman" w:cs="Times New Roman" w:eastAsia="Times New Roman" w:hAnsi="Times New Roman"/>
          <w:sz w:val="14"/>
          <w:szCs w:val="14"/>
          <w:color w:val="auto"/>
        </w:rPr>
        <w:t>. As of December 31, 2025, we have filed a provisional application in the U.S. and held two U.S. patents, and over 20 patents in foreign countries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including a number of European countries, Australia, Japan, South Korea, South Africa, The African Regional Intellectual Property Organization (ARIPO), and New Zealand, and have pending applications in the U.S., China, Canada, the EPO, and the Eurasian Patent Organization. Any patents issuing from these applications will expire in 2036, or later if patent term extension applies.</w:t>
      </w:r>
    </w:p>
    <w:p>
      <w:pPr>
        <w:spacing w:after="0" w:line="136" w:lineRule="exact"/>
        <w:rPr>
          <w:rFonts w:ascii="Times New Roman" w:cs="Times New Roman" w:eastAsia="Times New Roman" w:hAnsi="Times New Roman"/>
          <w:sz w:val="14"/>
          <w:szCs w:val="14"/>
          <w:color w:val="auto"/>
        </w:rPr>
      </w:pPr>
    </w:p>
    <w:p>
      <w:pPr>
        <w:ind w:left="520" w:hanging="261"/>
        <w:spacing w:after="0" w:line="289" w:lineRule="auto"/>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Influenza Vaccine Candidates</w:t>
      </w:r>
      <w:r>
        <w:rPr>
          <w:rFonts w:ascii="Times New Roman" w:cs="Times New Roman" w:eastAsia="Times New Roman" w:hAnsi="Times New Roman"/>
          <w:sz w:val="14"/>
          <w:szCs w:val="14"/>
          <w:color w:val="auto"/>
        </w:rPr>
        <w:t>. We have been issued 13 foreign patents as of December 31, 2025 relating to our current H1N1 influenza vaccine candidate. These patents will expire in 2030,</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later if patent term extension applies.</w:t>
      </w:r>
    </w:p>
    <w:p>
      <w:pPr>
        <w:spacing w:after="0" w:line="123"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PCT applications relating to improved adenoviral vectors and antibodies to norovirus antigens have been filed.</w:t>
      </w:r>
    </w:p>
    <w:p>
      <w:pPr>
        <w:spacing w:after="0" w:line="197" w:lineRule="exact"/>
        <w:rPr>
          <w:rFonts w:ascii="Times New Roman" w:cs="Times New Roman" w:eastAsia="Times New Roman" w:hAnsi="Times New Roman"/>
          <w:sz w:val="14"/>
          <w:szCs w:val="14"/>
          <w:color w:val="auto"/>
        </w:rPr>
      </w:pPr>
    </w:p>
    <w:p>
      <w:pPr>
        <w:ind w:left="520" w:right="40" w:hanging="261"/>
        <w:spacing w:after="0" w:line="271" w:lineRule="auto"/>
        <w:tabs>
          <w:tab w:leader="none" w:pos="5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Inavir</w:t>
      </w:r>
      <w:r>
        <w:rPr>
          <w:rFonts w:ascii="Times New Roman" w:cs="Times New Roman" w:eastAsia="Times New Roman" w:hAnsi="Times New Roman"/>
          <w:sz w:val="14"/>
          <w:szCs w:val="14"/>
          <w:color w:val="auto"/>
        </w:rPr>
        <w:t>. As of December 31, 2025, we own Japanese patents related to Inavir, which is exclusively licensed to Daiichi Sankyo. Based on information provided by Daiichi Sankyo, the last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patent related to Inavir in Japan is set to expire in August 2036, at which time royalty revenue will cease. However, the patent covering the laninamivir octanoate compound expired in 2024, opening the market for generic competition, potentially decreasing or eliminating the royalties received.</w:t>
      </w:r>
    </w:p>
    <w:p>
      <w:pPr>
        <w:spacing w:after="0" w:line="135" w:lineRule="exact"/>
        <w:rPr>
          <w:sz w:val="20"/>
          <w:szCs w:val="20"/>
          <w:color w:val="auto"/>
        </w:rPr>
      </w:pPr>
    </w:p>
    <w:p>
      <w:pPr>
        <w:ind w:right="340" w:firstLine="254"/>
        <w:spacing w:after="0" w:line="269" w:lineRule="auto"/>
        <w:rPr>
          <w:sz w:val="20"/>
          <w:szCs w:val="20"/>
          <w:color w:val="auto"/>
        </w:rPr>
      </w:pPr>
      <w:r>
        <w:rPr>
          <w:rFonts w:ascii="Times New Roman" w:cs="Times New Roman" w:eastAsia="Times New Roman" w:hAnsi="Times New Roman"/>
          <w:sz w:val="14"/>
          <w:szCs w:val="14"/>
          <w:color w:val="auto"/>
        </w:rPr>
        <w:t>In addition to the above, we have established expertise and development capabilities focused in the areas of preclinical research and development, manufacturing and manufacturing process scale-up, quality control, quality assurance, regulatory affairs and clinical trial design and implementation. We believe that our focus and expertise will help us develop products based on our proprietary intellectual property.</w:t>
      </w:r>
    </w:p>
    <w:p>
      <w:pPr>
        <w:spacing w:after="0" w:line="137" w:lineRule="exact"/>
        <w:rPr>
          <w:sz w:val="20"/>
          <w:szCs w:val="20"/>
          <w:color w:val="auto"/>
        </w:rPr>
      </w:pPr>
    </w:p>
    <w:p>
      <w:pPr>
        <w:ind w:right="80" w:firstLine="254"/>
        <w:spacing w:after="0" w:line="269" w:lineRule="auto"/>
        <w:rPr>
          <w:sz w:val="20"/>
          <w:szCs w:val="20"/>
          <w:color w:val="auto"/>
        </w:rPr>
      </w:pPr>
      <w:r>
        <w:rPr>
          <w:rFonts w:ascii="Times New Roman" w:cs="Times New Roman" w:eastAsia="Times New Roman" w:hAnsi="Times New Roman"/>
          <w:sz w:val="14"/>
          <w:szCs w:val="14"/>
          <w:color w:val="auto"/>
        </w:rPr>
        <w:t>The term of individual patents depends upon the legal term of the patents in the countries in which they are obtained. In most countries in which we file, the patent term is 20 years from the date of filing the non-provisional application. In the U.S., a patent’s term may be lengthened by patent term adjustment, which compensates a patentee for administrative delays by the U.S. Patent and Trademark Office in granting a patent, or may be shortened if a patent is terminally disclaimed over an earlier-filed patent.</w:t>
      </w:r>
    </w:p>
    <w:p>
      <w:pPr>
        <w:spacing w:after="0" w:line="137"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The term of a patent that covers an FDA-approved drug may also be eligible for patent term extension, which permits patent term restoration of a U.S. patent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A patent term extension cannot extend the remaining term of a patent beyond a total of 14 years from the date of product approval and only one patent applicable to an approved drug may be extended. Moreover, a patent can only be extended once, and thus, if a single patent is applicable to multiple products, it can only be extended based on one product. Similar provisions are available in Europe and other foreign jurisdictions to extend the term of a patent that covers an approved drug. When possible, depending upon the length of clinical trials and other factors involved in the filing of a new drug application, or NDA, we expect to apply for patent term extensions for patents covering our vaccine candidates and their methods of use.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Trade Secrets</w:t>
      </w:r>
    </w:p>
    <w:p>
      <w:pPr>
        <w:spacing w:after="0" w:line="180" w:lineRule="exact"/>
        <w:rPr>
          <w:sz w:val="20"/>
          <w:szCs w:val="20"/>
          <w:color w:val="auto"/>
        </w:rPr>
      </w:pPr>
    </w:p>
    <w:p>
      <w:pPr>
        <w:ind w:firstLine="254"/>
        <w:spacing w:after="0" w:line="260" w:lineRule="auto"/>
        <w:rPr>
          <w:sz w:val="20"/>
          <w:szCs w:val="20"/>
          <w:color w:val="auto"/>
        </w:rPr>
      </w:pPr>
      <w:r>
        <w:rPr>
          <w:rFonts w:ascii="Times New Roman" w:cs="Times New Roman" w:eastAsia="Times New Roman" w:hAnsi="Times New Roman"/>
          <w:sz w:val="14"/>
          <w:szCs w:val="14"/>
          <w:color w:val="auto"/>
        </w:rPr>
        <w:t>We rely, in some circumstances, on trade secrets to protect our technology.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procedures, agreements or security measures may be breached, and we may not have adequate remedies for any breach. In addition, our trade secrets may otherwise become known or be independently discovered by competitors. To the extent that our consultants, contractors or collaborators use intellectual property owned by others in their work for us, disputes may arise as to the rights in related or resulting know-how and inventions.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 and Product Approval</w:t>
      </w:r>
    </w:p>
    <w:p>
      <w:pPr>
        <w:spacing w:after="0" w:line="180" w:lineRule="exact"/>
        <w:rPr>
          <w:sz w:val="20"/>
          <w:szCs w:val="20"/>
          <w:color w:val="auto"/>
        </w:rPr>
      </w:pPr>
    </w:p>
    <w:p>
      <w:pPr>
        <w:ind w:right="100" w:firstLine="254"/>
        <w:spacing w:after="0" w:line="258" w:lineRule="auto"/>
        <w:rPr>
          <w:sz w:val="20"/>
          <w:szCs w:val="20"/>
          <w:color w:val="auto"/>
        </w:rPr>
      </w:pPr>
      <w:r>
        <w:rPr>
          <w:rFonts w:ascii="Times New Roman" w:cs="Times New Roman" w:eastAsia="Times New Roman" w:hAnsi="Times New Roman"/>
          <w:sz w:val="14"/>
          <w:szCs w:val="14"/>
          <w:color w:val="auto"/>
        </w:rPr>
        <w:t>Federal, state and local government authorities in the U.S.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biological and pharmaceutical products such as those we are developing. Our vaccine candidates must be approved by the FDA before they may be legally marketed in the U.S. and by the appropriate foreign regulatory agency before they may be legally marketed in foreign countries. Generally, our activities in other countries will be subject to regulation that is similar in nature and scope as that imposed in the U.S., even though it may differ in certain respects. The process for obtaining regulatory marketing approvals and the subsequent compliance with appropriate federal, state, local and foreign statutes and regulations require the expenditure of substantial time and financial resources. The rules and regulations that apply to our business are subject to change and it is difficult to foresee whether, how, or when such changes may affect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 Product Development Process</w:t>
      </w:r>
    </w:p>
    <w:p>
      <w:pPr>
        <w:spacing w:after="0" w:line="180" w:lineRule="exact"/>
        <w:rPr>
          <w:sz w:val="20"/>
          <w:szCs w:val="20"/>
          <w:color w:val="auto"/>
        </w:rPr>
      </w:pPr>
    </w:p>
    <w:p>
      <w:pPr>
        <w:ind w:right="20" w:firstLine="254"/>
        <w:spacing w:after="0" w:line="258" w:lineRule="auto"/>
        <w:rPr>
          <w:sz w:val="20"/>
          <w:szCs w:val="20"/>
          <w:color w:val="auto"/>
        </w:rPr>
      </w:pPr>
      <w:r>
        <w:rPr>
          <w:rFonts w:ascii="Times New Roman" w:cs="Times New Roman" w:eastAsia="Times New Roman" w:hAnsi="Times New Roman"/>
          <w:sz w:val="14"/>
          <w:szCs w:val="14"/>
          <w:color w:val="auto"/>
        </w:rPr>
        <w:t>In the U.S., the FDA regulates pharmaceutical and biological products under the Federal Food, Drug and Cosmetic Act, Public Health Service Act, or PHSA, and implementing regulations. Products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or biological product may be marketed in the U.S. generally involves the following:</w:t>
      </w:r>
    </w:p>
    <w:p>
      <w:pPr>
        <w:spacing w:after="0" w:line="145" w:lineRule="exact"/>
        <w:rPr>
          <w:sz w:val="20"/>
          <w:szCs w:val="20"/>
          <w:color w:val="auto"/>
        </w:rPr>
      </w:pPr>
    </w:p>
    <w:p>
      <w:pPr>
        <w:ind w:left="520" w:hanging="261"/>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nonclinical laboratory tests and animal studies according to GLPs, and applicable requirements for the humane use of laboratory animals or other applicable regulations;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which must become effective before human clinical trials may begin;</w:t>
      </w:r>
    </w:p>
    <w:p>
      <w:pPr>
        <w:spacing w:after="0" w:line="199" w:lineRule="exact"/>
        <w:rPr>
          <w:rFonts w:ascii="Times New Roman" w:cs="Times New Roman" w:eastAsia="Times New Roman" w:hAnsi="Times New Roman"/>
          <w:sz w:val="14"/>
          <w:szCs w:val="14"/>
          <w:color w:val="auto"/>
        </w:rPr>
      </w:pPr>
    </w:p>
    <w:p>
      <w:pPr>
        <w:jc w:val="both"/>
        <w:ind w:left="520" w:right="680" w:hanging="261"/>
        <w:spacing w:after="0" w:line="286" w:lineRule="auto"/>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according to the FDA’s regulations commonly referred to as good clinical practice (“GCP”), and any additional requirements for the protection of human research subjects and their health information, to establish the safety and efficacy of the proposed biological product for its intended use;</w:t>
      </w:r>
    </w:p>
    <w:p>
      <w:pPr>
        <w:spacing w:after="0" w:line="125" w:lineRule="exact"/>
        <w:rPr>
          <w:rFonts w:ascii="Times New Roman" w:cs="Times New Roman" w:eastAsia="Times New Roman" w:hAnsi="Times New Roman"/>
          <w:sz w:val="14"/>
          <w:szCs w:val="14"/>
          <w:color w:val="auto"/>
        </w:rPr>
      </w:pPr>
    </w:p>
    <w:p>
      <w:pPr>
        <w:ind w:left="520" w:right="340" w:hanging="261"/>
        <w:spacing w:after="0" w:line="286" w:lineRule="auto"/>
        <w:tabs>
          <w:tab w:leader="none" w:pos="5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 Biologics License Application (“BLA”) for marketing approval that meets applicable requirements to ensure the continued safety, purity, and potency of the product that is the subject of the BLA based on results of nonclinical testing and clinical trials;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520" w:hanging="261"/>
        <w:spacing w:after="0" w:line="286" w:lineRule="auto"/>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inspection of the manufacturing facility or facilities where the biological product is produced, to assess compliance with cGMP, to assure that the facilities, methods and controls are adequate to preserve the biological product’s identity, strength, quality and purity;</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FDA audit of the nonclinical study and clinical trial sites that generated the data in support of the BLA; and</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or licensure, of the BLA.</w:t>
      </w:r>
    </w:p>
    <w:p>
      <w:pPr>
        <w:spacing w:after="0" w:line="199"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Before testing any biological vaccine candidate, including our tablet vaccine candidates, in humans, the vaccine candidate enters the preclinical testing stage. Preclinical tests, also referred to as nonclinical studies, include laboratory evaluations of product chemistry, toxicity and formulation, as well as toxicological and pharmacological studies in animal species, to assess the potential safety and activity of the vaccine candidate. The conduct of the preclinical tests must comply with federal regulations and requirements including GLPs for certain animal studies and the Animal Welfare Act, which is enforced by the Department of Agriculture. The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Any person or entity sponsoring clinical trials in the U.S. to evaluate a product candidate’s safety and effectiveness must submit to the FDA, prior to commencing such trials, an IND application, which provides a basis for the FDA to conclude that there is an adequate basis for testing the product in humans. The IND automatically becomes effective 30 days after receipt by the FDA, unless the FDA raises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 Accordingly, we cannot be sure that submission of an IND will result in the FDA allowing clinical trials to begin, or that, once begun, issues will not arise that suspend or terminate such trials.</w:t>
      </w:r>
    </w:p>
    <w:p>
      <w:pPr>
        <w:spacing w:after="0" w:line="146"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Clinical trials involve the administration of the biological product candidate to healthy volunteers or patients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are subject to extensive regulation. Clinical trials must be conducted and monitored in accordance with the FDA’s bioresearch monitoring regulations and regulations composing the GCP requirements, including the requirement that all research subjects provide informed consent.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145" w:lineRule="exact"/>
        <w:rPr>
          <w:sz w:val="20"/>
          <w:szCs w:val="20"/>
          <w:color w:val="auto"/>
        </w:rPr>
      </w:pPr>
    </w:p>
    <w:p>
      <w:pPr>
        <w:ind w:right="200" w:firstLine="254"/>
        <w:spacing w:after="0" w:line="286" w:lineRule="auto"/>
        <w:rPr>
          <w:sz w:val="20"/>
          <w:szCs w:val="20"/>
          <w:color w:val="auto"/>
        </w:rPr>
      </w:pPr>
      <w:r>
        <w:rPr>
          <w:rFonts w:ascii="Times New Roman" w:cs="Times New Roman" w:eastAsia="Times New Roman" w:hAnsi="Times New Roman"/>
          <w:sz w:val="14"/>
          <w:szCs w:val="14"/>
          <w:color w:val="auto"/>
        </w:rPr>
        <w:t>Foreign studies conducted under an IND must meet the same requirements applicable to studies conducted in the U.S. However, if a foreign study is not conducted under an IND, the data may still be submitted to the FDA in support of a product application, if the study was conducted in accordance with GCP and the FDA is able to validate the data.</w:t>
      </w:r>
    </w:p>
    <w:p>
      <w:pPr>
        <w:spacing w:after="0" w:line="125" w:lineRule="exact"/>
        <w:rPr>
          <w:sz w:val="20"/>
          <w:szCs w:val="20"/>
          <w:color w:val="auto"/>
        </w:rPr>
      </w:pPr>
    </w:p>
    <w:p>
      <w:pPr>
        <w:ind w:right="680" w:firstLine="254"/>
        <w:spacing w:after="0" w:line="263" w:lineRule="auto"/>
        <w:rPr>
          <w:sz w:val="20"/>
          <w:szCs w:val="20"/>
          <w:color w:val="auto"/>
        </w:rPr>
      </w:pPr>
      <w:r>
        <w:rPr>
          <w:rFonts w:ascii="Times New Roman" w:cs="Times New Roman" w:eastAsia="Times New Roman" w:hAnsi="Times New Roman"/>
          <w:sz w:val="14"/>
          <w:szCs w:val="14"/>
          <w:color w:val="auto"/>
        </w:rPr>
        <w:t>The sponsor of a clinical trial or the sponsor’s designated responsible party may be required to register certain information about the trial and disclose certain results on government or independent registry websites, such as clinicaltrials.gov.</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that may overlap or be combined:</w:t>
      </w:r>
    </w:p>
    <w:p>
      <w:pPr>
        <w:spacing w:after="0" w:line="162" w:lineRule="exact"/>
        <w:rPr>
          <w:sz w:val="20"/>
          <w:szCs w:val="20"/>
          <w:color w:val="auto"/>
        </w:rPr>
      </w:pPr>
    </w:p>
    <w:p>
      <w:pPr>
        <w:jc w:val="both"/>
        <w:ind w:left="520" w:right="500" w:hanging="261"/>
        <w:spacing w:after="0" w:line="271" w:lineRule="auto"/>
        <w:tabs>
          <w:tab w:leader="none" w:pos="5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1</w:t>
      </w:r>
      <w:r>
        <w:rPr>
          <w:rFonts w:ascii="Times New Roman" w:cs="Times New Roman" w:eastAsia="Times New Roman" w:hAnsi="Times New Roman"/>
          <w:sz w:val="14"/>
          <w:szCs w:val="14"/>
          <w:color w:val="auto"/>
        </w:rPr>
        <w:t>. The biological product is initially introduced into a small number of healthy human subjects and tested for safety and to develop detailed profiles of its pharmacological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pharmacokinetic actions, determine side effects associated with increasing doses, and if possible, gain early evidence of effectiveness. In the case of some products for severe or life-threatening diseases, especially when the product may be too inherently toxic to ethically administer to healthy volunteers, the initial human testing is often conducted in subjects.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520" w:right="420" w:hanging="261"/>
        <w:spacing w:after="0" w:line="289"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2</w:t>
      </w:r>
      <w:r>
        <w:rPr>
          <w:rFonts w:ascii="Times New Roman" w:cs="Times New Roman" w:eastAsia="Times New Roman" w:hAnsi="Times New Roman"/>
          <w:sz w:val="14"/>
          <w:szCs w:val="14"/>
          <w:color w:val="auto"/>
        </w:rPr>
        <w:t>. The biological product is evaluated in a limited patient population to identify possible adverse effects and safety risks, to preliminarily evaluate the efficacy of the product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specific targeted diseases and to determine dosage tolerance, optimal dosage and dosing schedule.</w:t>
      </w:r>
    </w:p>
    <w:p>
      <w:pPr>
        <w:spacing w:after="0" w:line="121" w:lineRule="exact"/>
        <w:rPr>
          <w:rFonts w:ascii="Times New Roman" w:cs="Times New Roman" w:eastAsia="Times New Roman" w:hAnsi="Times New Roman"/>
          <w:sz w:val="14"/>
          <w:szCs w:val="14"/>
          <w:color w:val="auto"/>
        </w:rPr>
      </w:pPr>
    </w:p>
    <w:p>
      <w:pPr>
        <w:jc w:val="both"/>
        <w:ind w:left="520" w:right="60" w:hanging="261"/>
        <w:spacing w:after="0" w:line="271" w:lineRule="auto"/>
        <w:tabs>
          <w:tab w:leader="none" w:pos="5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Phase 3</w:t>
      </w:r>
      <w:r>
        <w:rPr>
          <w:rFonts w:ascii="Times New Roman" w:cs="Times New Roman" w:eastAsia="Times New Roman" w:hAnsi="Times New Roman"/>
          <w:sz w:val="14"/>
          <w:szCs w:val="14"/>
          <w:color w:val="auto"/>
        </w:rPr>
        <w:t>. Clinical trials are undertaken to further evaluate dosage, clinical efficacy, potency, and safety in an expanded patient population at geographically dispersed clinical trial sites. These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clinical trials are intended to establish the overall risk to benefit profile of the product and provide an adequate basis for product labeling. Phase 3 data often form the core basis on which the FDA evaluates a product candidate’s safety and effectiveness when considering the product application.</w:t>
      </w:r>
    </w:p>
    <w:p>
      <w:pPr>
        <w:spacing w:after="0" w:line="135"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25" w:lineRule="exact"/>
        <w:rPr>
          <w:sz w:val="20"/>
          <w:szCs w:val="20"/>
          <w:color w:val="auto"/>
        </w:rPr>
      </w:pPr>
    </w:p>
    <w:p>
      <w:pPr>
        <w:ind w:right="40" w:firstLine="254"/>
        <w:spacing w:after="0" w:line="257" w:lineRule="auto"/>
        <w:rPr>
          <w:sz w:val="20"/>
          <w:szCs w:val="20"/>
          <w:color w:val="auto"/>
        </w:rPr>
      </w:pPr>
      <w:r>
        <w:rPr>
          <w:rFonts w:ascii="Times New Roman" w:cs="Times New Roman" w:eastAsia="Times New Roman" w:hAnsi="Times New Roman"/>
          <w:sz w:val="14"/>
          <w:szCs w:val="14"/>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biological product has been associated with unexpected serious harm to subjects.</w:t>
      </w:r>
    </w:p>
    <w:p>
      <w:pPr>
        <w:spacing w:after="0" w:line="145"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criteria,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Review and Approval Processes</w:t>
      </w:r>
    </w:p>
    <w:p>
      <w:pPr>
        <w:spacing w:after="0" w:line="180"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After the completion of clinical trials of a biological product, FDA approval of a BLA must be obtained before commercial marketing of the biological product. The BLA must include results of product development, laboratory and animal studies, human trials, information on the manufacture and composition of the product, proposed labeling and other relevant information. The FDA may grant deferrals for submission of data, or full or partial waivers. The testing and approval processes require substantial time and effort and there can be no assurance that the FDA will accept the BLA for filing and, even if filed, that any approval will be granted on a timely basis, if at all.</w:t>
      </w:r>
    </w:p>
    <w:p>
      <w:pPr>
        <w:spacing w:after="0" w:line="140" w:lineRule="exact"/>
        <w:rPr>
          <w:sz w:val="20"/>
          <w:szCs w:val="20"/>
          <w:color w:val="auto"/>
        </w:rPr>
      </w:pPr>
    </w:p>
    <w:p>
      <w:pPr>
        <w:jc w:val="both"/>
        <w:ind w:right="40" w:firstLine="254"/>
        <w:spacing w:after="0" w:line="269" w:lineRule="auto"/>
        <w:rPr>
          <w:sz w:val="20"/>
          <w:szCs w:val="20"/>
          <w:color w:val="auto"/>
        </w:rPr>
      </w:pPr>
      <w:r>
        <w:rPr>
          <w:rFonts w:ascii="Times New Roman" w:cs="Times New Roman" w:eastAsia="Times New Roman" w:hAnsi="Times New Roman"/>
          <w:sz w:val="14"/>
          <w:szCs w:val="14"/>
          <w:color w:val="auto"/>
        </w:rPr>
        <w:t>Under the Prescription Drug User Fee Act (“PDUFA”), as amended, each BLA must be accompanied by a significant user fee. The FDA adjusts the PDUFA user fees on an annual basis. PDUFA also imposes an annual program fee for biological products. Fee waivers or reductions are available in certain circumstances, including a waiver of the application fee for the first application filed by a small business.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56" w:lineRule="auto"/>
        <w:rPr>
          <w:sz w:val="20"/>
          <w:szCs w:val="20"/>
          <w:color w:val="auto"/>
        </w:rPr>
      </w:pPr>
      <w:r>
        <w:rPr>
          <w:rFonts w:ascii="Times New Roman" w:cs="Times New Roman" w:eastAsia="Times New Roman" w:hAnsi="Times New Roman"/>
          <w:sz w:val="14"/>
          <w:szCs w:val="14"/>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Once the submission is accepted for filing, the FDA begins an in-depth substantive review of the BLA. FDA performance goals generally provide for action on a BLA within 12 months of submission. That deadline can be extended under certain circumstances, including by the FDA’s requests for additional information. The FDA reviews the BLA to determine, among other things, whether the proposed product is safe, potent, and/or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 to assure the safe use of the biological product. If the FDA concludes a REMS is needed, the sponsor of the BLA must submit a proposed REMS. The FDA will not approve a BLA without a REMS, if required.</w:t>
      </w:r>
    </w:p>
    <w:p>
      <w:pPr>
        <w:spacing w:after="0" w:line="146" w:lineRule="exact"/>
        <w:rPr>
          <w:sz w:val="20"/>
          <w:szCs w:val="20"/>
          <w:color w:val="auto"/>
        </w:rPr>
      </w:pPr>
    </w:p>
    <w:p>
      <w:pPr>
        <w:ind w:right="160" w:firstLine="254"/>
        <w:spacing w:after="0" w:line="264" w:lineRule="auto"/>
        <w:rPr>
          <w:sz w:val="20"/>
          <w:szCs w:val="20"/>
          <w:color w:val="auto"/>
        </w:rPr>
      </w:pPr>
      <w:r>
        <w:rPr>
          <w:rFonts w:ascii="Times New Roman" w:cs="Times New Roman" w:eastAsia="Times New Roman" w:hAnsi="Times New Roman"/>
          <w:sz w:val="14"/>
          <w:szCs w:val="14"/>
          <w:color w:val="auto"/>
        </w:rPr>
        <w:t>Before approving a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trial requirements and GCP requirements. To assure cGMP and GCP compliance, an applicant must incur significant expenditure of time, money and effort in the areas of training, record keeping, production, and quality control.</w:t>
      </w:r>
    </w:p>
    <w:p>
      <w:pPr>
        <w:spacing w:after="0" w:line="140"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we interpret the same data. If the agency decides not to approve the BLA in its present form, the FDA will issue a complete response letter that describes all of the specific deficiencies in the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The complete response letter may also request additional information, including additional preclinical or clinical data, for the FDA to reconsider the application. If a complete response letter is issued, the applicant may either resubmit the BLA, addressing all of the deficiencies identified in the letter, or withdraw the application.</w:t>
      </w:r>
    </w:p>
    <w:p>
      <w:pPr>
        <w:spacing w:after="0" w:line="145" w:lineRule="exact"/>
        <w:rPr>
          <w:sz w:val="20"/>
          <w:szCs w:val="20"/>
          <w:color w:val="auto"/>
        </w:rPr>
      </w:pPr>
    </w:p>
    <w:p>
      <w:pPr>
        <w:ind w:right="180" w:firstLine="254"/>
        <w:spacing w:after="0" w:line="286" w:lineRule="auto"/>
        <w:rPr>
          <w:sz w:val="20"/>
          <w:szCs w:val="20"/>
          <w:color w:val="auto"/>
        </w:rPr>
      </w:pPr>
      <w:r>
        <w:rPr>
          <w:rFonts w:ascii="Times New Roman" w:cs="Times New Roman" w:eastAsia="Times New Roman" w:hAnsi="Times New Roman"/>
          <w:sz w:val="14"/>
          <w:szCs w:val="14"/>
          <w:color w:val="auto"/>
        </w:rPr>
        <w:t>If a product receives regulatory approval, the approval may be significantly limited to specific diseases and dosages or the indications for use may otherwise be limited, which could restrict the commercial value of the product.</w:t>
      </w:r>
    </w:p>
    <w:p>
      <w:pPr>
        <w:spacing w:after="0" w:line="125"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w:t>
      </w:r>
    </w:p>
    <w:p>
      <w:pPr>
        <w:spacing w:after="0" w:line="140" w:lineRule="exact"/>
        <w:rPr>
          <w:sz w:val="20"/>
          <w:szCs w:val="20"/>
          <w:color w:val="auto"/>
        </w:rPr>
      </w:pPr>
    </w:p>
    <w:p>
      <w:pPr>
        <w:ind w:right="20" w:firstLine="254"/>
        <w:spacing w:after="0" w:line="269" w:lineRule="auto"/>
        <w:rPr>
          <w:sz w:val="20"/>
          <w:szCs w:val="20"/>
          <w:color w:val="auto"/>
        </w:rPr>
      </w:pPr>
      <w:r>
        <w:rPr>
          <w:rFonts w:ascii="Times New Roman" w:cs="Times New Roman" w:eastAsia="Times New Roman" w:hAnsi="Times New Roman"/>
          <w:sz w:val="14"/>
          <w:szCs w:val="14"/>
          <w:color w:val="auto"/>
        </w:rPr>
        <w:t>In addition, under the Pediatric Research Equity Act,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300" w:firstLine="254"/>
        <w:spacing w:after="0" w:line="286" w:lineRule="auto"/>
        <w:rPr>
          <w:sz w:val="20"/>
          <w:szCs w:val="20"/>
          <w:color w:val="auto"/>
        </w:rPr>
      </w:pPr>
      <w:r>
        <w:rPr>
          <w:rFonts w:ascii="Times New Roman" w:cs="Times New Roman" w:eastAsia="Times New Roman" w:hAnsi="Times New Roman"/>
          <w:sz w:val="14"/>
          <w:szCs w:val="14"/>
          <w:color w:val="auto"/>
        </w:rPr>
        <w:t>Obtaining approval can take years, requires substantial resources and depends on a number of factors, including the severity of the targeted disease or condition, the availability of alternative treatments, and the risks and benefits demonstrated in clinical trials.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Post-Approval Requirements</w:t>
      </w:r>
    </w:p>
    <w:p>
      <w:pPr>
        <w:spacing w:after="0" w:line="180" w:lineRule="exact"/>
        <w:rPr>
          <w:sz w:val="20"/>
          <w:szCs w:val="20"/>
          <w:color w:val="auto"/>
        </w:rPr>
      </w:pPr>
    </w:p>
    <w:p>
      <w:pPr>
        <w:ind w:right="20" w:firstLine="254"/>
        <w:spacing w:after="0" w:line="258" w:lineRule="auto"/>
        <w:rPr>
          <w:sz w:val="20"/>
          <w:szCs w:val="20"/>
          <w:color w:val="auto"/>
        </w:rPr>
      </w:pPr>
      <w:r>
        <w:rPr>
          <w:rFonts w:ascii="Times New Roman" w:cs="Times New Roman" w:eastAsia="Times New Roman" w:hAnsi="Times New Roman"/>
          <w:sz w:val="14"/>
          <w:szCs w:val="14"/>
          <w:color w:val="auto"/>
        </w:rPr>
        <w:t>Any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direct-to-consumer advertising, restrictions on promoting products for uses or in patient populations that are not described in the product’s approved uses, known as ‘off-label’ use, limitations on industry-sponsored scientific and educational activities, and requirements for promotional activities involving the internet. Although physicians may prescribe legally available products for off-label uses, if the physicians deem to be appropriate in their professional medical judgment, manufacturers may not market or promote such off-label uses. If ongoing regulatory requirements are not met, or if safety problems occur after a product reaches market, the FDA may take actions to change the conditions under which the product is marketed, including limiting, suspending or even withdrawing approval.</w:t>
      </w:r>
    </w:p>
    <w:p>
      <w:pPr>
        <w:spacing w:after="0" w:line="145"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In addition, quality control and manufacturing procedures must continue to conform to applicable manufacturing requirements after approval to ensure the long-term stability of the product. cGMP regulations require among other things, quality control and quality assurance as well as the corresponding maintenance of records and documentation and the obligation to investigate and correct any deviations from cGMP.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47"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tablet vaccine candidates under development.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U.S. Healthcare Laws and Compliance Requirements</w:t>
      </w:r>
    </w:p>
    <w:p>
      <w:pPr>
        <w:spacing w:after="0" w:line="180" w:lineRule="exact"/>
        <w:rPr>
          <w:sz w:val="20"/>
          <w:szCs w:val="20"/>
          <w:color w:val="auto"/>
        </w:rPr>
      </w:pPr>
    </w:p>
    <w:p>
      <w:pPr>
        <w:ind w:right="80" w:firstLine="254"/>
        <w:spacing w:after="0" w:line="261" w:lineRule="auto"/>
        <w:rPr>
          <w:sz w:val="20"/>
          <w:szCs w:val="20"/>
          <w:color w:val="auto"/>
        </w:rPr>
      </w:pPr>
      <w:r>
        <w:rPr>
          <w:rFonts w:ascii="Times New Roman" w:cs="Times New Roman" w:eastAsia="Times New Roman" w:hAnsi="Times New Roman"/>
          <w:sz w:val="14"/>
          <w:szCs w:val="14"/>
          <w:color w:val="auto"/>
        </w:rPr>
        <w:t>In the U.S., our activities are potentially subject to regulation by various federal, state and local authorities in addition to the FDA, including but not limited to, the Centers for Medicare and Medicaid Services, or CMS, other divisions of the U.S. Department of Health and Human Services, for instance the Office of Inspector General, the U.S. Department of Justice, or DOJ, and individual U.S. Attorney offices within the DOJ, and state and local governments. For example, sales, marketing and scientific/educational grant programs must comply with the anti-fraud and abuse provisions of the Social Security Act, the false claims laws, the physician payment transparency laws, the privacy and security provisions of the Health Insurance Portability and Accountability Act, or HIPAA, as amended by the Health Information Technology and Clinical Health Act, or HITECH, and similar state laws, each as amended.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however, does not make the conduct per se illegal under the Anti-Kickback Statute. Instead, the legality of the arrangement will be evaluated on a case-by-case basis based on a cumulative review of all of its facts and circumstances.</w:t>
      </w:r>
    </w:p>
    <w:p>
      <w:pPr>
        <w:spacing w:after="0" w:line="317" w:lineRule="exact"/>
        <w:rPr>
          <w:sz w:val="20"/>
          <w:szCs w:val="20"/>
          <w:color w:val="auto"/>
        </w:rPr>
      </w:pPr>
    </w:p>
    <w:p>
      <w:pPr>
        <w:ind w:right="100" w:firstLine="254"/>
        <w:spacing w:after="0" w:line="269" w:lineRule="auto"/>
        <w:rPr>
          <w:sz w:val="20"/>
          <w:szCs w:val="20"/>
          <w:color w:val="auto"/>
        </w:rPr>
      </w:pPr>
      <w:r>
        <w:rPr>
          <w:rFonts w:ascii="Times New Roman" w:cs="Times New Roman" w:eastAsia="Times New Roman" w:hAnsi="Times New Roman"/>
          <w:sz w:val="14"/>
          <w:szCs w:val="14"/>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In addition, the Affordable Care Act codified case law that a claim including items or services resulting from a violation of the federal Anti-Kickback Statute constitutes a false or fraudulent claim for purposes of the federal False Claims Act (“FCA”), as discussed below.</w:t>
      </w:r>
    </w:p>
    <w:p>
      <w:pPr>
        <w:spacing w:after="0" w:line="137"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25" w:lineRule="exact"/>
        <w:rPr>
          <w:sz w:val="20"/>
          <w:szCs w:val="20"/>
          <w:color w:val="auto"/>
        </w:rPr>
      </w:pPr>
    </w:p>
    <w:p>
      <w:pPr>
        <w:ind w:right="140" w:firstLine="254"/>
        <w:spacing w:after="0" w:line="261" w:lineRule="auto"/>
        <w:rPr>
          <w:sz w:val="20"/>
          <w:szCs w:val="20"/>
          <w:color w:val="auto"/>
        </w:rPr>
      </w:pPr>
      <w:r>
        <w:rPr>
          <w:rFonts w:ascii="Times New Roman" w:cs="Times New Roman" w:eastAsia="Times New Roman" w:hAnsi="Times New Roman"/>
          <w:sz w:val="14"/>
          <w:szCs w:val="14"/>
          <w:color w:val="auto"/>
        </w:rPr>
        <w:t>The federal FCA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w:t>
      </w:r>
    </w:p>
    <w:p>
      <w:pPr>
        <w:spacing w:after="0" w:line="142"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HIPAA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2" w:lineRule="exact"/>
        <w:rPr>
          <w:sz w:val="20"/>
          <w:szCs w:val="20"/>
          <w:color w:val="auto"/>
        </w:rPr>
      </w:pPr>
    </w:p>
    <w:p>
      <w:pPr>
        <w:ind w:right="100" w:firstLine="254"/>
        <w:spacing w:after="0" w:line="286" w:lineRule="auto"/>
        <w:rPr>
          <w:sz w:val="20"/>
          <w:szCs w:val="20"/>
          <w:color w:val="auto"/>
        </w:rPr>
      </w:pPr>
      <w:r>
        <w:rPr>
          <w:rFonts w:ascii="Times New Roman" w:cs="Times New Roman" w:eastAsia="Times New Roman" w:hAnsi="Times New Roman"/>
          <w:sz w:val="14"/>
          <w:szCs w:val="14"/>
          <w:color w:val="auto"/>
        </w:rPr>
        <w:t>Also, many states have similar fraud and abuse statutes or regulations that apply to items and services reimbursed under Medicaid and other state programs, or, in several states, apply regardless of the payor.</w:t>
      </w:r>
    </w:p>
    <w:p>
      <w:pPr>
        <w:spacing w:after="0" w:line="125"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may be subject to data privacy and security regulations by both the federal government and the states in which we conduct our business. HIPAA, as amended by the HITECH Act,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thus complicating compliance efforts.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60" w:firstLine="254"/>
        <w:spacing w:after="0" w:line="258" w:lineRule="auto"/>
        <w:rPr>
          <w:sz w:val="20"/>
          <w:szCs w:val="20"/>
          <w:color w:val="auto"/>
        </w:rPr>
      </w:pPr>
      <w:r>
        <w:rPr>
          <w:rFonts w:ascii="Times New Roman" w:cs="Times New Roman" w:eastAsia="Times New Roman" w:hAnsi="Times New Roman"/>
          <w:sz w:val="14"/>
          <w:szCs w:val="14"/>
          <w:color w:val="auto"/>
        </w:rPr>
        <w:t>Additionally, the Federal Physician Payments Sunshine Act under the Affordable Care Act,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Failure to submit timely, accurately, and completely the required information may result in civil monetary penalties of up to an aggregate of $150,000 per year and up to an aggregate of $1 million per year for “knowing failures”. Certain states also mandate implementation of compliance programs, impose restrictions on pharmaceutical manufacturer marketing practices and/or require the tracking and reporting of gifts, compensation and other remuneration to healthcare providers and entities.</w:t>
      </w:r>
    </w:p>
    <w:p>
      <w:pPr>
        <w:spacing w:after="0" w:line="145"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In order to distribute products commercially, we must also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45"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Coverage, Pricing and Reimbursement</w:t>
      </w:r>
    </w:p>
    <w:p>
      <w:pPr>
        <w:spacing w:after="0" w:line="180"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Significant uncertainty exists as to the coverage and reimbursement status of any tablet vaccine candidates for which we obtain regulatory approval. In the U.S. and markets in other countries, sales of any products for which we receive regulatory approval for commercial sale will depend, in part, on the extent to which third-party payors provide coverage, and establish adequate reimbursement levels for such products. In the U.S.,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tablet vaccine candidates, in addition to the costs required to obtain the FDA approvals. Our tablet vaccine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120" w:firstLine="254"/>
        <w:spacing w:after="0" w:line="261" w:lineRule="auto"/>
        <w:rPr>
          <w:sz w:val="20"/>
          <w:szCs w:val="20"/>
          <w:color w:val="auto"/>
        </w:rPr>
      </w:pPr>
      <w:r>
        <w:rPr>
          <w:rFonts w:ascii="Times New Roman" w:cs="Times New Roman" w:eastAsia="Times New Roman" w:hAnsi="Times New Roman"/>
          <w:sz w:val="14"/>
          <w:szCs w:val="14"/>
          <w:color w:val="auto"/>
        </w:rPr>
        <w:t>Different pricing and reimbursement schemes exist in other countries.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countries allow companies to fix their own prices for medicines but monitor and control company profits. The downward pressure on health care costs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42"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The marketability of any tablet vaccine candidates for which it receives regulatory approval for commercial sale may suffer if the government and third-party payors fail to provide adequate coverage and reimbursement. In addition, emphasis on managed care in the U.S. has increased and we expect the pressure on healthcare pricing will continue to increase.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Healthcare Reform</w:t>
      </w:r>
    </w:p>
    <w:p>
      <w:pPr>
        <w:spacing w:after="0" w:line="180"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We anticipate that current and future U.S. legislative healthcare reforms may result in additional downward pressure on the price that we receive for any approved product, if covered,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tablet vaccine candidates. In addition, it is possible that there will be further legislation or regulation that could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Regulation</w:t>
      </w:r>
    </w:p>
    <w:p>
      <w:pPr>
        <w:spacing w:after="0" w:line="180" w:lineRule="exact"/>
        <w:rPr>
          <w:sz w:val="20"/>
          <w:szCs w:val="20"/>
          <w:color w:val="auto"/>
        </w:rPr>
      </w:pPr>
    </w:p>
    <w:p>
      <w:pPr>
        <w:ind w:right="40" w:firstLine="254"/>
        <w:spacing w:after="0" w:line="258" w:lineRule="auto"/>
        <w:rPr>
          <w:sz w:val="20"/>
          <w:szCs w:val="20"/>
          <w:color w:val="auto"/>
        </w:rPr>
      </w:pPr>
      <w:r>
        <w:rPr>
          <w:rFonts w:ascii="Times New Roman" w:cs="Times New Roman" w:eastAsia="Times New Roman" w:hAnsi="Times New Roman"/>
          <w:sz w:val="14"/>
          <w:szCs w:val="14"/>
          <w:color w:val="auto"/>
        </w:rPr>
        <w:t>In order to market any product outside of the U.S.,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the European Union,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Privacy and Security</w:t>
      </w:r>
    </w:p>
    <w:p>
      <w:pPr>
        <w:spacing w:after="0" w:line="180"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We are subject to federal and state laws and regulations that regulate the use, security, and disclosure of certain types of personal data. These include the federal regulations promulgated under the authority of the Health Insurance Portability and Accountability Act of 1996 (“HIPAA”) that require us to provide certain protections to individuals regarding their health information. The HIPAA privacy and security regulations extensively regulate the use and disclosure of protected health information (“PHI”) and require covered entities, which include healthcare providers and health plans, and their business associates to implement and maintain administrative, physical, and technical safeguards to protect the security of such information. Additional security requirements apply to electronic PHI. These regulations also provide individuals with substantive rights with respect to their health information.</w:t>
      </w:r>
    </w:p>
    <w:p>
      <w:pPr>
        <w:spacing w:after="0" w:line="142"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The HIPAA privacy and security regulations also require us to enter into written agreements with our covered entity customers and our subcontractors, also known as business associates, to whom we disclose PHI. Covered entities may be subject to penalties as a result of a business associate violating HIPAA, if the business associate is found to be an agent of the covered entity. Business associates are also directly subject to liability under certain HIPAA privacy and security regulations and may be found liable for the violations of their agents.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HIPAA requires covered entities to notify affected individuals of breaches of unsecured PHI without unreasonable delay but no later than 60 days after discovery of the breach. If a business associate is acting as an agent of a covered entity, then the covered entity must provide the required notifications to individuals based on the time when the business associate discovered the breach. Reporting must also be made to the HHS Office for Civil Rights (“OCR”) and, for breaches of unsecured PHI involving more than 500 residents of a state or jurisdiction, to the media. Impermissible uses or disclosures of unsecured PHI are presumed to be breaches unless the covered entity or business associate establishes that there is a low probability the PHI has been compromised. Various state laws and regulations may also require us to notify affected individuals and the state regulators in the event of a data breach involving personal information without regard to the probability of the information being compromised. State laws and standard practice often provide for shorter data breach reporting timelines than required by HIPAA.</w:t>
      </w:r>
    </w:p>
    <w:p>
      <w:pPr>
        <w:spacing w:after="0" w:line="145"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Violations of the HIPAA privacy and security regulations may result in criminal penalties and in substantial civil penalties per violation. The civil penalties are adjusted annually based on updates to the consumer price index. OCR is required to perform compliance audits and investigates HIPAA compliance in response to complaints and reports of breaches. In addition to enforcement by OCR, state attorneys general are authorized to bring civil actions seeking either injunction or damages in response to violations of HIPAA privacy and security regulations that threaten the privacy of state residents. OCR may resolve HIPAA violations through informal means, such as allowing a covered entity to implement a corrective action plan, but OCR has the discretion to move directly to impose monetary penalties and is required to impose penalties for violations resulting from willful neglect. There can be no assurance that we will not be the subject of an investigation (arising out of a reportable breach incident, audit or otherwise) alleging noncompliance with HIPAA regulations in our maintenance of PHI.</w:t>
      </w:r>
    </w:p>
    <w:p>
      <w:pPr>
        <w:spacing w:after="0" w:line="145" w:lineRule="exact"/>
        <w:rPr>
          <w:sz w:val="20"/>
          <w:szCs w:val="20"/>
          <w:color w:val="auto"/>
        </w:rPr>
      </w:pPr>
    </w:p>
    <w:p>
      <w:pPr>
        <w:jc w:val="both"/>
        <w:ind w:right="80" w:firstLine="254"/>
        <w:spacing w:after="0" w:line="264" w:lineRule="auto"/>
        <w:rPr>
          <w:sz w:val="20"/>
          <w:szCs w:val="20"/>
          <w:color w:val="auto"/>
        </w:rPr>
      </w:pPr>
      <w:r>
        <w:rPr>
          <w:rFonts w:ascii="Times New Roman" w:cs="Times New Roman" w:eastAsia="Times New Roman" w:hAnsi="Times New Roman"/>
          <w:sz w:val="14"/>
          <w:szCs w:val="14"/>
          <w:color w:val="auto"/>
        </w:rPr>
        <w:t>The Federal Trade Commission Act (“FTCA”) also empowers the Federal Trade Commission to implement rules and regulations protecting personal information, and to take enforcement action when data practices constitute unfair or deceptive acts or practices. The FTC regularly takes enforcement action and has emphasized the protection of medical and other health care information as an enforcement priority. Following the United Stated Supreme Court’s Dobbs decision and state laws that may criminalize certain health care procedures, types of personal information not traditionally thought of as health-related now may reveal personal information about health care decisions, heightening governmental scrutiny of data privacy practices.</w:t>
      </w:r>
    </w:p>
    <w:p>
      <w:pPr>
        <w:spacing w:after="0" w:line="140" w:lineRule="exact"/>
        <w:rPr>
          <w:sz w:val="20"/>
          <w:szCs w:val="20"/>
          <w:color w:val="auto"/>
        </w:rPr>
      </w:pPr>
    </w:p>
    <w:p>
      <w:pPr>
        <w:ind w:right="120" w:firstLine="254"/>
        <w:spacing w:after="0" w:line="259" w:lineRule="auto"/>
        <w:rPr>
          <w:sz w:val="20"/>
          <w:szCs w:val="20"/>
          <w:color w:val="auto"/>
        </w:rPr>
      </w:pPr>
      <w:r>
        <w:rPr>
          <w:rFonts w:ascii="Times New Roman" w:cs="Times New Roman" w:eastAsia="Times New Roman" w:hAnsi="Times New Roman"/>
          <w:sz w:val="14"/>
          <w:szCs w:val="14"/>
          <w:color w:val="auto"/>
        </w:rPr>
        <w:t>In addition to HIPAA and the FTCA, numerous state and federal laws and regulations govern the collection, dissemination, use, privacy, confidentiality, security, availability, integrity, creation, receipt, transmission, storage, and other processing of medical. health care, employment, consumer, and other personal information. Privacy and data security statutes and regulations vary from state to state, and these laws and regulations in many cases are more restrictive than, and generally are not preempted by, the FTCA and HIPAA and their implementing rules. These laws and regulations regulate how personal information is used, sold, and shared; grant individuals substantive rights regarding their data that data processers are obligated to honor; impose rigorous information security and data breach obligations; and in some instances provide private rights of action to individuals affected by alleged violations of the laws in addition to the costs and liabilities arising from government enforcement.</w:t>
      </w:r>
    </w:p>
    <w:p>
      <w:pPr>
        <w:spacing w:after="0" w:line="145" w:lineRule="exact"/>
        <w:rPr>
          <w:sz w:val="20"/>
          <w:szCs w:val="20"/>
          <w:color w:val="auto"/>
        </w:rPr>
      </w:pPr>
    </w:p>
    <w:p>
      <w:pPr>
        <w:ind w:right="20" w:firstLine="254"/>
        <w:spacing w:after="0" w:line="258" w:lineRule="auto"/>
        <w:rPr>
          <w:sz w:val="20"/>
          <w:szCs w:val="20"/>
          <w:color w:val="auto"/>
        </w:rPr>
      </w:pPr>
      <w:r>
        <w:rPr>
          <w:rFonts w:ascii="Times New Roman" w:cs="Times New Roman" w:eastAsia="Times New Roman" w:hAnsi="Times New Roman"/>
          <w:sz w:val="14"/>
          <w:szCs w:val="14"/>
          <w:color w:val="auto"/>
        </w:rPr>
        <w:t>We also may be subject to international data protection regulations related to the collection, transmission, storage and use of employee data. For example, the General Data Protection Regulation (“GDPR”), which became effective on May 25, 2018, imposes strict compliance obligations on the collection, use, retention, security, processing, transfer and deletion of personal information and creates enhanced rights for individuals, including requirements relating to processing health and other sensitive data, obtaining consent of the individuals to whom the information relates in certain circumstances,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U.S. and the United Kingdom. Entities that fail to comply with the requirements of the GDPR may be subject to very significant penalties, including potential fines of up to the greater of €20 million or 4% of annual global revenue.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Government regulators, privacy advocates and class action attorneys are also increasingly scrutinizing how companies collect, process, use, store, share and transmit other types of personal data. For example, the California Consumer Privacy Act of 2018 (“CCPA”), which went into effect on January 1, 2020, and was significantly modified by the California Privacy Rights Act (“CPRA”), which became fully effective on January 1, 2023, applies broadly to information that identifies or is associated with any California household or individual, and requires that we implement several operational changes, including processes to respond to individuals’ requests regarding their personal information. The CPRA also creates a new enforcement agency to enforce the CCPA and CPRA and imposes additional requirements, including privacy risk assessments, audits and vendor contractual requirements for data sharing, license and access arrangements. The CCPA and CPRA provide for civil penalties for violations and allow private rights of action for data breaches. Virginia, Colorado, Connecticut and Utah have also passed comprehensive privacy legislation that take effect during 2023, and several other states, as well as federal lawmakers, have proposed additional consumer privacy legislation. The complex, dynamic legal landscape regarding privacy, data protection and information security creates significant compliance challenges for us, potentially restricts our ability to collect, use and disclose data, and exposes us to additional expense, and, if we cannot comply with applicable laws in a timely manner or at all, adverse publicity, harm to our reputation, and liability.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Greenhouse Gas Emission Related Policies, Regulation, and Legislation</w:t>
      </w:r>
    </w:p>
    <w:p>
      <w:pPr>
        <w:spacing w:after="0" w:line="180" w:lineRule="exact"/>
        <w:rPr>
          <w:sz w:val="20"/>
          <w:szCs w:val="20"/>
          <w:color w:val="auto"/>
        </w:rPr>
      </w:pPr>
    </w:p>
    <w:p>
      <w:pPr>
        <w:ind w:right="80" w:firstLine="254"/>
        <w:spacing w:after="0" w:line="258" w:lineRule="auto"/>
        <w:rPr>
          <w:sz w:val="20"/>
          <w:szCs w:val="20"/>
          <w:color w:val="auto"/>
        </w:rPr>
      </w:pPr>
      <w:r>
        <w:rPr>
          <w:rFonts w:ascii="Times New Roman" w:cs="Times New Roman" w:eastAsia="Times New Roman" w:hAnsi="Times New Roman"/>
          <w:sz w:val="14"/>
          <w:szCs w:val="14"/>
          <w:color w:val="auto"/>
        </w:rPr>
        <w:t>Governments across the globe have announced and implemented various policies, regulation, and legislation to support the transition from fossil fuels to low-carbon forms of energy and the infrastructure around that transition. The operation of our business and our customers’ use of our products and solutions and services as well as our digital applications are and may in the future be, impacted by these various government actions. In August 2022, the U.S. passed the Inflation Reduction Act (“IRA”), which consists of a number of provisions aimed directly at confronting the climate change crisis. The climate-related provisions of the IRA are projected to cut emissions by up to 40% from 2005 GHG levels in the U.S. by 2030. Among other things, the IRA introduces an ITC for standalone energy storage, which is anticipated to lower capital cost of equipment. The IRA also contains provisions with incentives for grid modernization equipment, including domestic battery cell manufacturing, battery module manufacturing and its components as well as various upstream applications. It is unknown what form any future changes or any law would take under the incoming Trump administration, and how or whether it may affect our business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180"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Our management and scientific teams possess considerable experience in vaccine and anti-infective research, clinical development and regulatory matters. Our research and development team includes Ph.D.-level scientists with expertise in mucosal immunology, T cells, viral vectors and virology. General and administrative includes finance, human resources, administration, business and general management. As of December 31, 2025, we had approximately 65 full-time equivalent employees, excluding interns. Our full-time equivalent employees comprised of approximately 50 in research and development and 15 in general and administrative capacities.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also had 9 full-time equivalent contractors as of December 31, 2025.</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do not have collective bargaining agreements with our employees and have not experienced any work stoppages. We consider our relations with our employees to be good.</w:t>
      </w:r>
    </w:p>
    <w:p>
      <w:pPr>
        <w:spacing w:after="0" w:line="178"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Our human capital resources objectives include identifying, recruiting, training, retaining, and incentivizing our existing and new employees. We maintain an equity incentive plan, the principal purpose of which is to attract, retain and reward personnel through the granting of stock-based compensation awards, in order to increase stockholder value and the success of our company by motivating such individuals to perform to the best of their abilities and achieve our objectives. We offer an employee stock purchase plan, the principal purpose of which is to assist employees in acquiring a share ownership interest in Vaxart and to help such employees provide for their future security and to encourage them to remain in the employment of Vaxart. To facilitate talent attraction and retention, we strive to make Vaxart a safe and rewarding workplace, with opportunities for our employees to grow and develop in their careers, supported by competitive compensation, benefits and health and wellness programs, and by programs that build connections between our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information included in “Note 7. Commitments and Contingencies—(c) Litigation” to the Condensed Consolidated Financial Statements for the Quarter Ended March 31, 2026 and “Note 8.</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Commitments and Contingencies, section-(c) Litigation” to the Consolidated Financial Statement for the Year Ended December 31, 2025 are incorporated by reference herein.</w:t>
      </w:r>
    </w:p>
    <w:p>
      <w:pPr>
        <w:spacing w:after="0" w:line="164" w:lineRule="exact"/>
        <w:rPr>
          <w:sz w:val="20"/>
          <w:szCs w:val="20"/>
          <w:color w:val="auto"/>
        </w:rPr>
      </w:pPr>
    </w:p>
    <w:p>
      <w:pPr>
        <w:ind w:right="140" w:firstLine="254"/>
        <w:spacing w:after="0" w:line="264" w:lineRule="auto"/>
        <w:rPr>
          <w:sz w:val="20"/>
          <w:szCs w:val="20"/>
          <w:color w:val="auto"/>
        </w:rPr>
      </w:pPr>
      <w:r>
        <w:rPr>
          <w:rFonts w:ascii="Times New Roman" w:cs="Times New Roman" w:eastAsia="Times New Roman" w:hAnsi="Times New Roman"/>
          <w:sz w:val="14"/>
          <w:szCs w:val="14"/>
          <w:color w:val="auto"/>
        </w:rPr>
        <w:t>We may also from time to time be involved in legal proceedings arising in connection with our business. Based on information currently available, we believe that the amount, or range, of reasonably possible losses in connection with any pending actions against us in excess of established reserves, in the aggregate, is not material to our condensed consolidated financial condition or cash flows. However, any current or future dispute resolution or legal proceeding, regardless of the merits of any such proceeding, could result in substantial costs and a diversion of management’s attention and resources that are needed to run our business successfully, and could have a material adverse impact on our business, financial condition and results of operations.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DISCUSSION AND ANALYSIS OF FINANCIAL CONDITION AND RESULTS OF OPERATIONS</w:t>
      </w:r>
    </w:p>
    <w:p>
      <w:pPr>
        <w:spacing w:after="0" w:line="178" w:lineRule="exact"/>
        <w:rPr>
          <w:sz w:val="20"/>
          <w:szCs w:val="20"/>
          <w:color w:val="auto"/>
        </w:rPr>
      </w:pPr>
    </w:p>
    <w:p>
      <w:pPr>
        <w:ind w:right="20" w:firstLine="254"/>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You should read the following discussion and analysis of our financial condition and results of operations in conjunction with the financial statements which appear beginning on page F-1 of this prospectus and the information included elsewhere in this prospectus. Some of the information contained in this discussion and analysis or set forth elsewhere in this prospectus, including information with respect to our plans and strategy for our business, includes forward-looking statements involving risks and uncertainties as described under the heading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Forward-Looking Statements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elsewhere in this prospectus. You should review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in this prospectus for a discussion of important factors that could cause actual results to differ materially from the results described in or implied by the forward-looking statements and could otherwise affect our intended plans of operations.</w:t>
      </w:r>
    </w:p>
    <w:p>
      <w:pPr>
        <w:spacing w:after="0" w:line="139" w:lineRule="exact"/>
        <w:rPr>
          <w:sz w:val="20"/>
          <w:szCs w:val="20"/>
          <w:color w:val="auto"/>
        </w:rPr>
      </w:pPr>
    </w:p>
    <w:p>
      <w:pPr>
        <w:ind w:right="460" w:firstLine="254"/>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Management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 Discussion and Analysis of Financial Condition and Results of Operations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included in our Annual Report on Form 10-K filed on March 20, 2025, for discussion and analysis of results of operations for the year ended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180" w:lineRule="exact"/>
        <w:rPr>
          <w:sz w:val="20"/>
          <w:szCs w:val="20"/>
          <w:color w:val="auto"/>
        </w:rPr>
      </w:pPr>
    </w:p>
    <w:p>
      <w:pPr>
        <w:ind w:right="80" w:firstLine="254"/>
        <w:spacing w:after="0" w:line="259" w:lineRule="auto"/>
        <w:rPr>
          <w:sz w:val="20"/>
          <w:szCs w:val="20"/>
          <w:color w:val="auto"/>
        </w:rPr>
      </w:pPr>
      <w:r>
        <w:rPr>
          <w:rFonts w:ascii="Times New Roman" w:cs="Times New Roman" w:eastAsia="Times New Roman" w:hAnsi="Times New Roman"/>
          <w:sz w:val="14"/>
          <w:szCs w:val="14"/>
          <w:color w:val="auto"/>
        </w:rPr>
        <w:t>We are a clinical-stage biotechnology company primarily focused on the development of oral recombinant vaccines based on our Vector-Adjuvant-Antigen Standardized Technology (“VAAST”) proprietary oral vaccine platform. We are developing prophylactic vaccine candidates that target a range of infectious diseases, including norovirus (a widespread cause of acute gastroenteritis), coronavirus including SARS-CoV-2 (the virus that causes coronavirus disease 2019 (“COVID-19”)), and influenza. In addition, we have generated preclinical data for our first therapeutic vaccine candidate targeting cervical cancer and dysplasia caused by human papillomavirus (“HPV”). Our oral vaccines are designed to generate broad and durable immune responses that may protect against a wide range of infectious diseases and may be useful for the treatment of chronic viral infections and cancer. Our investigational vaccines are administered using a room temperature-stable tablet, rather than by injection.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Vaxart Biosciences, Inc. was originally incorporated in California under the name West Coast Biologicals, Inc. in March 2004 and changed its name to Vaxart, Inc. (“Private Vaxart”) in</w:t>
      </w:r>
    </w:p>
    <w:p>
      <w:pPr>
        <w:spacing w:after="0" w:line="2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4"/>
          <w:szCs w:val="14"/>
          <w:color w:val="auto"/>
        </w:rPr>
        <w:t>July 2007, when it reincorporated in the state of Delaware. On February 13, 2018, Private Vaxart completed a reverse merger (the “Merger”) with Aviragen Therapeutics, Inc. (“Aviragen”), pursuant to which Private Vaxart survived as a wholly owned subsidiary of Aviragen. Under the terms of the Merger, Aviragen changed its name to Vaxart, Inc. and Private Vaxart changed its name to Vaxart Biosciences, Inc.</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Operations Overview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Non-Cash Royalty Revenue Related to Sale of Future Royalties</w:t>
      </w:r>
    </w:p>
    <w:p>
      <w:pPr>
        <w:spacing w:after="0" w:line="180"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In April 2016, Aviragen sold certain royalty rights related to Inavir in the Japanese market for $20.0 million to HealthCare Royalty Partners III, L.P. (“HCRP”). Under the terms of our agreement with HCRP, during the first royalty interest period of April 1, 2016 through March 31, 2025, HCRP was entitled to the first $3.0 million and any cumulative remaining shortfall amount plus 15% of the next $1.0 million in royalties earned in each year commencing on April 1, with any excess revenue being retained by 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A shortfall occurs when, during an annual period ending on March 31, for the first royalty interest period of April 1, 2016 through March 31, 2025, royalty payments fall below $3.0 million; and $2.7 million for the second royalty interest period of April 1, 2025 and ending on December 24, 2029, excluding the period of April 1, 2028 through December 24, 2029. In the event there is a remaining cumulative remaining shortfall amount as of December 24, 2029, then, for so long as the Company continues to receive royalties from Daiichi Sankyo Company Limited (“Daiichi Sankyo”), the sum of those royalties will be paid to HCRP until the cumulative remaining shortfall amount has been paid in full..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40" w:firstLine="254"/>
        <w:spacing w:after="0" w:line="269" w:lineRule="auto"/>
        <w:rPr>
          <w:sz w:val="20"/>
          <w:szCs w:val="20"/>
          <w:color w:val="auto"/>
        </w:rPr>
      </w:pPr>
      <w:r>
        <w:rPr>
          <w:rFonts w:ascii="Times New Roman" w:cs="Times New Roman" w:eastAsia="Times New Roman" w:hAnsi="Times New Roman"/>
          <w:sz w:val="14"/>
          <w:szCs w:val="14"/>
          <w:color w:val="auto"/>
        </w:rPr>
        <w:t>We are not obligated to pay HCRP any royalty payment beyond what we are paid by Daiichi Sankyo. The cumulative remaining shortfall amount is the aggregate amount of the shortfall for each annual period, which was $4.4 million as of December 31, 2025 and $6.7 million as of March 31, 2026. Even though we do not currently retain the related royalties under the transaction, as the amounts are remitted to HCRP, we will continue to record revenue related to these royalties until the amount of the associated liability and related interest is fully amortized.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Government Contracts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January 2024, we were awarded the 2024 ASPR-BARDA Contract by HHS BARDA, with a base and all options value of $9.3 million. Under the 2024 ASPR-BARDA Contract, we received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award to support clinical trial planning activities for a Phase 2b clinical trial that would compare our XBB vaccine candidate to an mRNA comparator to evaluate efficacy for symptomatic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asymptomatic disease, systemic and mucosal immune induction, and adverse events. Revenue from government contracts recognized on the 2024 ASPR-BARDA Contract was $0.6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$8.7 million for the years ended December 31, 2025, and 2024, respectively, based on the achievement of certain milestones under the 2024 ASPR-BARDA Contract. No revenue from government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contracts was recognized on the 2024 ASPR-BARDA Contract for the three months ended March 31, 2026 and 2025, based on the achievement of certain milestones under the 2024 ASPR-BARDA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Contract.</w:t>
      </w:r>
    </w:p>
    <w:p>
      <w:pPr>
        <w:spacing w:after="0" w:line="164" w:lineRule="exact"/>
        <w:rPr>
          <w:sz w:val="20"/>
          <w:szCs w:val="20"/>
          <w:color w:val="auto"/>
        </w:rPr>
      </w:pPr>
    </w:p>
    <w:p>
      <w:pPr>
        <w:ind w:right="80" w:firstLine="254"/>
        <w:spacing w:after="0" w:line="257" w:lineRule="auto"/>
        <w:rPr>
          <w:sz w:val="20"/>
          <w:szCs w:val="20"/>
          <w:color w:val="auto"/>
        </w:rPr>
      </w:pPr>
      <w:r>
        <w:rPr>
          <w:rFonts w:ascii="Times New Roman" w:cs="Times New Roman" w:eastAsia="Times New Roman" w:hAnsi="Times New Roman"/>
          <w:sz w:val="14"/>
          <w:szCs w:val="14"/>
          <w:color w:val="auto"/>
        </w:rPr>
        <w:t>In June 2024, we entered into the 2024 ATI-RRPV Contract. In the second half of 2024, the 2024 ATI-RRPV Contract was modified to increase funding and expand the scope to include the manufacture of a vaccine candidate targeting the KP.2 strain and acquire an approved mRNA vaccine targeting the KP.2 strain. Pursuant to the 2024 ATI-RRPV Contract (as modified or amended from time to time), we were to receive overall funding of up to $460.7 million to conduct a Phase 2b comparative study evaluating our oral pill COVID-19 vaccine candidate against an mRNA vaccine comparator approved by the FDA. Funding has been released pursuant to authorized milestones delineated in a series of contract modifications. Pursuant to Modification No. 6 to the 2024 ATI-RRPV Contract, dated March 10, 2026 (the most recent contract modification), the total amount of funding available for payment under the 2024 ATI-RRPV Contract is approximately $316.0 million, including $67.9 million of firm fixed price amounts and the remaining amount for reimbursement of costs incurred in trial preparation and execution activities. The Company anticipates a further modification to the 2024 ATI-RRPV Contract that will reflect the reduced scope of work and corresponding reduction in funding that resulted from the stop work order issued in August 2025 that halted enrollment and therefore reduced the size of the study.</w:t>
      </w:r>
    </w:p>
    <w:p>
      <w:pPr>
        <w:spacing w:after="0" w:line="147"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Revenue from government contracts recognized on the 2024 ATI-RRPV Contract was $36.4 million and $19.3 million for the three months ended March 31, 2026 and 2025, respectively, based on costs incurred and the achievement of firm fixed-price milestones under the 2024 ATI-RRPV Contract. Revenue from government contracts recognized on the 2024 ATI-RRPV Contract was $223.9 million and $16.2 million for the years ended December 31, 2025 and 2024, respectively, based on costs incurred and the achievement of firm fixed-price milestones under the 2024 ATI-RRPV Contract.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Dynavax License and Collaboration Agreement</w:t>
      </w:r>
    </w:p>
    <w:p>
      <w:pPr>
        <w:spacing w:after="0" w:line="180" w:lineRule="exact"/>
        <w:rPr>
          <w:sz w:val="20"/>
          <w:szCs w:val="20"/>
          <w:color w:val="auto"/>
        </w:rPr>
      </w:pPr>
    </w:p>
    <w:p>
      <w:pPr>
        <w:ind w:right="60" w:firstLine="254"/>
        <w:spacing w:after="0" w:line="258" w:lineRule="auto"/>
        <w:rPr>
          <w:sz w:val="20"/>
          <w:szCs w:val="20"/>
          <w:color w:val="auto"/>
        </w:rPr>
      </w:pPr>
      <w:r>
        <w:rPr>
          <w:rFonts w:ascii="Times New Roman" w:cs="Times New Roman" w:eastAsia="Times New Roman" w:hAnsi="Times New Roman"/>
          <w:sz w:val="14"/>
          <w:szCs w:val="14"/>
          <w:color w:val="auto"/>
        </w:rPr>
        <w:t>On November 4, 2025, the Company entered into an Exclusive License and Collaboration Agreement (“2025 License and Collaboration Agreement”) with Dynavax Technologies Corporation, a Sanofi company (“Dynavax”) relating to the Company’s investigational oral vaccine candidate for COVID-19 based on its proprietary oral delivery platform. Pursuant to the 2025 License and Collaboration Agreement, the Company granted Dynavax an exclusive, worldwide license to develop and commercialize the Company’s oral pill COVID-19 vaccine candidate for SARS-CoV-2, SARS coronavirus, or MERS coronavirus, including COVID-19 and all variants thereof. Under the terms of the 2025 License and Collaboration Agreement, Dynavax paid the Company an upfront license fee of $25.0 million and pursuant to the Securities Purchase Agreement (“2025 Securities Purchase Agreement”), purchased 11,111,111 shares of the Company’s common stock for $5.0 million. The common stock was issued at a price above its fair value on the issuance date, and the resulting premium of approximately $0.8 million was determined to represent additional consideration attributable to the 2025 License and Collaboration Agreement. Accordingly, this amount was included in the transaction price and allocated to the identified performance obligations.</w:t>
      </w:r>
    </w:p>
    <w:p>
      <w:pPr>
        <w:spacing w:after="0" w:line="145"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The agreement also includes a development collaboration component under which the Company is responsible for completing its ongoing Phase 2b clinical trial and delivering the end-of-Phase 2 data package. Following delivery of the data package and the end-of-Phase 2 meeting with the FDA, Dynavax has the right, in its sole discretion, to assume responsibility for continued development of the vaccine candidate, which would require Dynavax to pay the Company a $50.0 million election payment. The agreement also provides for potential additional regulatory and commercial milestone payments and royalties on future product sales, if any, upon the achievement of specified events.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For the year ended December 31, 2025, the Company recognized revenue of $10.8 million from the 2025 License and Collaboration Agreement. As of December 31, 2025, the amount of deferred revenue was $15.0 million, of which $13.0 million was classified as current and $2.0 million as non-current. This amount is expected to be recognized as the performance obligation is satisfied through the completion of the development program.</w:t>
      </w:r>
    </w:p>
    <w:p>
      <w:pPr>
        <w:spacing w:after="0" w:line="137" w:lineRule="exact"/>
        <w:rPr>
          <w:sz w:val="20"/>
          <w:szCs w:val="20"/>
          <w:color w:val="auto"/>
        </w:rPr>
      </w:pPr>
    </w:p>
    <w:p>
      <w:pPr>
        <w:ind w:right="720" w:firstLine="254"/>
        <w:spacing w:after="0" w:line="286" w:lineRule="auto"/>
        <w:rPr>
          <w:sz w:val="20"/>
          <w:szCs w:val="20"/>
          <w:color w:val="auto"/>
        </w:rPr>
      </w:pPr>
      <w:r>
        <w:rPr>
          <w:rFonts w:ascii="Times New Roman" w:cs="Times New Roman" w:eastAsia="Times New Roman" w:hAnsi="Times New Roman"/>
          <w:sz w:val="14"/>
          <w:szCs w:val="14"/>
          <w:color w:val="auto"/>
        </w:rPr>
        <w:t>The timing and amount of future revenue recognition under the agreement will depend on the progress and completion of the Company’s development activities and, if applicable, the achievement of potential milestone events.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80" w:lineRule="exact"/>
        <w:rPr>
          <w:sz w:val="20"/>
          <w:szCs w:val="20"/>
          <w:color w:val="auto"/>
        </w:rPr>
      </w:pPr>
    </w:p>
    <w:p>
      <w:pPr>
        <w:ind w:right="520" w:firstLine="254"/>
        <w:spacing w:after="0" w:line="286" w:lineRule="auto"/>
        <w:rPr>
          <w:sz w:val="20"/>
          <w:szCs w:val="20"/>
          <w:color w:val="auto"/>
        </w:rPr>
      </w:pPr>
      <w:r>
        <w:rPr>
          <w:rFonts w:ascii="Times New Roman" w:cs="Times New Roman" w:eastAsia="Times New Roman" w:hAnsi="Times New Roman"/>
          <w:sz w:val="14"/>
          <w:szCs w:val="14"/>
          <w:color w:val="auto"/>
        </w:rPr>
        <w:t>Research and development expenses represent costs incurred on conducting research, such as developing our tablet vaccine platform, and supporting preclinical and clinical development activities of our tablet vaccine candidates. We recognize all research and development costs as they are incurred. Research and development expenses consist primarily of the following:</w:t>
      </w:r>
    </w:p>
    <w:p>
      <w:pPr>
        <w:spacing w:after="0" w:line="125" w:lineRule="exact"/>
        <w:rPr>
          <w:sz w:val="20"/>
          <w:szCs w:val="20"/>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employee-related expenses, which include salaries, benefits and stock-based compensation;</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agreements with contract research organizations (“CROs”), that conduct clinical trials on our behalf;</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under agreements with contract manufacturing organizations (“CMOs”), that manufacture product used in the clinical trials;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incurred in procuring materials and for analytical and release testing services required to produce vaccine candidates used in clinical trials;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process development expenses incurred internally and externally to improve the efficiency and yield of the bulk vaccine and tablet manufacturing activities;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laboratory supplies and vendor expenses related to preclinical research activities;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consultant expenses for services supporting our clinical, regulatory and manufacturing activities; and</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depreciation and allocated overhead expenses.</w:t>
      </w:r>
    </w:p>
    <w:p>
      <w:pPr>
        <w:spacing w:after="0" w:line="199" w:lineRule="exact"/>
        <w:rPr>
          <w:sz w:val="20"/>
          <w:szCs w:val="20"/>
          <w:color w:val="auto"/>
        </w:rPr>
      </w:pPr>
    </w:p>
    <w:p>
      <w:pPr>
        <w:ind w:right="320" w:firstLine="254"/>
        <w:spacing w:after="0" w:line="286" w:lineRule="auto"/>
        <w:rPr>
          <w:sz w:val="20"/>
          <w:szCs w:val="20"/>
          <w:color w:val="auto"/>
        </w:rPr>
      </w:pPr>
      <w:r>
        <w:rPr>
          <w:rFonts w:ascii="Times New Roman" w:cs="Times New Roman" w:eastAsia="Times New Roman" w:hAnsi="Times New Roman"/>
          <w:sz w:val="14"/>
          <w:szCs w:val="14"/>
          <w:color w:val="auto"/>
        </w:rPr>
        <w:t>We do not allocate our internal expenses to specific programs. Our employees and other internal resources are not directly tied to any one research program and are typically deployed across multiple projects. Internal research and development expenses are presented as one total.</w:t>
      </w:r>
    </w:p>
    <w:p>
      <w:pPr>
        <w:spacing w:after="0" w:line="125" w:lineRule="exact"/>
        <w:rPr>
          <w:sz w:val="20"/>
          <w:szCs w:val="20"/>
          <w:color w:val="auto"/>
        </w:rPr>
      </w:pPr>
    </w:p>
    <w:p>
      <w:pPr>
        <w:ind w:right="100" w:firstLine="254"/>
        <w:spacing w:after="0" w:line="286" w:lineRule="auto"/>
        <w:rPr>
          <w:sz w:val="20"/>
          <w:szCs w:val="20"/>
          <w:color w:val="auto"/>
        </w:rPr>
      </w:pPr>
      <w:r>
        <w:rPr>
          <w:rFonts w:ascii="Times New Roman" w:cs="Times New Roman" w:eastAsia="Times New Roman" w:hAnsi="Times New Roman"/>
          <w:sz w:val="14"/>
          <w:szCs w:val="14"/>
          <w:color w:val="auto"/>
        </w:rPr>
        <w:t>We have incurred significant external costs for CROs that conduct clinical trials on our behalf. We have captured these external costs for each vaccine program. We do not allocate external costs incurred on preclinical research or process development to specific programs.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The following table shows our period-over-period research and development expenses, identifying external costs that were incurred in each of our vaccine programs and, separately, on preclinical research and process development for the three months ended March 31, 2026 and 2025 (in thousands):</w:t>
      </w:r>
    </w:p>
    <w:p>
      <w:pPr>
        <w:spacing w:after="0" w:line="134" w:lineRule="exact"/>
        <w:rPr>
          <w:sz w:val="20"/>
          <w:szCs w:val="20"/>
          <w:color w:val="auto"/>
        </w:rPr>
      </w:pPr>
    </w:p>
    <w:tbl>
      <w:tblPr>
        <w:tblLayout w:type="fixed"/>
        <w:tblInd w:w="640" w:type="dxa"/>
        <w:tblCellMar>
          <w:top w:w="0" w:type="dxa"/>
          <w:left w:w="0" w:type="dxa"/>
          <w:bottom w:w="0" w:type="dxa"/>
          <w:right w:w="0" w:type="dxa"/>
        </w:tblCellMar>
      </w:tblPr>
      <w:tr>
        <w:trPr>
          <w:trHeight w:val="180"/>
        </w:trPr>
        <w:tc>
          <w:tcPr>
            <w:tcW w:w="4300" w:type="dxa"/>
            <w:vAlign w:val="bottom"/>
          </w:tcPr>
          <w:p>
            <w:pPr>
              <w:spacing w:after="0"/>
              <w:rPr>
                <w:sz w:val="15"/>
                <w:szCs w:val="15"/>
                <w:color w:val="auto"/>
              </w:rPr>
            </w:pPr>
          </w:p>
        </w:tc>
        <w:tc>
          <w:tcPr>
            <w:tcW w:w="524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5"/>
                <w:szCs w:val="15"/>
                <w:color w:val="auto"/>
              </w:rPr>
            </w:pPr>
          </w:p>
        </w:tc>
      </w:tr>
      <w:tr>
        <w:trPr>
          <w:trHeight w:val="186"/>
        </w:trPr>
        <w:tc>
          <w:tcPr>
            <w:tcW w:w="4300" w:type="dxa"/>
            <w:vAlign w:val="bottom"/>
          </w:tcPr>
          <w:p>
            <w:pPr>
              <w:spacing w:after="0"/>
              <w:rPr>
                <w:sz w:val="16"/>
                <w:szCs w:val="16"/>
                <w:color w:val="auto"/>
              </w:rPr>
            </w:pPr>
          </w:p>
        </w:tc>
        <w:tc>
          <w:tcPr>
            <w:tcW w:w="35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r>
      <w:tr>
        <w:trPr>
          <w:trHeight w:val="181"/>
        </w:trPr>
        <w:tc>
          <w:tcPr>
            <w:tcW w:w="43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External program costs:</w:t>
            </w:r>
          </w:p>
        </w:tc>
        <w:tc>
          <w:tcPr>
            <w:tcW w:w="35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Norovirus program</w:t>
            </w:r>
          </w:p>
        </w:tc>
        <w:tc>
          <w:tcPr>
            <w:tcW w:w="35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11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1,556</w:t>
            </w:r>
          </w:p>
        </w:tc>
      </w:tr>
      <w:tr>
        <w:trPr>
          <w:trHeight w:val="17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COVID-19 program</w:t>
            </w:r>
          </w:p>
        </w:tc>
        <w:tc>
          <w:tcPr>
            <w:tcW w:w="35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20,393</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15,718</w:t>
            </w:r>
          </w:p>
        </w:tc>
      </w:tr>
      <w:tr>
        <w:trPr>
          <w:trHeight w:val="170"/>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programs</w:t>
            </w:r>
          </w:p>
        </w:tc>
        <w:tc>
          <w:tcPr>
            <w:tcW w:w="352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r>
      <w:tr>
        <w:trPr>
          <w:trHeight w:val="170"/>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Preclinical research</w:t>
            </w:r>
          </w:p>
        </w:tc>
        <w:tc>
          <w:tcPr>
            <w:tcW w:w="35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81</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399</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Process development</w:t>
            </w:r>
          </w:p>
        </w:tc>
        <w:tc>
          <w:tcPr>
            <w:tcW w:w="352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external costs</w:t>
            </w:r>
          </w:p>
        </w:tc>
        <w:tc>
          <w:tcPr>
            <w:tcW w:w="35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20,522</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18,025</w:t>
            </w:r>
          </w:p>
        </w:tc>
      </w:tr>
      <w:tr>
        <w:trPr>
          <w:trHeight w:val="180"/>
        </w:trPr>
        <w:tc>
          <w:tcPr>
            <w:tcW w:w="4300" w:type="dxa"/>
            <w:vAlign w:val="bottom"/>
          </w:tcPr>
          <w:p>
            <w:pPr>
              <w:spacing w:after="0"/>
              <w:rPr>
                <w:sz w:val="20"/>
                <w:szCs w:val="20"/>
                <w:color w:val="auto"/>
              </w:rPr>
            </w:pPr>
            <w:r>
              <w:rPr>
                <w:rFonts w:ascii="Times New Roman" w:cs="Times New Roman" w:eastAsia="Times New Roman" w:hAnsi="Times New Roman"/>
                <w:sz w:val="14"/>
                <w:szCs w:val="14"/>
                <w:color w:val="auto"/>
              </w:rPr>
              <w:t>Internal costs</w:t>
            </w:r>
          </w:p>
        </w:tc>
        <w:tc>
          <w:tcPr>
            <w:tcW w:w="352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8,891</w:t>
            </w:r>
          </w:p>
        </w:tc>
        <w:tc>
          <w:tcPr>
            <w:tcW w:w="110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12,719</w:t>
            </w:r>
          </w:p>
        </w:tc>
      </w:tr>
      <w:tr>
        <w:trPr>
          <w:trHeight w:val="20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research and development</w:t>
            </w:r>
          </w:p>
        </w:tc>
        <w:tc>
          <w:tcPr>
            <w:tcW w:w="35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29,413</w:t>
            </w:r>
          </w:p>
        </w:tc>
        <w:tc>
          <w:tcPr>
            <w:tcW w:w="11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30,744</w:t>
            </w:r>
          </w:p>
        </w:tc>
      </w:tr>
    </w:tbl>
    <w:p>
      <w:pPr>
        <w:spacing w:after="0" w:line="155"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The following table shows our period-over-period research and development expenses, identifying external costs that were incurred in each of our vaccine programs and, separately, on preclinical research and process development for years ended December 31 (in thousands):</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50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4"/>
                <w:szCs w:val="14"/>
                <w:color w:val="auto"/>
              </w:rPr>
            </w:pPr>
          </w:p>
        </w:tc>
      </w:tr>
      <w:tr>
        <w:trPr>
          <w:trHeight w:val="186"/>
        </w:trPr>
        <w:tc>
          <w:tcPr>
            <w:tcW w:w="4460" w:type="dxa"/>
            <w:vAlign w:val="bottom"/>
          </w:tcPr>
          <w:p>
            <w:pPr>
              <w:spacing w:after="0"/>
              <w:rPr>
                <w:sz w:val="16"/>
                <w:szCs w:val="16"/>
                <w:color w:val="auto"/>
              </w:rPr>
            </w:pPr>
          </w:p>
        </w:tc>
        <w:tc>
          <w:tcPr>
            <w:tcW w:w="33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r>
      <w:tr>
        <w:trPr>
          <w:trHeight w:val="170"/>
        </w:trPr>
        <w:tc>
          <w:tcPr>
            <w:tcW w:w="44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External program costs:</w:t>
            </w:r>
          </w:p>
        </w:tc>
        <w:tc>
          <w:tcPr>
            <w:tcW w:w="3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0"/>
        </w:trPr>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Norovirus program</w:t>
            </w:r>
          </w:p>
        </w:tc>
        <w:tc>
          <w:tcPr>
            <w:tcW w:w="334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3,638</w:t>
            </w:r>
          </w:p>
        </w:tc>
        <w:tc>
          <w:tcPr>
            <w:tcW w:w="11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3,178</w:t>
            </w:r>
          </w:p>
        </w:tc>
      </w:tr>
      <w:tr>
        <w:trPr>
          <w:trHeight w:val="17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COVID-19 program</w:t>
            </w:r>
          </w:p>
        </w:tc>
        <w:tc>
          <w:tcPr>
            <w:tcW w:w="3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155,049</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16,883</w:t>
            </w:r>
          </w:p>
        </w:tc>
      </w:tr>
      <w:tr>
        <w:trPr>
          <w:trHeight w:val="170"/>
        </w:trPr>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programs</w:t>
            </w:r>
          </w:p>
        </w:tc>
        <w:tc>
          <w:tcPr>
            <w:tcW w:w="334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345</w:t>
            </w:r>
          </w:p>
        </w:tc>
        <w:tc>
          <w:tcPr>
            <w:tcW w:w="11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Preclinical research</w:t>
            </w:r>
          </w:p>
        </w:tc>
        <w:tc>
          <w:tcPr>
            <w:tcW w:w="3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767</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1,909</w:t>
            </w:r>
          </w:p>
        </w:tc>
      </w:tr>
      <w:tr>
        <w:trPr>
          <w:trHeight w:val="170"/>
        </w:trPr>
        <w:tc>
          <w:tcPr>
            <w:tcW w:w="4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Process development</w:t>
            </w:r>
          </w:p>
        </w:tc>
        <w:tc>
          <w:tcPr>
            <w:tcW w:w="334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w:t>
            </w:r>
          </w:p>
        </w:tc>
        <w:tc>
          <w:tcPr>
            <w:tcW w:w="11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271</w:t>
            </w:r>
          </w:p>
        </w:tc>
      </w:tr>
      <w:tr>
        <w:trPr>
          <w:trHeight w:val="1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external costs</w:t>
            </w:r>
          </w:p>
        </w:tc>
        <w:tc>
          <w:tcPr>
            <w:tcW w:w="33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159,845</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22,273</w:t>
            </w:r>
          </w:p>
        </w:tc>
      </w:tr>
      <w:tr>
        <w:trPr>
          <w:trHeight w:val="170"/>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Internal costs</w:t>
            </w:r>
          </w:p>
        </w:tc>
        <w:tc>
          <w:tcPr>
            <w:tcW w:w="334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41,731</w:t>
            </w:r>
          </w:p>
        </w:tc>
        <w:tc>
          <w:tcPr>
            <w:tcW w:w="110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51,940</w:t>
            </w:r>
          </w:p>
        </w:tc>
      </w:tr>
      <w:tr>
        <w:trPr>
          <w:trHeight w:val="17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research and development costs</w:t>
            </w:r>
          </w:p>
        </w:tc>
        <w:tc>
          <w:tcPr>
            <w:tcW w:w="334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201,576</w:t>
            </w:r>
          </w:p>
        </w:tc>
        <w:tc>
          <w:tcPr>
            <w:tcW w:w="11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74,213</w:t>
            </w:r>
          </w:p>
        </w:tc>
      </w:tr>
    </w:tbl>
    <w:p>
      <w:pPr>
        <w:spacing w:after="0" w:line="155" w:lineRule="exact"/>
        <w:rPr>
          <w:sz w:val="20"/>
          <w:szCs w:val="20"/>
          <w:color w:val="auto"/>
        </w:rPr>
      </w:pPr>
    </w:p>
    <w:p>
      <w:pPr>
        <w:ind w:right="60" w:firstLine="254"/>
        <w:spacing w:after="0" w:line="269" w:lineRule="auto"/>
        <w:rPr>
          <w:sz w:val="20"/>
          <w:szCs w:val="20"/>
          <w:color w:val="auto"/>
        </w:rPr>
      </w:pPr>
      <w:r>
        <w:rPr>
          <w:rFonts w:ascii="Times New Roman" w:cs="Times New Roman" w:eastAsia="Times New Roman" w:hAnsi="Times New Roman"/>
          <w:sz w:val="14"/>
          <w:szCs w:val="14"/>
          <w:color w:val="auto"/>
        </w:rPr>
        <w:t>We expect to incur significant research and development expenses in the remainder of 2026 and beyond as we advance our tablet vaccine candidates into and through clinical trials, pursue regulatory approval of our tablet vaccine candidates and prepare for a possible commercial launch, all of which will also require a significant investment in manufacturing and inventory related costs. To the extent that we enter into licensing, partnering or collaboration agreements, a significant portion of such costs may be borne by third parties.</w:t>
      </w:r>
    </w:p>
    <w:p>
      <w:pPr>
        <w:spacing w:after="0" w:line="137"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The process of conducting clinical trials necessary to obtain regulatory approval is costly and time consuming. We may never succeed in achieving marketing approval for our tablet vaccine candidates. The probability of successful commercialization of our tablet vaccine candidates may be affected by numerous factors, including clinical data obtained in future trials, competition, manufacturing capability and commercial viability. As a result, we are unable to determine the duration and completion costs of our research and development projects or when and to what extent we will generate revenue from the commercialization and sale of any of our tablet vaccine candidates.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w:t>
      </w:r>
    </w:p>
    <w:p>
      <w:pPr>
        <w:spacing w:after="0" w:line="180" w:lineRule="exact"/>
        <w:rPr>
          <w:sz w:val="20"/>
          <w:szCs w:val="20"/>
          <w:color w:val="auto"/>
        </w:rPr>
      </w:pPr>
    </w:p>
    <w:p>
      <w:pPr>
        <w:jc w:val="both"/>
        <w:ind w:right="140" w:firstLine="254"/>
        <w:spacing w:after="0" w:line="269" w:lineRule="auto"/>
        <w:rPr>
          <w:sz w:val="20"/>
          <w:szCs w:val="20"/>
          <w:color w:val="auto"/>
        </w:rPr>
      </w:pPr>
      <w:r>
        <w:rPr>
          <w:rFonts w:ascii="Times New Roman" w:cs="Times New Roman" w:eastAsia="Times New Roman" w:hAnsi="Times New Roman"/>
          <w:sz w:val="14"/>
          <w:szCs w:val="14"/>
          <w:color w:val="auto"/>
        </w:rPr>
        <w:t>General and administrative expenses consist of personnel costs, insurance, allocated expenses and expenses for outside professional services, including legal, audit, accounting, public relations, market research and other consulting services. Personnel costs consist of salaries, benefits and stock-based compensation. Allocated expenses consist of rent, depreciation and other facilities-related expenses.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As we continue to explore commercial opportunities, and plan to work with business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services and other components associated with the development of our tablet vaccines and manufacturing capabilities. We continue to monitor these developments closely to maintain operational efficiency and help mitigate potential future impacts.</w:t>
      </w:r>
    </w:p>
    <w:p>
      <w:pPr>
        <w:spacing w:after="0" w:line="140"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The following table presents period-over-period changes in selected items in the condensed consolidated statements of operations and comprehensive loss for the three months ended March 31, 2026 and 2025 (in thousands, except percentages):</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4"/>
                <w:szCs w:val="14"/>
                <w:color w:val="auto"/>
              </w:rPr>
            </w:pPr>
          </w:p>
        </w:tc>
      </w:tr>
      <w:tr>
        <w:trPr>
          <w:trHeight w:val="186"/>
        </w:trPr>
        <w:tc>
          <w:tcPr>
            <w:tcW w:w="3580" w:type="dxa"/>
            <w:vAlign w:val="bottom"/>
          </w:tcPr>
          <w:p>
            <w:pPr>
              <w:spacing w:after="0"/>
              <w:rPr>
                <w:sz w:val="16"/>
                <w:szCs w:val="16"/>
                <w:color w:val="auto"/>
              </w:rPr>
            </w:pPr>
          </w:p>
        </w:tc>
        <w:tc>
          <w:tcPr>
            <w:tcW w:w="25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50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39,227</w:t>
            </w:r>
          </w:p>
        </w:tc>
        <w:tc>
          <w:tcPr>
            <w:tcW w:w="4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20,876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34,054</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35,811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5,173</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(14,935)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non-operating income (expense)</w:t>
            </w:r>
          </w:p>
        </w:tc>
        <w:tc>
          <w:tcPr>
            <w:tcW w:w="2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35</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(561)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5,208</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(15,496)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5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95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0"/>
        </w:trPr>
        <w:tc>
          <w:tcPr>
            <w:tcW w:w="35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50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5,179</w:t>
            </w:r>
          </w:p>
        </w:tc>
        <w:tc>
          <w:tcPr>
            <w:tcW w:w="4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(15,591)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bl>
    <w:p>
      <w:pPr>
        <w:spacing w:after="0" w:line="155" w:lineRule="exact"/>
        <w:rPr>
          <w:sz w:val="20"/>
          <w:szCs w:val="20"/>
          <w:color w:val="auto"/>
        </w:rPr>
      </w:pPr>
    </w:p>
    <w:p>
      <w:pPr>
        <w:jc w:val="both"/>
        <w:ind w:right="500" w:firstLine="254"/>
        <w:spacing w:after="0" w:line="286" w:lineRule="auto"/>
        <w:rPr>
          <w:sz w:val="20"/>
          <w:szCs w:val="20"/>
          <w:color w:val="auto"/>
        </w:rPr>
      </w:pPr>
      <w:r>
        <w:rPr>
          <w:rFonts w:ascii="Times New Roman" w:cs="Times New Roman" w:eastAsia="Times New Roman" w:hAnsi="Times New Roman"/>
          <w:sz w:val="14"/>
          <w:szCs w:val="14"/>
          <w:color w:val="auto"/>
        </w:rPr>
        <w:t>The following table presents period-over-period changes in selected items in the consolidated statements of operations and comprehensive income (loss) for years ended December 31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6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26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237,258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28,700</w:t>
            </w: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62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219,184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94,993</w:t>
            </w: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 (loss)</w:t>
            </w:r>
          </w:p>
        </w:tc>
        <w:tc>
          <w:tcPr>
            <w:tcW w:w="262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18,074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(66,293)</w:t>
            </w: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non-operating expense</w:t>
            </w:r>
          </w:p>
        </w:tc>
        <w:tc>
          <w:tcPr>
            <w:tcW w:w="262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1269"/>
              <w:spacing w:after="0"/>
              <w:rPr>
                <w:sz w:val="20"/>
                <w:szCs w:val="20"/>
                <w:color w:val="auto"/>
              </w:rPr>
            </w:pPr>
            <w:r>
              <w:rPr>
                <w:rFonts w:ascii="Times New Roman" w:cs="Times New Roman" w:eastAsia="Times New Roman" w:hAnsi="Times New Roman"/>
                <w:sz w:val="14"/>
                <w:szCs w:val="14"/>
                <w:color w:val="auto"/>
              </w:rPr>
              <w:t>(1,271)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62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16,803</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(66,688)</w:t>
            </w: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2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476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260</w:t>
            </w: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26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ind w:right="1329"/>
              <w:spacing w:after="0"/>
              <w:rPr>
                <w:sz w:val="20"/>
                <w:szCs w:val="20"/>
                <w:color w:val="auto"/>
              </w:rPr>
            </w:pPr>
            <w:r>
              <w:rPr>
                <w:rFonts w:ascii="Times New Roman" w:cs="Times New Roman" w:eastAsia="Times New Roman" w:hAnsi="Times New Roman"/>
                <w:sz w:val="14"/>
                <w:szCs w:val="14"/>
                <w:color w:val="auto"/>
              </w:rPr>
              <w:t>16,327</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3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(66,948)</w:t>
            </w:r>
          </w:p>
        </w:tc>
        <w:tc>
          <w:tcPr>
            <w:tcW w:w="500" w:type="dxa"/>
            <w:vAlign w:val="bottom"/>
          </w:tcPr>
          <w:p>
            <w:pPr>
              <w:spacing w:after="0"/>
              <w:rPr>
                <w:sz w:val="14"/>
                <w:szCs w:val="14"/>
                <w:color w:val="auto"/>
              </w:rPr>
            </w:pPr>
          </w:p>
        </w:tc>
      </w:tr>
      <w:tr>
        <w:trPr>
          <w:trHeight w:val="339"/>
        </w:trPr>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20" w:type="dxa"/>
            <w:vAlign w:val="bottom"/>
          </w:tcPr>
          <w:p>
            <w:pPr>
              <w:jc w:val="right"/>
              <w:ind w:right="909"/>
              <w:spacing w:after="0"/>
              <w:rPr>
                <w:sz w:val="20"/>
                <w:szCs w:val="20"/>
                <w:color w:val="auto"/>
              </w:rPr>
            </w:pPr>
            <w:r>
              <w:rPr>
                <w:rFonts w:ascii="Times New Roman" w:cs="Times New Roman" w:eastAsia="Times New Roman" w:hAnsi="Times New Roman"/>
                <w:sz w:val="14"/>
                <w:szCs w:val="14"/>
                <w:color w:val="auto"/>
              </w:rPr>
              <w:t>96</w:t>
            </w: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86"/>
        </w:trPr>
        <w:tc>
          <w:tcPr>
            <w:tcW w:w="64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Revenue</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 the three months ended March 31, 2026 and 2025</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revenues for the three months ended March 31, 2026 and 2025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2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4"/>
                <w:szCs w:val="14"/>
                <w:color w:val="auto"/>
              </w:rPr>
            </w:pPr>
          </w:p>
        </w:tc>
      </w:tr>
      <w:tr>
        <w:trPr>
          <w:trHeight w:val="186"/>
        </w:trPr>
        <w:tc>
          <w:tcPr>
            <w:tcW w:w="4200" w:type="dxa"/>
            <w:vAlign w:val="bottom"/>
          </w:tcPr>
          <w:p>
            <w:pPr>
              <w:spacing w:after="0"/>
              <w:rPr>
                <w:sz w:val="16"/>
                <w:szCs w:val="16"/>
                <w:color w:val="auto"/>
              </w:rPr>
            </w:pPr>
          </w:p>
        </w:tc>
        <w:tc>
          <w:tcPr>
            <w:tcW w:w="1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royalty revenue related to sale of future royalties</w:t>
            </w:r>
          </w:p>
        </w:tc>
        <w:tc>
          <w:tcPr>
            <w:tcW w:w="188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4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1,579</w:t>
            </w:r>
          </w:p>
        </w:tc>
        <w:tc>
          <w:tcPr>
            <w:tcW w:w="1440" w:type="dxa"/>
            <w:vAlign w:val="bottom"/>
            <w:shd w:val="clear" w:color="auto" w:fill="CCEEFF"/>
          </w:tcPr>
          <w:p>
            <w:pPr>
              <w:jc w:val="center"/>
              <w:ind w:left="1009"/>
              <w:spacing w:after="0"/>
              <w:rPr>
                <w:sz w:val="20"/>
                <w:szCs w:val="20"/>
                <w:color w:val="auto"/>
              </w:rPr>
            </w:pPr>
            <w:r>
              <w:rPr>
                <w:rFonts w:ascii="Times New Roman" w:cs="Times New Roman" w:eastAsia="Times New Roman" w:hAnsi="Times New Roman"/>
                <w:sz w:val="14"/>
                <w:szCs w:val="14"/>
                <w:color w:val="auto"/>
              </w:rPr>
              <w:t>(97)%</w:t>
            </w:r>
          </w:p>
        </w:tc>
      </w:tr>
      <w:tr>
        <w:trPr>
          <w:trHeight w:val="170"/>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government contracts</w:t>
            </w:r>
          </w:p>
        </w:tc>
        <w:tc>
          <w:tcPr>
            <w:tcW w:w="18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36,370</w:t>
            </w:r>
          </w:p>
        </w:tc>
        <w:tc>
          <w:tcPr>
            <w:tcW w:w="440" w:type="dxa"/>
            <w:vAlign w:val="bottom"/>
          </w:tcPr>
          <w:p>
            <w:pPr>
              <w:spacing w:after="0"/>
              <w:rPr>
                <w:sz w:val="14"/>
                <w:szCs w:val="14"/>
                <w:color w:val="auto"/>
              </w:rPr>
            </w:pPr>
          </w:p>
        </w:tc>
        <w:tc>
          <w:tcPr>
            <w:tcW w:w="1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19,297</w:t>
            </w:r>
          </w:p>
        </w:tc>
        <w:tc>
          <w:tcPr>
            <w:tcW w:w="14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88%</w:t>
            </w:r>
          </w:p>
        </w:tc>
      </w:tr>
      <w:tr>
        <w:trPr>
          <w:trHeight w:val="170"/>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Collaboration revenue</w:t>
            </w:r>
          </w:p>
        </w:tc>
        <w:tc>
          <w:tcPr>
            <w:tcW w:w="18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2,815</w:t>
            </w:r>
          </w:p>
        </w:tc>
        <w:tc>
          <w:tcPr>
            <w:tcW w:w="44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center"/>
              <w:ind w:left="102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88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39,227</w:t>
            </w:r>
          </w:p>
        </w:tc>
        <w:tc>
          <w:tcPr>
            <w:tcW w:w="44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20,876</w:t>
            </w:r>
          </w:p>
        </w:tc>
        <w:tc>
          <w:tcPr>
            <w:tcW w:w="1440" w:type="dxa"/>
            <w:vAlign w:val="bottom"/>
          </w:tcPr>
          <w:p>
            <w:pPr>
              <w:jc w:val="center"/>
              <w:ind w:left="1029"/>
              <w:spacing w:after="0"/>
              <w:rPr>
                <w:sz w:val="20"/>
                <w:szCs w:val="20"/>
                <w:color w:val="auto"/>
              </w:rPr>
            </w:pPr>
            <w:r>
              <w:rPr>
                <w:rFonts w:ascii="Times New Roman" w:cs="Times New Roman" w:eastAsia="Times New Roman" w:hAnsi="Times New Roman"/>
                <w:sz w:val="14"/>
                <w:szCs w:val="14"/>
                <w:color w:val="auto"/>
              </w:rPr>
              <w:t>88%</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Non-cash Royalty Revenue Related to Sale of Future Royalties</w:t>
      </w:r>
    </w:p>
    <w:p>
      <w:pPr>
        <w:spacing w:after="0" w:line="180"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For the three months ended March 31, 2026 and 2025, non-cash royalty revenue related to sale of future royalties from Daiichi Sankyo was $42,000 and $1.6 million, respectively. We continue to have non-cash royalty revenue as all royalties received for the three months ended March 31, 2026 and 2025 were required to be paid to HCRP.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Government Contracts</w:t>
      </w:r>
    </w:p>
    <w:p>
      <w:pPr>
        <w:spacing w:after="0" w:line="180" w:lineRule="exact"/>
        <w:rPr>
          <w:sz w:val="20"/>
          <w:szCs w:val="20"/>
          <w:color w:val="auto"/>
        </w:rPr>
      </w:pPr>
    </w:p>
    <w:p>
      <w:pPr>
        <w:jc w:val="both"/>
        <w:ind w:right="40" w:firstLine="254"/>
        <w:spacing w:after="0" w:line="264" w:lineRule="auto"/>
        <w:rPr>
          <w:sz w:val="20"/>
          <w:szCs w:val="20"/>
          <w:color w:val="auto"/>
        </w:rPr>
      </w:pPr>
      <w:r>
        <w:rPr>
          <w:rFonts w:ascii="Times New Roman" w:cs="Times New Roman" w:eastAsia="Times New Roman" w:hAnsi="Times New Roman"/>
          <w:sz w:val="14"/>
          <w:szCs w:val="14"/>
          <w:color w:val="auto"/>
        </w:rPr>
        <w:t>For the three months ended March 31, 2026 and 2025, revenue from government contracts was $36.4 million and $19.3 million, respectively. The revenue from government contracts consists of the 2024 ASPR-BARDA Contract awarded to us in January 2024 and the 2024 ATI-RRPV Contract awarded to us in June 2024. No revenue was recognized under the 2024 ASPR-BARDA Contract for the three months ended March 31, 2026 and 2025, respectively. Revenue from the 2024 ATI-RRPV Contract was $36.4 million and $19.3 million for the three months ended March 31, 2026 and 2025,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 and Collaboration Revenue</w:t>
      </w:r>
    </w:p>
    <w:p>
      <w:pPr>
        <w:spacing w:after="0" w:line="180" w:lineRule="exact"/>
        <w:rPr>
          <w:sz w:val="20"/>
          <w:szCs w:val="20"/>
          <w:color w:val="auto"/>
        </w:rPr>
      </w:pPr>
    </w:p>
    <w:p>
      <w:pPr>
        <w:ind w:right="60" w:firstLine="254"/>
        <w:spacing w:after="0" w:line="269" w:lineRule="auto"/>
        <w:rPr>
          <w:sz w:val="20"/>
          <w:szCs w:val="20"/>
          <w:color w:val="auto"/>
        </w:rPr>
      </w:pPr>
      <w:r>
        <w:rPr>
          <w:rFonts w:ascii="Times New Roman" w:cs="Times New Roman" w:eastAsia="Times New Roman" w:hAnsi="Times New Roman"/>
          <w:sz w:val="14"/>
          <w:szCs w:val="14"/>
          <w:color w:val="auto"/>
        </w:rPr>
        <w:t>For the three months ended March 31, 2026 and 2025, collaboration revenue was $2.8 million, compared to zero for both license and collaboration revenue for the three months ended March 31, 2025. The license and collaboration revenue derives from the 2025 License and Collaboration Agreement signed in November 2025. Revenue recognized in 2026 primarily relates to the portion of the upfront consideration allocated to development activities performed during the period.</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 the years ended December 31, 2025 and 2024</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revenue for years ended December 31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4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royalty revenue related to sale of future royalties</w:t>
            </w:r>
          </w:p>
        </w:tc>
        <w:tc>
          <w:tcPr>
            <w:tcW w:w="1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1,929</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3,842</w:t>
            </w: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government contracts</w:t>
            </w:r>
          </w:p>
        </w:tc>
        <w:tc>
          <w:tcPr>
            <w:tcW w:w="1920" w:type="dxa"/>
            <w:vAlign w:val="bottom"/>
          </w:tcPr>
          <w:p>
            <w:pPr>
              <w:spacing w:after="0"/>
              <w:rPr>
                <w:sz w:val="14"/>
                <w:szCs w:val="14"/>
                <w:color w:val="auto"/>
              </w:rPr>
            </w:pPr>
          </w:p>
        </w:tc>
        <w:tc>
          <w:tcPr>
            <w:tcW w:w="182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224,516</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803%</w:t>
            </w:r>
          </w:p>
        </w:tc>
        <w:tc>
          <w:tcPr>
            <w:tcW w:w="380" w:type="dxa"/>
            <w:vAlign w:val="bottom"/>
          </w:tcPr>
          <w:p>
            <w:pPr>
              <w:spacing w:after="0"/>
              <w:rPr>
                <w:sz w:val="14"/>
                <w:szCs w:val="14"/>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24,858</w:t>
            </w: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License revenue</w:t>
            </w:r>
          </w:p>
        </w:tc>
        <w:tc>
          <w:tcPr>
            <w:tcW w:w="192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8,705</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Collaboration revenue</w:t>
            </w:r>
          </w:p>
        </w:tc>
        <w:tc>
          <w:tcPr>
            <w:tcW w:w="1920" w:type="dxa"/>
            <w:vAlign w:val="bottom"/>
          </w:tcPr>
          <w:p>
            <w:pPr>
              <w:spacing w:after="0"/>
              <w:rPr>
                <w:sz w:val="14"/>
                <w:szCs w:val="14"/>
                <w:color w:val="auto"/>
              </w:rPr>
            </w:pPr>
          </w:p>
        </w:tc>
        <w:tc>
          <w:tcPr>
            <w:tcW w:w="182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2,108</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100%</w:t>
            </w:r>
          </w:p>
        </w:tc>
        <w:tc>
          <w:tcPr>
            <w:tcW w:w="380" w:type="dxa"/>
            <w:vAlign w:val="bottom"/>
          </w:tcPr>
          <w:p>
            <w:pPr>
              <w:spacing w:after="0"/>
              <w:rPr>
                <w:sz w:val="14"/>
                <w:szCs w:val="14"/>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9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237,258</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727%</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28,700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Non-cash Royalty Revenue Related to Sale of Future Royalties</w:t>
      </w:r>
    </w:p>
    <w:p>
      <w:pPr>
        <w:spacing w:after="0" w:line="180" w:lineRule="exact"/>
        <w:rPr>
          <w:sz w:val="20"/>
          <w:szCs w:val="20"/>
          <w:color w:val="auto"/>
        </w:rPr>
      </w:pPr>
    </w:p>
    <w:p>
      <w:pPr>
        <w:jc w:val="both"/>
        <w:ind w:right="460" w:firstLine="254"/>
        <w:spacing w:after="0" w:line="286" w:lineRule="auto"/>
        <w:rPr>
          <w:sz w:val="20"/>
          <w:szCs w:val="20"/>
          <w:color w:val="auto"/>
        </w:rPr>
      </w:pPr>
      <w:r>
        <w:rPr>
          <w:rFonts w:ascii="Times New Roman" w:cs="Times New Roman" w:eastAsia="Times New Roman" w:hAnsi="Times New Roman"/>
          <w:sz w:val="14"/>
          <w:szCs w:val="14"/>
          <w:color w:val="auto"/>
        </w:rPr>
        <w:t>For the year ended December 31, 2025, non-cash royalty revenue related to the sale of future royalties from Daiichi Sankyo was $1.9 million, compared to $3.8 million for the year ended December 31, 2024. We continue to have non-cash royalty revenue as all royalties received in the years ended December 31, 2025 and 2024 were required to be paid to HCRP.</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Government Contracts</w:t>
      </w:r>
    </w:p>
    <w:p>
      <w:pPr>
        <w:spacing w:after="0" w:line="180" w:lineRule="exact"/>
        <w:rPr>
          <w:sz w:val="20"/>
          <w:szCs w:val="20"/>
          <w:color w:val="auto"/>
        </w:rPr>
      </w:pPr>
    </w:p>
    <w:p>
      <w:pPr>
        <w:ind w:firstLine="254"/>
        <w:spacing w:after="0" w:line="263" w:lineRule="auto"/>
        <w:rPr>
          <w:sz w:val="20"/>
          <w:szCs w:val="20"/>
          <w:color w:val="auto"/>
        </w:rPr>
      </w:pPr>
      <w:r>
        <w:rPr>
          <w:rFonts w:ascii="Times New Roman" w:cs="Times New Roman" w:eastAsia="Times New Roman" w:hAnsi="Times New Roman"/>
          <w:sz w:val="14"/>
          <w:szCs w:val="14"/>
          <w:color w:val="auto"/>
        </w:rPr>
        <w:t>For the years ended December 31, 2025 and 2024, revenue from government contracts was $224.5 million and $24.9 million, respectively. The revenue from government contracts consists of the 2024 ASPR-BARDA Contract awarded to us in January 2024 and the 2024 ATI-RRPV Contract awarded to us in June 2024. Revenue from the 2024 ASPR-BARDA Contract was $0.6 million</w:t>
      </w:r>
    </w:p>
    <w:p>
      <w:pPr>
        <w:spacing w:after="0" w:line="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and $8.7 million for the years ended December 31, 2025 and 2024, respectively. Revenue from the ATI-RRPV Contract was $223.9 million and $16.2 million for the years ended December 31, 2025 and 2024, respectively.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License and Collaboration Revenue</w:t>
      </w:r>
    </w:p>
    <w:p>
      <w:pPr>
        <w:spacing w:after="0" w:line="180" w:lineRule="exact"/>
        <w:rPr>
          <w:sz w:val="20"/>
          <w:szCs w:val="20"/>
          <w:color w:val="auto"/>
        </w:rPr>
      </w:pPr>
    </w:p>
    <w:p>
      <w:pPr>
        <w:ind w:right="60" w:firstLine="254"/>
        <w:spacing w:after="0" w:line="269" w:lineRule="auto"/>
        <w:rPr>
          <w:sz w:val="20"/>
          <w:szCs w:val="20"/>
          <w:color w:val="auto"/>
        </w:rPr>
      </w:pPr>
      <w:r>
        <w:rPr>
          <w:rFonts w:ascii="Times New Roman" w:cs="Times New Roman" w:eastAsia="Times New Roman" w:hAnsi="Times New Roman"/>
          <w:sz w:val="14"/>
          <w:szCs w:val="14"/>
          <w:color w:val="auto"/>
        </w:rPr>
        <w:t>For the years ended December 31, 2025, license revenue was $8.7 million, and collaboration revenue was $2.1 million, compared to zero for the year ended December 31, 2024. The license and collaboration revenue derives from the 2025 License and Collaboration Agreement signed in November 2025. Revenue recognized during 2025 primarily relates to the transfer of the exclusive license and the portion of the upfront consideration allocated to development activities performed during the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Operating Expenses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 the three months ended March 31, 2026 and 2025</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operating expenses for the three months ended March 31, 2026 and 2025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00" w:type="dxa"/>
            <w:vAlign w:val="bottom"/>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4"/>
                <w:szCs w:val="14"/>
                <w:color w:val="auto"/>
              </w:rPr>
            </w:pPr>
          </w:p>
        </w:tc>
      </w:tr>
      <w:tr>
        <w:trPr>
          <w:trHeight w:val="186"/>
        </w:trPr>
        <w:tc>
          <w:tcPr>
            <w:tcW w:w="3440" w:type="dxa"/>
            <w:vAlign w:val="bottom"/>
          </w:tcPr>
          <w:p>
            <w:pPr>
              <w:spacing w:after="0"/>
              <w:rPr>
                <w:sz w:val="16"/>
                <w:szCs w:val="16"/>
                <w:color w:val="auto"/>
              </w:rPr>
            </w:pPr>
          </w:p>
        </w:tc>
        <w:tc>
          <w:tcPr>
            <w:tcW w:w="286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34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29,413</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30,744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60" w:type="dxa"/>
            <w:vAlign w:val="bottom"/>
          </w:tcPr>
          <w:p>
            <w:pPr>
              <w:spacing w:after="0"/>
              <w:rPr>
                <w:sz w:val="14"/>
                <w:szCs w:val="14"/>
                <w:color w:val="auto"/>
              </w:rPr>
            </w:pPr>
          </w:p>
        </w:tc>
        <w:tc>
          <w:tcPr>
            <w:tcW w:w="5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4,641</w:t>
            </w:r>
          </w:p>
        </w:tc>
        <w:tc>
          <w:tcPr>
            <w:tcW w:w="420" w:type="dxa"/>
            <w:vAlign w:val="bottom"/>
          </w:tcPr>
          <w:p>
            <w:pPr>
              <w:spacing w:after="0"/>
              <w:rPr>
                <w:sz w:val="14"/>
                <w:szCs w:val="14"/>
                <w:color w:val="auto"/>
              </w:rPr>
            </w:pPr>
          </w:p>
        </w:tc>
        <w:tc>
          <w:tcPr>
            <w:tcW w:w="1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5,067</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6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34,054</w:t>
            </w:r>
          </w:p>
        </w:tc>
        <w:tc>
          <w:tcPr>
            <w:tcW w:w="4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35,811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0" w:lineRule="exact"/>
        <w:rPr>
          <w:sz w:val="20"/>
          <w:szCs w:val="20"/>
          <w:color w:val="auto"/>
        </w:rPr>
      </w:pPr>
    </w:p>
    <w:p>
      <w:pPr>
        <w:ind w:right="180" w:firstLine="254"/>
        <w:spacing w:after="0" w:line="286" w:lineRule="auto"/>
        <w:rPr>
          <w:sz w:val="20"/>
          <w:szCs w:val="20"/>
          <w:color w:val="auto"/>
        </w:rPr>
      </w:pPr>
      <w:r>
        <w:rPr>
          <w:rFonts w:ascii="Times New Roman" w:cs="Times New Roman" w:eastAsia="Times New Roman" w:hAnsi="Times New Roman"/>
          <w:sz w:val="14"/>
          <w:szCs w:val="14"/>
          <w:color w:val="auto"/>
        </w:rPr>
        <w:t>For the three months ended March 31, 2026, research and development expenses decreased by $1.3 million, or 4%, compared to the three months ended March 31, 2025. The net decrease was primarily due to a decrease in personnel, preclinical and manufacturing costs, partially offset by an increase in clinical trial expenses related to our COVID-19 vaccine candidate.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0" w:lineRule="exact"/>
        <w:rPr>
          <w:sz w:val="20"/>
          <w:szCs w:val="20"/>
          <w:color w:val="auto"/>
        </w:rPr>
      </w:pPr>
    </w:p>
    <w:p>
      <w:pPr>
        <w:ind w:right="140" w:firstLine="254"/>
        <w:spacing w:after="0" w:line="286" w:lineRule="auto"/>
        <w:rPr>
          <w:sz w:val="20"/>
          <w:szCs w:val="20"/>
          <w:color w:val="auto"/>
        </w:rPr>
      </w:pPr>
      <w:r>
        <w:rPr>
          <w:rFonts w:ascii="Times New Roman" w:cs="Times New Roman" w:eastAsia="Times New Roman" w:hAnsi="Times New Roman"/>
          <w:sz w:val="14"/>
          <w:szCs w:val="14"/>
          <w:color w:val="auto"/>
        </w:rPr>
        <w:t>For the three months ended March 31, 2026, general and administrative expenses decreased by $0.4 million, or 8%, compared to the three months ended March 31, 2025. The net decrease was primarily due to a decrease in personnel, facilities and recruiting costs, partially offset by an increase in professional and legal fees.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For the years ended December 31, 2025 and 2024</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operating expenses for years ended December 31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34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201,576</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172%</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74,213</w:t>
            </w:r>
          </w:p>
        </w:tc>
      </w:tr>
      <w:tr>
        <w:trPr>
          <w:trHeight w:val="170"/>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20" w:type="dxa"/>
            <w:vAlign w:val="bottom"/>
          </w:tcPr>
          <w:p>
            <w:pPr>
              <w:spacing w:after="0"/>
              <w:rPr>
                <w:sz w:val="14"/>
                <w:szCs w:val="14"/>
                <w:color w:val="auto"/>
              </w:rPr>
            </w:pPr>
          </w:p>
        </w:tc>
        <w:tc>
          <w:tcPr>
            <w:tcW w:w="182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17,608</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80" w:type="dxa"/>
            <w:vAlign w:val="bottom"/>
          </w:tcPr>
          <w:p>
            <w:pPr>
              <w:spacing w:after="0"/>
              <w:rPr>
                <w:sz w:val="14"/>
                <w:szCs w:val="14"/>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20,780</w:t>
            </w:r>
          </w:p>
        </w:tc>
      </w:tr>
      <w:tr>
        <w:trPr>
          <w:trHeight w:val="17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2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219,184</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131%</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94,993</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0"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For the year ended December 31, 2025, research and development expenses were $201.6 million, an increase of $127.4 million, or 172%, compared to $74.2 million for the year ended December 31, 2024. The increase was primarily due to clinical trial expenses related to our COVID-19 vaccine candidate, partially offset by a decrease in expense related to manufacturing, preclinical, personnel costs and facilities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0" w:lineRule="exact"/>
        <w:rPr>
          <w:sz w:val="20"/>
          <w:szCs w:val="20"/>
          <w:color w:val="auto"/>
        </w:rPr>
      </w:pPr>
    </w:p>
    <w:p>
      <w:pPr>
        <w:ind w:right="120" w:firstLine="254"/>
        <w:spacing w:after="0" w:line="286" w:lineRule="auto"/>
        <w:rPr>
          <w:sz w:val="20"/>
          <w:szCs w:val="20"/>
          <w:color w:val="auto"/>
        </w:rPr>
      </w:pPr>
      <w:r>
        <w:rPr>
          <w:rFonts w:ascii="Times New Roman" w:cs="Times New Roman" w:eastAsia="Times New Roman" w:hAnsi="Times New Roman"/>
          <w:sz w:val="14"/>
          <w:szCs w:val="14"/>
          <w:color w:val="auto"/>
        </w:rPr>
        <w:t>For the year ended December 31, 2025, general and administrative expenses were $17.6 million, a decrease of $3.2 million, or 15% compared to $20.8 million for the year ended December 31, 2024. The decrease was primarily due to personnel costs, legal and professional fees, and facilities expense.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Non-Operating Income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Expense)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non-operating income for the three months ended March 31, 2026 and 2025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56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4"/>
                <w:szCs w:val="14"/>
                <w:color w:val="auto"/>
              </w:rPr>
            </w:pPr>
          </w:p>
        </w:tc>
      </w:tr>
      <w:tr>
        <w:trPr>
          <w:trHeight w:val="186"/>
        </w:trPr>
        <w:tc>
          <w:tcPr>
            <w:tcW w:w="4220" w:type="dxa"/>
            <w:vAlign w:val="bottom"/>
          </w:tcPr>
          <w:p>
            <w:pPr>
              <w:spacing w:after="0"/>
              <w:rPr>
                <w:sz w:val="16"/>
                <w:szCs w:val="16"/>
                <w:color w:val="auto"/>
              </w:rPr>
            </w:pPr>
          </w:p>
        </w:tc>
        <w:tc>
          <w:tcPr>
            <w:tcW w:w="19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92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551</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437</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0"/>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tc>
        <w:tc>
          <w:tcPr>
            <w:tcW w:w="19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420" w:type="dxa"/>
            <w:vAlign w:val="bottom"/>
          </w:tcPr>
          <w:p>
            <w:pPr>
              <w:spacing w:after="0"/>
              <w:rPr>
                <w:sz w:val="14"/>
                <w:szCs w:val="14"/>
                <w:color w:val="auto"/>
              </w:rPr>
            </w:pPr>
          </w:p>
        </w:tc>
        <w:tc>
          <w:tcPr>
            <w:tcW w:w="15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(997)</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7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r>
      <w:tr>
        <w:trPr>
          <w:trHeight w:val="184"/>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Net non-operating income (expense)</w:t>
            </w:r>
          </w:p>
        </w:tc>
        <w:tc>
          <w:tcPr>
            <w:tcW w:w="1920" w:type="dxa"/>
            <w:vAlign w:val="bottom"/>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(561)</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bl>
    <w:p>
      <w:pPr>
        <w:spacing w:after="0" w:line="141" w:lineRule="exact"/>
        <w:rPr>
          <w:sz w:val="20"/>
          <w:szCs w:val="20"/>
          <w:color w:val="auto"/>
        </w:rPr>
      </w:pPr>
    </w:p>
    <w:p>
      <w:pPr>
        <w:ind w:right="240" w:firstLine="254"/>
        <w:spacing w:after="0" w:line="286" w:lineRule="auto"/>
        <w:rPr>
          <w:sz w:val="20"/>
          <w:szCs w:val="20"/>
          <w:color w:val="auto"/>
        </w:rPr>
      </w:pPr>
      <w:r>
        <w:rPr>
          <w:rFonts w:ascii="Times New Roman" w:cs="Times New Roman" w:eastAsia="Times New Roman" w:hAnsi="Times New Roman"/>
          <w:sz w:val="14"/>
          <w:szCs w:val="14"/>
          <w:color w:val="auto"/>
        </w:rPr>
        <w:t>For the three months ended March 31, 2026, we recorded interest income of $0.6 million, a 26% increase from the $0.4 million interest income recorded in the three months ended March 31, 2025. The increase is primarily due to the increase in our cash, cash equivalents and investments balance.</w:t>
      </w:r>
    </w:p>
    <w:p>
      <w:pPr>
        <w:spacing w:after="0" w:line="125" w:lineRule="exact"/>
        <w:rPr>
          <w:sz w:val="20"/>
          <w:szCs w:val="20"/>
          <w:color w:val="auto"/>
        </w:rPr>
      </w:pPr>
    </w:p>
    <w:p>
      <w:pPr>
        <w:ind w:right="60" w:firstLine="254"/>
        <w:spacing w:after="0" w:line="286" w:lineRule="auto"/>
        <w:rPr>
          <w:sz w:val="20"/>
          <w:szCs w:val="20"/>
          <w:color w:val="auto"/>
        </w:rPr>
      </w:pPr>
      <w:r>
        <w:rPr>
          <w:rFonts w:ascii="Times New Roman" w:cs="Times New Roman" w:eastAsia="Times New Roman" w:hAnsi="Times New Roman"/>
          <w:sz w:val="14"/>
          <w:szCs w:val="14"/>
          <w:color w:val="auto"/>
        </w:rPr>
        <w:t>Non-cash interest expense related to sale of future royalties representing imputed interest on the unamortized portion of the sale of future royalties liability, was $0.5 million for the three months ended March 31, 2026, with $1.0 million for the three months ended March 31, 2025 due to a decrease in non-cash royalty revenue payable to HCRP.</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net non-operating expense for years ended December 31, 2025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19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4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ind w:right="1209"/>
              <w:spacing w:after="0"/>
              <w:rPr>
                <w:sz w:val="20"/>
                <w:szCs w:val="20"/>
                <w:color w:val="auto"/>
              </w:rPr>
            </w:pPr>
            <w:r>
              <w:rPr>
                <w:rFonts w:ascii="Times New Roman" w:cs="Times New Roman" w:eastAsia="Times New Roman" w:hAnsi="Times New Roman"/>
                <w:sz w:val="14"/>
                <w:szCs w:val="14"/>
                <w:color w:val="auto"/>
              </w:rPr>
              <w:t>1,596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2,543</w:t>
            </w:r>
          </w:p>
        </w:tc>
      </w:tr>
      <w:tr>
        <w:trPr>
          <w:trHeight w:val="170"/>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tc>
        <w:tc>
          <w:tcPr>
            <w:tcW w:w="1960" w:type="dxa"/>
            <w:vAlign w:val="bottom"/>
          </w:tcPr>
          <w:p>
            <w:pPr>
              <w:spacing w:after="0"/>
              <w:rPr>
                <w:sz w:val="14"/>
                <w:szCs w:val="14"/>
                <w:color w:val="auto"/>
              </w:rPr>
            </w:pPr>
          </w:p>
        </w:tc>
        <w:tc>
          <w:tcPr>
            <w:tcW w:w="174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rPr>
              <w:t>(2,823)</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r>
      <w:tr>
        <w:trPr>
          <w:trHeight w:val="17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960" w:type="dxa"/>
            <w:vAlign w:val="bottom"/>
            <w:shd w:val="clear" w:color="auto" w:fill="CCEEFF"/>
          </w:tcPr>
          <w:p>
            <w:pPr>
              <w:spacing w:after="0"/>
              <w:rPr>
                <w:sz w:val="14"/>
                <w:szCs w:val="14"/>
                <w:color w:val="auto"/>
              </w:rPr>
            </w:pPr>
          </w:p>
        </w:tc>
        <w:tc>
          <w:tcPr>
            <w:tcW w:w="1740" w:type="dxa"/>
            <w:vAlign w:val="bottom"/>
            <w:shd w:val="clear" w:color="auto" w:fill="CCEEFF"/>
          </w:tcPr>
          <w:p>
            <w:pPr>
              <w:jc w:val="right"/>
              <w:ind w:right="1169"/>
              <w:spacing w:after="0"/>
              <w:rPr>
                <w:sz w:val="20"/>
                <w:szCs w:val="20"/>
                <w:color w:val="auto"/>
              </w:rPr>
            </w:pPr>
            <w:r>
              <w:rPr>
                <w:rFonts w:ascii="Times New Roman" w:cs="Times New Roman" w:eastAsia="Times New Roman" w:hAnsi="Times New Roman"/>
                <w:sz w:val="14"/>
                <w:szCs w:val="14"/>
                <w:color w:val="auto"/>
              </w:rPr>
              <w:t>(44)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r>
      <w:tr>
        <w:trPr>
          <w:trHeight w:val="184"/>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Net non-operating expense</w:t>
            </w:r>
          </w:p>
        </w:tc>
        <w:tc>
          <w:tcPr>
            <w:tcW w:w="1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ind w:right="1169"/>
              <w:spacing w:after="0"/>
              <w:rPr>
                <w:sz w:val="20"/>
                <w:szCs w:val="20"/>
                <w:color w:val="auto"/>
              </w:rPr>
            </w:pPr>
            <w:r>
              <w:rPr>
                <w:rFonts w:ascii="Times New Roman" w:cs="Times New Roman" w:eastAsia="Times New Roman" w:hAnsi="Times New Roman"/>
                <w:sz w:val="14"/>
                <w:szCs w:val="14"/>
                <w:color w:val="auto"/>
              </w:rPr>
              <w:t>(1,271)</w:t>
            </w:r>
          </w:p>
        </w:tc>
        <w:tc>
          <w:tcPr>
            <w:tcW w:w="5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222%</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r>
    </w:tbl>
    <w:p>
      <w:pPr>
        <w:spacing w:after="0" w:line="141" w:lineRule="exact"/>
        <w:rPr>
          <w:sz w:val="20"/>
          <w:szCs w:val="20"/>
          <w:color w:val="auto"/>
        </w:rPr>
      </w:pPr>
    </w:p>
    <w:p>
      <w:pPr>
        <w:ind w:right="160" w:firstLine="254"/>
        <w:spacing w:after="0" w:line="286" w:lineRule="auto"/>
        <w:rPr>
          <w:sz w:val="20"/>
          <w:szCs w:val="20"/>
          <w:color w:val="auto"/>
        </w:rPr>
      </w:pPr>
      <w:r>
        <w:rPr>
          <w:rFonts w:ascii="Times New Roman" w:cs="Times New Roman" w:eastAsia="Times New Roman" w:hAnsi="Times New Roman"/>
          <w:sz w:val="14"/>
          <w:szCs w:val="14"/>
          <w:color w:val="auto"/>
        </w:rPr>
        <w:t>For the year ended December 31, 2025, we recorded interest income of $1.6 million, a 37% decrease from the $2.5 million interest income recorded in the year ended December 31, 2024. The decrease is primarily due to lower cash, cash equivalents and investments balance, and lower interest rates in 2025.</w:t>
      </w:r>
    </w:p>
    <w:p>
      <w:pPr>
        <w:spacing w:after="0" w:line="125" w:lineRule="exact"/>
        <w:rPr>
          <w:sz w:val="20"/>
          <w:szCs w:val="20"/>
          <w:color w:val="auto"/>
        </w:rPr>
      </w:pPr>
    </w:p>
    <w:p>
      <w:pPr>
        <w:ind w:right="60" w:firstLine="254"/>
        <w:spacing w:after="0" w:line="286" w:lineRule="auto"/>
        <w:rPr>
          <w:sz w:val="20"/>
          <w:szCs w:val="20"/>
          <w:color w:val="auto"/>
        </w:rPr>
      </w:pPr>
      <w:r>
        <w:rPr>
          <w:rFonts w:ascii="Times New Roman" w:cs="Times New Roman" w:eastAsia="Times New Roman" w:hAnsi="Times New Roman"/>
          <w:sz w:val="14"/>
          <w:szCs w:val="14"/>
          <w:color w:val="auto"/>
        </w:rPr>
        <w:t>Non-cash interest expense related to sale of future royalties representing imputed interest on the unamortized portion of the sale of future royalties liability, decreased to $2.8 million for the year ended December 31, 2025, from $3.0 million in 2024, due to a decrease in non-cash royalty revenue payable to HCRP.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Income Taxes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provision for income taxes for the three months ended March 31, 2026 and 2025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00" w:type="dxa"/>
            <w:vAlign w:val="bottom"/>
            <w:gridSpan w:val="3"/>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4"/>
                <w:szCs w:val="14"/>
                <w:color w:val="auto"/>
              </w:rPr>
            </w:pPr>
          </w:p>
        </w:tc>
      </w:tr>
      <w:tr>
        <w:trPr>
          <w:trHeight w:val="186"/>
        </w:trPr>
        <w:tc>
          <w:tcPr>
            <w:tcW w:w="3880" w:type="dxa"/>
            <w:vAlign w:val="bottom"/>
          </w:tcPr>
          <w:p>
            <w:pPr>
              <w:spacing w:after="0"/>
              <w:rPr>
                <w:sz w:val="16"/>
                <w:szCs w:val="16"/>
                <w:color w:val="auto"/>
              </w:rPr>
            </w:pPr>
          </w:p>
        </w:tc>
        <w:tc>
          <w:tcPr>
            <w:tcW w:w="23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80" w:type="dxa"/>
            <w:vAlign w:val="bottom"/>
          </w:tcPr>
          <w:p>
            <w:pPr>
              <w:jc w:val="right"/>
              <w:ind w:right="9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70"/>
        </w:trPr>
        <w:tc>
          <w:tcPr>
            <w:tcW w:w="3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withholding tax on royalty revenue</w:t>
            </w:r>
          </w:p>
        </w:tc>
        <w:tc>
          <w:tcPr>
            <w:tcW w:w="232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4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79</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r>
      <w:tr>
        <w:trPr>
          <w:trHeight w:val="170"/>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Foreign taxes payable on intercompany interest</w:t>
            </w:r>
          </w:p>
        </w:tc>
        <w:tc>
          <w:tcPr>
            <w:tcW w:w="2320" w:type="dxa"/>
            <w:vAlign w:val="bottom"/>
          </w:tcPr>
          <w:p>
            <w:pPr>
              <w:spacing w:after="0"/>
              <w:rPr>
                <w:sz w:val="14"/>
                <w:szCs w:val="14"/>
                <w:color w:val="auto"/>
              </w:rPr>
            </w:pPr>
          </w:p>
        </w:tc>
        <w:tc>
          <w:tcPr>
            <w:tcW w:w="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w:t>
            </w:r>
          </w:p>
        </w:tc>
        <w:tc>
          <w:tcPr>
            <w:tcW w:w="440" w:type="dxa"/>
            <w:vAlign w:val="bottom"/>
          </w:tcPr>
          <w:p>
            <w:pPr>
              <w:spacing w:after="0"/>
              <w:rPr>
                <w:sz w:val="14"/>
                <w:szCs w:val="14"/>
                <w:color w:val="auto"/>
              </w:rPr>
            </w:pPr>
          </w:p>
        </w:tc>
        <w:tc>
          <w:tcPr>
            <w:tcW w:w="1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16</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7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320" w:type="dxa"/>
            <w:vAlign w:val="bottom"/>
            <w:shd w:val="clear" w:color="auto" w:fill="CCEEFF"/>
          </w:tcPr>
          <w:p>
            <w:pPr>
              <w:jc w:val="right"/>
              <w:ind w:right="98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44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95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bl>
    <w:p>
      <w:pPr>
        <w:spacing w:after="0" w:line="155"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The provision for income taxes was $29,000 and $95,000 for the three months ended March 31, 2026 and 2025, respectively. The tax charge relates to foreign tax expense attributable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foreign withholding tax expense recorded is directly proportional to Inavir royalties, including the portion that we pass through to HCRP.</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period-over-period changes in our provision for income taxes for years ended December 31 (in thousands, except percentages):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236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0"/>
        </w:trPr>
        <w:tc>
          <w:tcPr>
            <w:tcW w:w="40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withholding tax on royalty revenue</w:t>
            </w:r>
          </w:p>
        </w:tc>
        <w:tc>
          <w:tcPr>
            <w:tcW w:w="236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96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38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192</w:t>
            </w:r>
          </w:p>
        </w:tc>
      </w:tr>
      <w:tr>
        <w:trPr>
          <w:trHeight w:val="170"/>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Foreign taxes payable on intercompany interest</w:t>
            </w:r>
          </w:p>
        </w:tc>
        <w:tc>
          <w:tcPr>
            <w:tcW w:w="2360" w:type="dxa"/>
            <w:vAlign w:val="bottom"/>
          </w:tcPr>
          <w:p>
            <w:pPr>
              <w:spacing w:after="0"/>
              <w:rPr>
                <w:sz w:val="14"/>
                <w:szCs w:val="14"/>
                <w:color w:val="auto"/>
              </w:rPr>
            </w:pPr>
          </w:p>
        </w:tc>
        <w:tc>
          <w:tcPr>
            <w:tcW w:w="170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377</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481%</w:t>
            </w:r>
          </w:p>
        </w:tc>
        <w:tc>
          <w:tcPr>
            <w:tcW w:w="380" w:type="dxa"/>
            <w:vAlign w:val="bottom"/>
          </w:tcPr>
          <w:p>
            <w:pPr>
              <w:spacing w:after="0"/>
              <w:rPr>
                <w:sz w:val="14"/>
                <w:szCs w:val="14"/>
                <w:color w:val="auto"/>
              </w:rPr>
            </w:pP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65</w:t>
            </w:r>
          </w:p>
        </w:tc>
      </w:tr>
      <w:tr>
        <w:trPr>
          <w:trHeight w:val="17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income taxes</w:t>
            </w:r>
          </w:p>
        </w:tc>
        <w:tc>
          <w:tcPr>
            <w:tcW w:w="2360" w:type="dxa"/>
            <w:vAlign w:val="bottom"/>
            <w:shd w:val="clear" w:color="auto" w:fill="CCEEFF"/>
          </w:tcPr>
          <w:p>
            <w:pPr>
              <w:spacing w:after="0"/>
              <w:rPr>
                <w:sz w:val="14"/>
                <w:szCs w:val="14"/>
                <w:color w:val="auto"/>
              </w:rPr>
            </w:pPr>
          </w:p>
        </w:tc>
        <w:tc>
          <w:tcPr>
            <w:tcW w:w="1700" w:type="dxa"/>
            <w:vAlign w:val="bottom"/>
            <w:shd w:val="clear" w:color="auto" w:fill="CCEEFF"/>
          </w:tcPr>
          <w:p>
            <w:pPr>
              <w:jc w:val="right"/>
              <w:ind w:right="1229"/>
              <w:spacing w:after="0"/>
              <w:rPr>
                <w:sz w:val="20"/>
                <w:szCs w:val="20"/>
                <w:color w:val="auto"/>
              </w:rPr>
            </w:pPr>
            <w:r>
              <w:rPr>
                <w:rFonts w:ascii="Times New Roman" w:cs="Times New Roman" w:eastAsia="Times New Roman" w:hAnsi="Times New Roman"/>
                <w:sz w:val="14"/>
                <w:szCs w:val="14"/>
                <w:color w:val="auto"/>
              </w:rPr>
              <w:t>3</w:t>
            </w:r>
          </w:p>
        </w:tc>
        <w:tc>
          <w:tcPr>
            <w:tcW w:w="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r>
      <w:tr>
        <w:trPr>
          <w:trHeight w:val="184"/>
        </w:trPr>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36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Pr>
          <w:p>
            <w:pPr>
              <w:jc w:val="right"/>
              <w:ind w:right="1229"/>
              <w:spacing w:after="0"/>
              <w:rPr>
                <w:sz w:val="20"/>
                <w:szCs w:val="20"/>
                <w:color w:val="auto"/>
              </w:rPr>
            </w:pPr>
            <w:r>
              <w:rPr>
                <w:rFonts w:ascii="Times New Roman" w:cs="Times New Roman" w:eastAsia="Times New Roman" w:hAnsi="Times New Roman"/>
                <w:sz w:val="14"/>
                <w:szCs w:val="14"/>
                <w:color w:val="auto"/>
              </w:rPr>
              <w:t>476</w:t>
            </w:r>
          </w:p>
        </w:tc>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83%</w:t>
            </w:r>
          </w:p>
        </w:tc>
        <w:tc>
          <w:tcPr>
            <w:tcW w:w="3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260</w:t>
            </w:r>
          </w:p>
        </w:tc>
      </w:tr>
    </w:tbl>
    <w:p>
      <w:pPr>
        <w:spacing w:after="0" w:line="141" w:lineRule="exact"/>
        <w:rPr>
          <w:sz w:val="20"/>
          <w:szCs w:val="20"/>
          <w:color w:val="auto"/>
        </w:rPr>
      </w:pPr>
    </w:p>
    <w:p>
      <w:pPr>
        <w:ind w:firstLine="254"/>
        <w:spacing w:after="0" w:line="267" w:lineRule="auto"/>
        <w:rPr>
          <w:sz w:val="20"/>
          <w:szCs w:val="20"/>
          <w:color w:val="auto"/>
        </w:rPr>
      </w:pPr>
      <w:r>
        <w:rPr>
          <w:rFonts w:ascii="Times New Roman" w:cs="Times New Roman" w:eastAsia="Times New Roman" w:hAnsi="Times New Roman"/>
          <w:sz w:val="14"/>
          <w:szCs w:val="14"/>
          <w:color w:val="auto"/>
        </w:rPr>
        <w:t>The provision for income taxes was $0.5 million and $0.3 million for the years ended December 31, 2025 and 2024, respectively. The tax charge primarily relates to interest on an intercompany loan from a foreign subsidiary, and a 5% withholding tax on royalty revenue earned on sales of Inavir in Japan, which is potentially recoverable as a foreign tax credit but expensed because we record a 100% valuation allowance against our deferred tax assets. The amount of income tax expense recorded is directly proportional to Inavir royalties, including the portion that we pass through to HCRP.</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0" w:lineRule="exact"/>
        <w:rPr>
          <w:sz w:val="20"/>
          <w:szCs w:val="20"/>
          <w:color w:val="auto"/>
        </w:rPr>
      </w:pPr>
    </w:p>
    <w:p>
      <w:pPr>
        <w:ind w:right="120" w:firstLine="254"/>
        <w:spacing w:after="0" w:line="286" w:lineRule="auto"/>
        <w:rPr>
          <w:sz w:val="20"/>
          <w:szCs w:val="20"/>
          <w:color w:val="auto"/>
        </w:rPr>
      </w:pPr>
      <w:r>
        <w:rPr>
          <w:rFonts w:ascii="Times New Roman" w:cs="Times New Roman" w:eastAsia="Times New Roman" w:hAnsi="Times New Roman"/>
          <w:sz w:val="14"/>
          <w:szCs w:val="14"/>
          <w:color w:val="auto"/>
        </w:rPr>
        <w:t>We are a clinical-stage biotechnology company with no product sales. Our primary source of financing is from the sale and issuance of common stock as well as funding from HHS BARDA. In the past, we have also obtained funds from the issuance of common stock warrants, secured debt and preferred stock and from collaboration agreements.</w:t>
      </w:r>
    </w:p>
    <w:p>
      <w:pPr>
        <w:spacing w:after="0" w:line="125" w:lineRule="exact"/>
        <w:rPr>
          <w:sz w:val="20"/>
          <w:szCs w:val="20"/>
          <w:color w:val="auto"/>
        </w:rPr>
      </w:pPr>
    </w:p>
    <w:p>
      <w:pPr>
        <w:ind w:right="60" w:firstLine="254"/>
        <w:spacing w:after="0" w:line="261" w:lineRule="auto"/>
        <w:rPr>
          <w:sz w:val="20"/>
          <w:szCs w:val="20"/>
          <w:color w:val="auto"/>
        </w:rPr>
      </w:pPr>
      <w:r>
        <w:rPr>
          <w:rFonts w:ascii="Times New Roman" w:cs="Times New Roman" w:eastAsia="Times New Roman" w:hAnsi="Times New Roman"/>
          <w:sz w:val="14"/>
          <w:szCs w:val="14"/>
          <w:color w:val="auto"/>
        </w:rPr>
        <w:t>In September 2021, we entered into a Controlled Equity Offering Sales Agreement (the “September 2021 ATM”), under which we may offer and sell, from time to time through sales agents, shares of our common stock having an aggregate offering price of up to $100 million. We incurred direct expenses and paid sales commissions of up to 3.0% of gross proceeds from the sale of shares under the September 2021 ATM. In the year ended December 31, 2024, 7,719,641 shares were issued and sold under the September 2021 ATM for gross proceeds of $9.1 million, which, after deducting sales commissions and expenses incurred to date, resulted in net proceeds of $8.8 million. Effective October 18, 2024, the Company terminated the September 2021 ATM and discontinued all offers and sales of common stock thereunder.</w:t>
      </w:r>
    </w:p>
    <w:p>
      <w:pPr>
        <w:spacing w:after="0" w:line="142" w:lineRule="exact"/>
        <w:rPr>
          <w:sz w:val="20"/>
          <w:szCs w:val="20"/>
          <w:color w:val="auto"/>
        </w:rPr>
      </w:pPr>
    </w:p>
    <w:p>
      <w:pPr>
        <w:jc w:val="both"/>
        <w:ind w:right="80" w:firstLine="254"/>
        <w:spacing w:after="0" w:line="269" w:lineRule="auto"/>
        <w:rPr>
          <w:sz w:val="20"/>
          <w:szCs w:val="20"/>
          <w:color w:val="auto"/>
        </w:rPr>
      </w:pPr>
      <w:r>
        <w:rPr>
          <w:rFonts w:ascii="Times New Roman" w:cs="Times New Roman" w:eastAsia="Times New Roman" w:hAnsi="Times New Roman"/>
          <w:sz w:val="14"/>
          <w:szCs w:val="14"/>
          <w:color w:val="auto"/>
        </w:rPr>
        <w:t>In January 2024, we entered into a securities purchase agreement (the “2024 Securities Purchase Agreement”) with RA Capital Healthcare Fund, L.P. pursuant to which 15,384,615 shares of our common stock were sold to RA Capital Healthcare Fund, L.P. at an offering price of $0.65 per share. The gross proceeds from the 2024 Securities Purchase Agreement were $10.0 million and, after deducting offering expenses, the net proceeds were $9.9 million.</w:t>
      </w:r>
    </w:p>
    <w:p>
      <w:pPr>
        <w:spacing w:after="0" w:line="137"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color w:val="auto"/>
        </w:rPr>
        <w:t>In January 2024, we were awarded the 2024 ASPR-BARDA Contract with a base and all options value of $9.3 million. Under the 2024 ASPR-BARDA Contract, we received an award to support clinical trial planning activities for a Phase 2b clinical trial that would compare our XBB vaccine candidate to an mRNA comparator to evaluate efficacy for symptomatic and asymptomatic disease, systemic and mucosal immune induction, and adverse events. The 2024 ASPR-BARDA Contract originally had a period of performance term that was set to expire in July 2024, but we entered into an amendment in July 2024 that extended the period of performance expiration date into October 2024. BARDA and Vaxart are currently discussing contract closeout for the 2024 ASPR-BARDA Contract. As of December 31, 2024, we received approximately $9.3 million of cash payments under the 2024 ASPR-BARDA Contract.</w:t>
      </w:r>
    </w:p>
    <w:p>
      <w:pPr>
        <w:spacing w:after="0" w:line="142" w:lineRule="exact"/>
        <w:rPr>
          <w:sz w:val="20"/>
          <w:szCs w:val="20"/>
          <w:color w:val="auto"/>
        </w:rPr>
      </w:pPr>
    </w:p>
    <w:p>
      <w:pPr>
        <w:ind w:right="20" w:firstLine="254"/>
        <w:spacing w:after="0" w:line="269" w:lineRule="auto"/>
        <w:rPr>
          <w:sz w:val="20"/>
          <w:szCs w:val="20"/>
          <w:color w:val="auto"/>
        </w:rPr>
      </w:pPr>
      <w:r>
        <w:rPr>
          <w:rFonts w:ascii="Times New Roman" w:cs="Times New Roman" w:eastAsia="Times New Roman" w:hAnsi="Times New Roman"/>
          <w:sz w:val="14"/>
          <w:szCs w:val="14"/>
          <w:color w:val="auto"/>
        </w:rPr>
        <w:t>In June 2024, we entered into an underwriting agreement with Oppenheimer &amp; Co. Inc., relating to the issuance and sale by us in an underwritten registered direct offering (the “June 2024 Offering”) of 50,000,000 shares of our common stock at a price of $0.80 per share. The gross proceeds to us from such offering were $40.0 million, and after deducting the underwriting discounts and commissions and other offering expenses paid by us, the net proceeds were $37.5 million.</w:t>
      </w:r>
    </w:p>
    <w:p>
      <w:pPr>
        <w:spacing w:after="0" w:line="137" w:lineRule="exact"/>
        <w:rPr>
          <w:sz w:val="20"/>
          <w:szCs w:val="20"/>
          <w:color w:val="auto"/>
        </w:rPr>
      </w:pPr>
    </w:p>
    <w:p>
      <w:pPr>
        <w:ind w:right="60" w:firstLine="254"/>
        <w:spacing w:after="0" w:line="255" w:lineRule="auto"/>
        <w:rPr>
          <w:sz w:val="20"/>
          <w:szCs w:val="20"/>
          <w:color w:val="auto"/>
        </w:rPr>
      </w:pPr>
      <w:r>
        <w:rPr>
          <w:rFonts w:ascii="Times New Roman" w:cs="Times New Roman" w:eastAsia="Times New Roman" w:hAnsi="Times New Roman"/>
          <w:sz w:val="14"/>
          <w:szCs w:val="14"/>
          <w:color w:val="auto"/>
        </w:rPr>
        <w:t>In June 2024, we entered into the 2024 ATI-RRPV Contract. Pursuant to the 2024 ATI-RRPV Contract, we were authorized to receive overall funding of up to $460.7 million to conduct a Phase 2b comparative study evaluating our oral pill COVID-19 vaccine candidate against an mRNA vaccine comparator approved by the U.S. Food and Drug Administration, manufacture a COVID-19 vaccine candidate targeting the KP.2 strain, and acquire an approved mRNA vaccine targeting the KP.2 strain. As of March 31, 2026, we have received $218.9 million of cash payments under the 2024 ATI-RRPV Contract. Subsequent to March 31, 2026, through the filing date of this prospectus, we have received $19.8 million under the 2024 ATI-RRPV Contract. As of December 31, 2025, we have received $189.1 million of cash payments under the 2024 ATI-RRPV Contract. On August 5, 2025, the Company received written notification from ATI in the form of a stop work order directing the Company to stop work on screening and enrollment for the COVID-19 Phase 2b trial under the 2024 ATI-RRPV Contract as of the notification date. On October 8, 2025, the Company received a follow-up notice from ATI, which indicated that BARDA intends to conclusively exclude work subject to the foregoing stop work order from the 2024 ATI-RRPV Contract. The Company was, however, authorized to continue efforts associated with the per protocol follow-up of all participants dosed as of the notification date in the study under the terms of the 2024 ATI-RRPV Contract. When the Company received the August notification, we had enrolled approximately half of the targeted number of participants for the study. On March 10, 2026, we entered into Modification No. 6 to the 2024 ATI-RRPV Contract, which increased the total amount of funding available for payment to approximately $316.0 million. The Company anticipates a further modification to the 2024 ATI-RRPV Contract that will reflect the reduced scope of work and corresponding reduction in funding that resulted from the previously issued stop work orders that halted enrollment and therefore reduced the size of the study.</w:t>
      </w:r>
    </w:p>
    <w:p>
      <w:pPr>
        <w:spacing w:after="0" w:line="152"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 million. The shares will be sold pursuant to an effective registration statement on Form S-3 (Registration Statement No. 333-270671),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the shares under the March 2025 ATM. During the year ended December 31, 2025, 382,700 shares were issued and sold under the March 2025 ATM for gross proceeds of $0.2 million, which, after deducting sales commissions and expenses incurred to date, resulted in net proceeds of $0.1 million. As of December 31, 2025. During the three months ended March 31, 2026, no shares were issued and sold under the March 2025 ATM. As of March 31, 2026, approximately $48.4 million of our common stock remained available for issuance and sale pursuant to the March 2025 ATM. However, we are unable to leverage the ATM at this time because our common stock has been delisted from trading on The Nasdaq Capital Market.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Effective July 8, 2025, Nasdaq suspended trading in our common stock and the Company was formally delisted from Nasdaq following a final determination by the Nasdaq's Listing Qualifications Department on November 3, 2025. Our common stock has been quoted on the OTCQX under the ticker symbol “VXRT” since the stock was suspended from trading on Nasdaq on July 8, 2025. The National Securities Markets Improvement Act of 1996 prevents or preempts the states from regulating the sale of certain securities, which are referred to as “covered securities.” As Nasdaq has officially delisted our securities, our securities are not covered securities since OTCQX-traded securities are not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will further negatively impact any trading liquidity in our securities.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 November 4, 2025, the Company entered into (i) an Exclusive License and Collaboration Agreement (the “License and Collaboration Agreement”) with Dynavax Technologies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Corporation relating to the Company’s investigational oral vaccine candidate for COVID-19 based on its proprietary oral delivery platform and (ii) a Securities Purchase Agreement with Dynavax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sale of the Company’s common stock. Pursuant to the 2025 License and Collaboration Agreement, the Company granted Dynavax an exclusive, worldwide license to develop and commercialize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oral pill COVID-19 vaccine candidate for SARS-CoV-2, SARS coronavirus, or MERS coronavirus, including COVID-19 and all variants thereof. Under the terms of the 2025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Collaboration Agreement, Dynavax paid the Company an upfront license fee of $25.0 million and purchased $5.0 million of the Company’s common stock pursuant to the Securities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The 2025 License and Collaboration Agreement includes a collaboration component designed to facilitate the efficient development, regulatory approval, and commercialization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products within the defined field of use, as described in greater detail in the Current Report on Form 8-K filed by the Company with the SEC on November 5, 2025. Pursuant to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Purchase Agreement, the Company sold and issued 11,111,111 shares of common stock at a per share purchase price of $0.45 under the Company’s shelf registration statement on Form S-3,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dated May 5, 2025 contained therein, and the prospectus supplement dated November 4, 2025.</w:t>
      </w:r>
    </w:p>
    <w:p>
      <w:pPr>
        <w:spacing w:after="0" w:line="164"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On February 10, 2026, Sanofi completed its acquisition of Dynavax. As a result of the consummation of the merger, Dynavax became an indirect wholly owned subsidiary of Sanofi. There can be no assurance that Dynavax will continue to perform the obligations under the 2025 License and Collaboration Agreement or that Dynavax will not exercise its right to terminate the agreement.</w:t>
      </w:r>
    </w:p>
    <w:p>
      <w:pPr>
        <w:spacing w:after="0" w:line="125"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As of March 31, 2026, we had approximately $61.0 million of cash, cash equivalents and short-term investments and as of December 31, 2025, we had approximately $63.8 million of cash, cash equivalents and short-term investments. We believe our cash, cash equivalents and investments are sufficient to fund our planned operations for at least 12 months from the date of issuance of this prospectus. To continue operations thereafter, we expect that we will need to raise further capital, through the sale of additional securities or otherwise however, adequate funding may not be available to us on acceptable terms, or at all, particularly in light of current economic uncertainty, high interest rates, rising inflation, tariffs, and the potential for local and/or global economic recession. Our future capital requirements and the adequacy of our available funds will depend on many factors, most notably our ability to successfully commercialize our products and services.</w:t>
      </w:r>
    </w:p>
    <w:p>
      <w:pPr>
        <w:spacing w:after="0" w:line="142" w:lineRule="exact"/>
        <w:rPr>
          <w:sz w:val="20"/>
          <w:szCs w:val="20"/>
          <w:color w:val="auto"/>
        </w:rPr>
      </w:pPr>
    </w:p>
    <w:p>
      <w:pPr>
        <w:jc w:val="both"/>
        <w:ind w:right="140" w:firstLine="254"/>
        <w:spacing w:after="0" w:line="269" w:lineRule="auto"/>
        <w:rPr>
          <w:sz w:val="20"/>
          <w:szCs w:val="20"/>
          <w:color w:val="auto"/>
        </w:rPr>
      </w:pPr>
      <w:r>
        <w:rPr>
          <w:rFonts w:ascii="Times New Roman" w:cs="Times New Roman" w:eastAsia="Times New Roman" w:hAnsi="Times New Roman"/>
          <w:sz w:val="14"/>
          <w:szCs w:val="14"/>
          <w:color w:val="auto"/>
        </w:rPr>
        <w:t>In April 2026, the Company entered into a purchase agreement (the “April 2026 ELOC”) with Lincoln Park Capital Fund, LLC (“LPC”), pursuant to which the Company may sell, from time to time, shares of its common stock having an aggregate offering price of up to $25.0 million (the “Commitment Amount”), subject to certain limitations and conditions. The Company intends to file a registration statement with the SEC covering the resale by LPC of the Purchase Shares that have been and may be issued to LPC under the April 2026 ELOC.</w:t>
      </w:r>
    </w:p>
    <w:p>
      <w:pPr>
        <w:spacing w:after="0" w:line="137"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We may fund a significant portion of our ongoing operations through partnering and collaboration agreements which, while reducing our risks and extending our cash runway, will also reduce our share of eventual revenues, if any, from our vaccine candidates. We may be able to fund certain activities with assistance from government programs. The sale of additional equity would result in additional dilution to our stockholders. We may also fund our operations through debt financing, which would result in debt service obligations, and the instruments governing such debt could provide for operating and financing covenants that would restrict our operations. If we are unable to raise additional capital in sufficient amounts or on acceptable terms, we may be required to delay, limit, reduce, or terminate our product development or future commercialization efforts or grant rights to develop and market vaccine candidates that we would otherwise prefer to develop and market ourselves. Any of these actions could harm our business, results of operations and prospects.</w:t>
      </w:r>
    </w:p>
    <w:p>
      <w:pPr>
        <w:spacing w:after="0" w:line="145" w:lineRule="exact"/>
        <w:rPr>
          <w:sz w:val="20"/>
          <w:szCs w:val="20"/>
          <w:color w:val="auto"/>
        </w:rPr>
      </w:pPr>
    </w:p>
    <w:p>
      <w:pPr>
        <w:ind w:right="220" w:firstLine="254"/>
        <w:spacing w:after="0" w:line="259" w:lineRule="auto"/>
        <w:rPr>
          <w:sz w:val="20"/>
          <w:szCs w:val="20"/>
          <w:color w:val="auto"/>
        </w:rPr>
      </w:pPr>
      <w:r>
        <w:rPr>
          <w:rFonts w:ascii="Times New Roman" w:cs="Times New Roman" w:eastAsia="Times New Roman" w:hAnsi="Times New Roman"/>
          <w:sz w:val="14"/>
          <w:szCs w:val="14"/>
          <w:color w:val="auto"/>
        </w:rPr>
        <w:t>Based on management’s current plan, which reflects updated assumptions based on events occurring after March 31, 2026, we expect to have cash runway into the second quarter of 2027. See Note 13 to the Condensed Consolidated Financial Statements For the three months ended March 31, 2026 and 2025. Accordingly, management concluded that the conditions and events that previously raised substantial doubt about our ability to continue as a going concern have been alleviated. The accompanying consolidated financial statements have been prepared assuming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that we will continue as a going concern, which contemplates the realization of assets and the settlement of liabilities and commitments in the normal course of business.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future funding requirements will depend on many factors, including the following:</w:t>
      </w:r>
    </w:p>
    <w:p>
      <w:pPr>
        <w:spacing w:after="0" w:line="178" w:lineRule="exact"/>
        <w:rPr>
          <w:sz w:val="20"/>
          <w:szCs w:val="20"/>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costs of our planned preclinical studies for our product candidates;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costs of our planned clinical trials of our product candidates;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manufacturing capabilities, including the availability of contract manufacturing organizations to supply our product candidates at reasonable cost;</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royalties received on sales of Inavir;</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timing and costs of seeking regulatory approvals;</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received from commercial sales of our future products, which will be subject to receipt of regulatory approval;</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future collaborations, licensing, consulting or other arrangements that we may enter into;</w:t>
      </w:r>
    </w:p>
    <w:p>
      <w:pPr>
        <w:spacing w:after="0" w:line="199" w:lineRule="exact"/>
        <w:rPr>
          <w:rFonts w:ascii="Times New Roman" w:cs="Times New Roman" w:eastAsia="Times New Roman" w:hAnsi="Times New Roman"/>
          <w:sz w:val="14"/>
          <w:szCs w:val="14"/>
          <w:color w:val="auto"/>
        </w:rPr>
      </w:pPr>
    </w:p>
    <w:p>
      <w:pPr>
        <w:ind w:left="520" w:hanging="261"/>
        <w:spacing w:after="0" w:line="286" w:lineRule="auto"/>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payments that may be required in connection with the licensing, filing, prosecution, maintenance, defense and enforcement of any patents or patent applications or other intellectual property rights;</w:t>
      </w:r>
    </w:p>
    <w:p>
      <w:pPr>
        <w:spacing w:after="0" w:line="125"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economic uncertainty, high interest rates, rising inflation, tariffs, and the potential for local and/or global economic recession;</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active trading market for our common stock; and</w:t>
      </w:r>
    </w:p>
    <w:p>
      <w:pPr>
        <w:spacing w:after="0" w:line="199" w:lineRule="exact"/>
        <w:rPr>
          <w:rFonts w:ascii="Times New Roman" w:cs="Times New Roman" w:eastAsia="Times New Roman" w:hAnsi="Times New Roman"/>
          <w:sz w:val="14"/>
          <w:szCs w:val="14"/>
          <w:color w:val="auto"/>
        </w:rPr>
      </w:pPr>
    </w:p>
    <w:p>
      <w:pPr>
        <w:ind w:left="520" w:hanging="261"/>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in-license or acquire other products and technologies.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39"/>
        </w:trPr>
        <w:tc>
          <w:tcPr>
            <w:tcW w:w="6340" w:type="dxa"/>
            <w:vAlign w:val="bottom"/>
            <w:gridSpan w:val="2"/>
          </w:tcPr>
          <w:p>
            <w:pPr>
              <w:ind w:left="260"/>
              <w:spacing w:after="0"/>
              <w:rPr>
                <w:sz w:val="20"/>
                <w:szCs w:val="20"/>
                <w:color w:val="auto"/>
              </w:rPr>
            </w:pPr>
            <w:r>
              <w:rPr>
                <w:rFonts w:ascii="Times New Roman" w:cs="Times New Roman" w:eastAsia="Times New Roman" w:hAnsi="Times New Roman"/>
                <w:sz w:val="14"/>
                <w:szCs w:val="14"/>
                <w:i w:val="1"/>
                <w:iCs w:val="1"/>
                <w:color w:val="auto"/>
              </w:rPr>
              <w:t>For the three months ended March 31, 2026 and 2025</w:t>
            </w: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9"/>
        </w:trPr>
        <w:tc>
          <w:tcPr>
            <w:tcW w:w="63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indicated (in thousands):</w:t>
            </w: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84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24"/>
                <w:szCs w:val="24"/>
                <w:color w:val="auto"/>
              </w:rPr>
            </w:pPr>
          </w:p>
        </w:tc>
      </w:tr>
      <w:tr>
        <w:trPr>
          <w:trHeight w:val="186"/>
        </w:trPr>
        <w:tc>
          <w:tcPr>
            <w:tcW w:w="6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1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r>
      <w:tr>
        <w:trPr>
          <w:trHeight w:val="170"/>
        </w:trPr>
        <w:tc>
          <w:tcPr>
            <w:tcW w:w="6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64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1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(2,054)</w:t>
            </w:r>
          </w:p>
        </w:tc>
        <w:tc>
          <w:tcPr>
            <w:tcW w:w="108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w:t>
            </w:r>
          </w:p>
        </w:tc>
      </w:tr>
      <w:tr>
        <w:trPr>
          <w:trHeight w:val="170"/>
        </w:trPr>
        <w:tc>
          <w:tcPr>
            <w:tcW w:w="64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14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(676)</w:t>
            </w:r>
          </w:p>
        </w:tc>
        <w:tc>
          <w:tcPr>
            <w:tcW w:w="10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13,232</w:t>
            </w:r>
          </w:p>
        </w:tc>
      </w:tr>
      <w:tr>
        <w:trPr>
          <w:trHeight w:val="180"/>
        </w:trPr>
        <w:tc>
          <w:tcPr>
            <w:tcW w:w="640" w:type="dxa"/>
            <w:vAlign w:val="bottom"/>
          </w:tcPr>
          <w:p>
            <w:pPr>
              <w:spacing w:after="0"/>
              <w:rPr>
                <w:sz w:val="15"/>
                <w:szCs w:val="15"/>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1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(338)</w:t>
            </w:r>
          </w:p>
        </w:tc>
        <w:tc>
          <w:tcPr>
            <w:tcW w:w="10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70"/>
        </w:trPr>
        <w:tc>
          <w:tcPr>
            <w:tcW w:w="64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1"/>
        </w:trPr>
        <w:tc>
          <w:tcPr>
            <w:tcW w:w="640" w:type="dxa"/>
            <w:vAlign w:val="bottom"/>
          </w:tcPr>
          <w:p>
            <w:pPr>
              <w:spacing w:after="0"/>
              <w:rPr>
                <w:sz w:val="17"/>
                <w:szCs w:val="17"/>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1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(3,068)</w:t>
            </w:r>
          </w:p>
        </w:tc>
        <w:tc>
          <w:tcPr>
            <w:tcW w:w="108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3,469</w:t>
            </w:r>
          </w:p>
        </w:tc>
      </w:tr>
      <w:tr>
        <w:trPr>
          <w:trHeight w:val="339"/>
        </w:trPr>
        <w:tc>
          <w:tcPr>
            <w:tcW w:w="63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Net Cash Used in Operating Activities</w:t>
            </w: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55" w:lineRule="exact"/>
        <w:rPr>
          <w:sz w:val="20"/>
          <w:szCs w:val="20"/>
          <w:color w:val="auto"/>
        </w:rPr>
      </w:pPr>
    </w:p>
    <w:p>
      <w:pPr>
        <w:ind w:right="40" w:firstLine="254"/>
        <w:spacing w:after="0" w:line="257" w:lineRule="auto"/>
        <w:rPr>
          <w:sz w:val="20"/>
          <w:szCs w:val="20"/>
          <w:color w:val="auto"/>
        </w:rPr>
      </w:pPr>
      <w:r>
        <w:rPr>
          <w:rFonts w:ascii="Times New Roman" w:cs="Times New Roman" w:eastAsia="Times New Roman" w:hAnsi="Times New Roman"/>
          <w:sz w:val="14"/>
          <w:szCs w:val="14"/>
          <w:color w:val="auto"/>
        </w:rPr>
        <w:t>We experienced negative cash flow from operating activities for the three months ended March 31, 2026 and 2025, in the amounts of $2.1 million and $9.6 million, respectively. The cash used in operating activities in the three months ended March 31, 2026, was driven by net income of $5.2 million, partially offset by an increase in working capital of $10.0 million (consisting of an increase in receivables from government contracts and accounts payable and partially offset by a decrease in accrued labilities, accounts receivable, and prepaid expenses), and adjustments for net non-cash expenses related to depreciation and amortization, accretion of discount on investments, net, stock-based compensation, non-cash interest expense related to sale of future royalties and non-cash revenue related to sale of future royalties totaling $2.7 million. The cash used in operating activities in the three months ended March 31, 2025, was due to cash used to fund a net loss of</w:t>
      </w:r>
    </w:p>
    <w:p>
      <w:pPr>
        <w:ind w:right="660"/>
        <w:spacing w:after="0" w:line="265" w:lineRule="auto"/>
        <w:rPr>
          <w:sz w:val="20"/>
          <w:szCs w:val="20"/>
          <w:color w:val="auto"/>
        </w:rPr>
      </w:pPr>
      <w:r>
        <w:rPr>
          <w:rFonts w:ascii="Times New Roman" w:cs="Times New Roman" w:eastAsia="Times New Roman" w:hAnsi="Times New Roman"/>
          <w:sz w:val="14"/>
          <w:szCs w:val="14"/>
          <w:color w:val="auto"/>
        </w:rPr>
        <w:t>$15.6 million, partially offset by a decrease in working capital of $3.4 million, and adjustments for net non-cash expenses related to depreciation and amortization, accretion of discount on investments, net, stock-based compensation, non-cash interest expense related to sale of future royalties and non-cash revenue related to sale of future royalties totaling $2.6 million.</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Provided by Investing Activities</w:t>
      </w:r>
    </w:p>
    <w:p>
      <w:pPr>
        <w:spacing w:after="0" w:line="180" w:lineRule="exact"/>
        <w:rPr>
          <w:sz w:val="20"/>
          <w:szCs w:val="20"/>
          <w:color w:val="auto"/>
        </w:rPr>
      </w:pPr>
    </w:p>
    <w:p>
      <w:pPr>
        <w:ind w:right="160" w:firstLine="254"/>
        <w:spacing w:after="0" w:line="286" w:lineRule="auto"/>
        <w:rPr>
          <w:sz w:val="20"/>
          <w:szCs w:val="20"/>
          <w:color w:val="auto"/>
        </w:rPr>
      </w:pPr>
      <w:r>
        <w:rPr>
          <w:rFonts w:ascii="Times New Roman" w:cs="Times New Roman" w:eastAsia="Times New Roman" w:hAnsi="Times New Roman"/>
          <w:sz w:val="14"/>
          <w:szCs w:val="14"/>
          <w:color w:val="auto"/>
        </w:rPr>
        <w:t>In the three months ended March 31, 2026, we purchased $0.2 million of investments, net of maturities, and used $0.2 million to purchase property and equipment, net of proceeds. In the three months ended March 31, 2025, we received $13.4 million from maturities of investments, net of purchases, and used $0.1 million of cash to purchase property and equipment.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Cash Used in Financing Activities</w:t>
      </w:r>
    </w:p>
    <w:p>
      <w:pPr>
        <w:spacing w:after="0" w:line="180" w:lineRule="exact"/>
        <w:rPr>
          <w:sz w:val="20"/>
          <w:szCs w:val="20"/>
          <w:color w:val="auto"/>
        </w:rPr>
      </w:pPr>
    </w:p>
    <w:p>
      <w:pPr>
        <w:ind w:right="60" w:firstLine="254"/>
        <w:spacing w:after="0" w:line="286" w:lineRule="auto"/>
        <w:rPr>
          <w:sz w:val="20"/>
          <w:szCs w:val="20"/>
          <w:color w:val="auto"/>
        </w:rPr>
      </w:pPr>
      <w:r>
        <w:rPr>
          <w:rFonts w:ascii="Times New Roman" w:cs="Times New Roman" w:eastAsia="Times New Roman" w:hAnsi="Times New Roman"/>
          <w:sz w:val="14"/>
          <w:szCs w:val="14"/>
          <w:color w:val="auto"/>
        </w:rPr>
        <w:t>In the three months ended March 31, 2026, we used $0.3 million to acquire common stock to settle employee tax withholding liabilities. In the three months ended March 31, 2025, we used $0.2 million to acquire common stock to settle employee tax withholding liabilities.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 the years ended December 31, 2025 and 2026.</w:t>
      </w:r>
    </w:p>
    <w:p>
      <w:pPr>
        <w:spacing w:after="0" w:line="180"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indicated (in thousands):</w:t>
            </w:r>
          </w:p>
        </w:tc>
        <w:tc>
          <w:tcPr>
            <w:tcW w:w="2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493"/>
        </w:trPr>
        <w:tc>
          <w:tcPr>
            <w:tcW w:w="3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82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2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r>
      <w:tr>
        <w:trPr>
          <w:trHeight w:val="170"/>
        </w:trPr>
        <w:tc>
          <w:tcPr>
            <w:tcW w:w="3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1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7,714</w:t>
            </w:r>
          </w:p>
        </w:tc>
        <w:tc>
          <w:tcPr>
            <w:tcW w:w="10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(44,764)</w:t>
            </w:r>
          </w:p>
        </w:tc>
      </w:tr>
      <w:tr>
        <w:trPr>
          <w:trHeight w:val="170"/>
        </w:trPr>
        <w:tc>
          <w:tcPr>
            <w:tcW w:w="380" w:type="dxa"/>
            <w:vAlign w:val="bottom"/>
          </w:tcPr>
          <w:p>
            <w:pPr>
              <w:spacing w:after="0"/>
              <w:rPr>
                <w:sz w:val="14"/>
                <w:szCs w:val="14"/>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12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16,632</w:t>
            </w:r>
          </w:p>
        </w:tc>
        <w:tc>
          <w:tcPr>
            <w:tcW w:w="10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(21,324)</w:t>
            </w:r>
          </w:p>
        </w:tc>
      </w:tr>
      <w:tr>
        <w:trPr>
          <w:trHeight w:val="170"/>
        </w:trPr>
        <w:tc>
          <w:tcPr>
            <w:tcW w:w="380" w:type="dxa"/>
            <w:vAlign w:val="bottom"/>
          </w:tcPr>
          <w:p>
            <w:pPr>
              <w:spacing w:after="0"/>
              <w:rPr>
                <w:sz w:val="14"/>
                <w:szCs w:val="14"/>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12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4,239</w:t>
            </w:r>
          </w:p>
        </w:tc>
        <w:tc>
          <w:tcPr>
            <w:tcW w:w="10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56,562</w:t>
            </w:r>
          </w:p>
        </w:tc>
      </w:tr>
      <w:tr>
        <w:trPr>
          <w:trHeight w:val="184"/>
        </w:trPr>
        <w:tc>
          <w:tcPr>
            <w:tcW w:w="380" w:type="dxa"/>
            <w:vAlign w:val="bottom"/>
          </w:tcPr>
          <w:p>
            <w:pPr>
              <w:spacing w:after="0"/>
              <w:rPr>
                <w:sz w:val="15"/>
                <w:szCs w:val="15"/>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1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28,585</w:t>
            </w:r>
          </w:p>
        </w:tc>
        <w:tc>
          <w:tcPr>
            <w:tcW w:w="1080" w:type="dxa"/>
            <w:vAlign w:val="bottom"/>
          </w:tcPr>
          <w:p>
            <w:pPr>
              <w:jc w:val="right"/>
              <w:ind w:right="82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(9,526)</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(Used in) Operating Activities</w:t>
      </w:r>
    </w:p>
    <w:p>
      <w:pPr>
        <w:spacing w:after="0" w:line="180"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Net cash provided by operating activities was $7.7 million for the year ended December 31, 2025, compared to net cash used in operating activities of $44.8 million for the year ended December 31, 2024. The cash provided by operating activities for the year ended December 31, 2025, was driven by income of $16.3 million and adjustments for net non-cash income related to depreciation and amortization, stock-based compensation and non-cash interest expense related to sale of future royalties, net of non-cash revenue related to the gain on modification of lease liability, sale of future royalties and amortization of discount on investments, net totaling $14.0 million, partially offset by a decrease in working capital of $22.6 million. The cash used in operating activities for the year ended December 31, 2024, was due to cash used to fund a net loss of $66.9 million and an increase in working capital of $3.3 million, partially offset by adjustments for net non-cash income related to depreciation and amortization, stock-based compensation and non-cash interest expense related to sale of future royalties, net of non-cash revenue related to sale of future royalties and amortization of discount on investments, net totaling $18.9 million.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(Used in) Investing Activities</w:t>
      </w:r>
    </w:p>
    <w:p>
      <w:pPr>
        <w:spacing w:after="0" w:line="180" w:lineRule="exact"/>
        <w:rPr>
          <w:sz w:val="20"/>
          <w:szCs w:val="20"/>
          <w:color w:val="auto"/>
        </w:rPr>
      </w:pPr>
    </w:p>
    <w:p>
      <w:pPr>
        <w:ind w:right="360" w:firstLine="254"/>
        <w:spacing w:after="0" w:line="286" w:lineRule="auto"/>
        <w:rPr>
          <w:sz w:val="20"/>
          <w:szCs w:val="20"/>
          <w:color w:val="auto"/>
        </w:rPr>
      </w:pPr>
      <w:r>
        <w:rPr>
          <w:rFonts w:ascii="Times New Roman" w:cs="Times New Roman" w:eastAsia="Times New Roman" w:hAnsi="Times New Roman"/>
          <w:sz w:val="14"/>
          <w:szCs w:val="14"/>
          <w:color w:val="auto"/>
        </w:rPr>
        <w:t>In the year ended December 31, 2025, we received $16.8 million from maturities of investments, net of purchases, and used $0.1 million of cash to purchase property and equipment, net of proceeds. In 2024, we used $20.8 million of cash to purchase investments, net of maturities, and used $0.6 million of cash to purchase property and equipment.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Financing Activities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the year ended December 31, 2025, we received net financing proceeds of $4.2 million from the sale of our common stock under the Dynavax Purchase Agreement, net proceeds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$53,000 from the sale of our common stock under the March 2025 ATM, and $0.2 million from the issuance of treasury stock under the employee stock purchase plan, partially offset by $0.2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from treasury stock acquired to settle employee tax withholding liabilities. In 2024, we received net proceeds of $37.5 million from the sale of our common stock under the June 2024 Offering,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of $8.8 million from the sale of our common stock under the September 2021 ATM, net proceeds of $9.9 million from the sale of our common stock under the 2024 Securities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Agreement and $0.5 million from the issuance of common stock and treasury stock under the employee stock purchase plan, partially offset by $0.2 million from common stock acquired to settle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 tax withholding liabilities.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Commercial Commitments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 of March 31, 2026</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the following contractual obligations and commercial commitments as of March 31, 2026 (in thousands):</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w:t>
            </w:r>
          </w:p>
        </w:tc>
        <w:tc>
          <w:tcPr>
            <w:tcW w:w="1360" w:type="dxa"/>
            <w:vAlign w:val="bottom"/>
          </w:tcPr>
          <w:p>
            <w:pPr>
              <w:spacing w:after="0"/>
              <w:rPr>
                <w:sz w:val="16"/>
                <w:szCs w:val="16"/>
                <w:color w:val="auto"/>
              </w:rPr>
            </w:pPr>
          </w:p>
        </w:tc>
        <w:tc>
          <w:tcPr>
            <w:tcW w:w="9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6"/>
                <w:szCs w:val="16"/>
                <w:color w:val="auto"/>
              </w:rPr>
            </w:pPr>
          </w:p>
        </w:tc>
        <w:tc>
          <w:tcPr>
            <w:tcW w:w="10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&lt; 1 Year</w:t>
            </w:r>
          </w:p>
        </w:tc>
        <w:tc>
          <w:tcPr>
            <w:tcW w:w="280" w:type="dxa"/>
            <w:vAlign w:val="bottom"/>
          </w:tcPr>
          <w:p>
            <w:pPr>
              <w:spacing w:after="0"/>
              <w:rPr>
                <w:sz w:val="16"/>
                <w:szCs w:val="16"/>
                <w:color w:val="auto"/>
              </w:rPr>
            </w:pP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1 - 3 Years</w:t>
            </w:r>
          </w:p>
        </w:tc>
        <w:tc>
          <w:tcPr>
            <w:tcW w:w="260" w:type="dxa"/>
            <w:vAlign w:val="bottom"/>
          </w:tcPr>
          <w:p>
            <w:pPr>
              <w:spacing w:after="0"/>
              <w:rPr>
                <w:sz w:val="16"/>
                <w:szCs w:val="16"/>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3 - 5 Years</w:t>
            </w:r>
          </w:p>
        </w:tc>
        <w:tc>
          <w:tcPr>
            <w:tcW w:w="260" w:type="dxa"/>
            <w:vAlign w:val="bottom"/>
          </w:tcPr>
          <w:p>
            <w:pPr>
              <w:spacing w:after="0"/>
              <w:rPr>
                <w:sz w:val="16"/>
                <w:szCs w:val="16"/>
                <w:color w:val="auto"/>
              </w:rPr>
            </w:pPr>
          </w:p>
        </w:tc>
        <w:tc>
          <w:tcPr>
            <w:tcW w:w="10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&gt; 5 Years</w:t>
            </w:r>
          </w:p>
        </w:tc>
      </w:tr>
      <w:tr>
        <w:trPr>
          <w:trHeight w:val="170"/>
        </w:trPr>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Term Debt, HCRP</w:t>
            </w:r>
          </w:p>
        </w:tc>
        <w:tc>
          <w:tcPr>
            <w:tcW w:w="13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16,323</w:t>
            </w:r>
          </w:p>
        </w:tc>
        <w:tc>
          <w:tcPr>
            <w:tcW w:w="3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1,861</w:t>
            </w:r>
          </w:p>
        </w:tc>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5,520</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5,520</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3,422</w:t>
            </w:r>
          </w:p>
        </w:tc>
      </w:tr>
      <w:tr>
        <w:trPr>
          <w:trHeight w:val="17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60" w:type="dxa"/>
            <w:vAlign w:val="bottom"/>
          </w:tcPr>
          <w:p>
            <w:pPr>
              <w:spacing w:after="0"/>
              <w:rPr>
                <w:sz w:val="14"/>
                <w:szCs w:val="14"/>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9,182</w:t>
            </w:r>
          </w:p>
        </w:tc>
        <w:tc>
          <w:tcPr>
            <w:tcW w:w="30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3,144</w:t>
            </w:r>
          </w:p>
        </w:tc>
        <w:tc>
          <w:tcPr>
            <w:tcW w:w="28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6,038</w:t>
            </w:r>
          </w:p>
        </w:tc>
        <w:tc>
          <w:tcPr>
            <w:tcW w:w="26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13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19,388</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19,388</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44,893</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24,393</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11,558</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5,520</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3,422</w:t>
            </w:r>
          </w:p>
        </w:tc>
      </w:tr>
    </w:tbl>
    <w:p>
      <w:pPr>
        <w:spacing w:after="0" w:line="139" w:lineRule="exact"/>
        <w:rPr>
          <w:sz w:val="20"/>
          <w:szCs w:val="20"/>
          <w:color w:val="auto"/>
        </w:rPr>
      </w:pPr>
    </w:p>
    <w:p>
      <w:pPr>
        <w:ind w:right="220" w:firstLine="254"/>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Long Term Debt, HCRP. </w:t>
      </w:r>
      <w:r>
        <w:rPr>
          <w:rFonts w:ascii="Times New Roman" w:cs="Times New Roman" w:eastAsia="Times New Roman" w:hAnsi="Times New Roman"/>
          <w:sz w:val="14"/>
          <w:szCs w:val="14"/>
          <w:color w:val="auto"/>
        </w:rPr>
        <w:t>Under an agreement executed in 2016, during the first royalty interest period of April 1, 2016 through March 31, 2025, we were obligated to pay HCRP the first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and any cumulative remaining shortfall amount plus 15% of the next $1.0 million in royalties earned in each year commencing on April 1, with any excess revenue being retained by</w:t>
      </w:r>
    </w:p>
    <w:p>
      <w:pPr>
        <w:spacing w:after="0" w:line="1"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4"/>
          <w:szCs w:val="14"/>
          <w:color w:val="auto"/>
        </w:rPr>
        <w:t>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Note 6 to the Condensed Consolidated Financial Statements in Part I, Item 1 for further details.</w:t>
      </w:r>
    </w:p>
    <w:p>
      <w:pPr>
        <w:spacing w:after="0" w:line="141" w:lineRule="exact"/>
        <w:rPr>
          <w:sz w:val="20"/>
          <w:szCs w:val="20"/>
          <w:color w:val="auto"/>
        </w:rPr>
      </w:pPr>
    </w:p>
    <w:p>
      <w:pPr>
        <w:ind w:right="60" w:firstLine="254"/>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Operating leases. </w:t>
      </w:r>
      <w:r>
        <w:rPr>
          <w:rFonts w:ascii="Times New Roman" w:cs="Times New Roman" w:eastAsia="Times New Roman" w:hAnsi="Times New Roman"/>
          <w:sz w:val="14"/>
          <w:szCs w:val="14"/>
          <w:color w:val="auto"/>
        </w:rPr>
        <w:t>Operating lease amounts include future minimum lease payments under all our non-cancelable operating leases with an initial term in excess of one year. On April 20,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Vaxart, Inc. (the “Company”) entered into an amendment (the “Amendment”) to its lease agreement (the “Utah Avenue Lease”) with a landlord (the “Utah Avenue Landlord”) relating to certain properties currently leased to the Company that are located on Utah Avenue in South San Francisco, California. Pursuant to the Amendment, the Company agreed to lease from the Utah Avenue Landlord two additional suites in an additional building on Utah Avenue with a total of approximately 3,531 rentable square feet of space (the “Additional Leased Space”), effective as of May 14, 2026 (the “Expansion Commencement Date”). The term of the lease of the Additional Leased Space is 36 months from the Expansion Commencement Date, unless earlier terminated pursuant to the terms of the Amendment and the Utah Avenue Lease.</w:t>
      </w:r>
    </w:p>
    <w:p>
      <w:pPr>
        <w:spacing w:after="0" w:line="143"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As previously disclosed, in December 2025, the Company entered into a termination agreement (the “Termination Agreement”) with another landlord (the “Harbor Way Landlord”) in connection with the termination of that certain lease agreement (the “Harbor Way Lease”) for certain premises located at 170 Harbor Way, South San Francisco, California 94080 that served as the Company’s headquarters. The Harbor Way Lease consists of approximately 24,606 square feet of rentable space. Pursuant to the Termination Agreement, the Company and the Harbor Way Landlord agreed to terminate the Harbor Way Lease effective as of May 15, 2026.</w:t>
      </w:r>
    </w:p>
    <w:p>
      <w:pPr>
        <w:spacing w:after="0" w:line="138" w:lineRule="exact"/>
        <w:rPr>
          <w:sz w:val="20"/>
          <w:szCs w:val="20"/>
          <w:color w:val="auto"/>
        </w:rPr>
      </w:pPr>
    </w:p>
    <w:p>
      <w:pPr>
        <w:ind w:right="120" w:firstLine="254"/>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Purchase obligations. </w:t>
      </w:r>
      <w:r>
        <w:rPr>
          <w:rFonts w:ascii="Times New Roman" w:cs="Times New Roman" w:eastAsia="Times New Roman" w:hAnsi="Times New Roman"/>
          <w:sz w:val="14"/>
          <w:szCs w:val="14"/>
          <w:color w:val="auto"/>
        </w:rPr>
        <w:t>As of March 31, 2026, the Company had approximately $19.3 million of non-cancelable purchase commitments, principally for clinical services which are expected to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paid within the next year. Approximately $18.2 million of non-cancelable purchase commitments are attributable to a third-party vendor that provides clinical services, that is reimbursable at approximately $19.6 million under a cost-plus-fixed-fees arrangement in the ATI-RRPV Contract.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As of December 31, 2025</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had the following contractual obligations and commercial commitments as of December 31, 2025 (in thousands):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Contractual Obligation</w:t>
            </w:r>
          </w:p>
        </w:tc>
        <w:tc>
          <w:tcPr>
            <w:tcW w:w="1380" w:type="dxa"/>
            <w:vAlign w:val="bottom"/>
          </w:tcPr>
          <w:p>
            <w:pPr>
              <w:spacing w:after="0"/>
              <w:rPr>
                <w:sz w:val="15"/>
                <w:szCs w:val="15"/>
                <w:color w:val="auto"/>
              </w:rPr>
            </w:pPr>
          </w:p>
        </w:tc>
        <w:tc>
          <w:tcPr>
            <w:tcW w:w="98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Pr>
          <w:p>
            <w:pPr>
              <w:spacing w:after="0"/>
              <w:rPr>
                <w:sz w:val="15"/>
                <w:szCs w:val="15"/>
                <w:color w:val="auto"/>
              </w:rPr>
            </w:pPr>
          </w:p>
        </w:tc>
        <w:tc>
          <w:tcPr>
            <w:tcW w:w="104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&lt; 1 Year</w:t>
            </w:r>
          </w:p>
        </w:tc>
        <w:tc>
          <w:tcPr>
            <w:tcW w:w="280" w:type="dxa"/>
            <w:vAlign w:val="bottom"/>
          </w:tcPr>
          <w:p>
            <w:pPr>
              <w:spacing w:after="0"/>
              <w:rPr>
                <w:sz w:val="15"/>
                <w:szCs w:val="15"/>
                <w:color w:val="auto"/>
              </w:rPr>
            </w:pP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1 - 3 Years</w:t>
            </w:r>
          </w:p>
        </w:tc>
        <w:tc>
          <w:tcPr>
            <w:tcW w:w="260" w:type="dxa"/>
            <w:vAlign w:val="bottom"/>
          </w:tcPr>
          <w:p>
            <w:pPr>
              <w:spacing w:after="0"/>
              <w:rPr>
                <w:sz w:val="15"/>
                <w:szCs w:val="15"/>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3 - 5 Years</w:t>
            </w:r>
          </w:p>
        </w:tc>
        <w:tc>
          <w:tcPr>
            <w:tcW w:w="260" w:type="dxa"/>
            <w:vAlign w:val="bottom"/>
          </w:tcPr>
          <w:p>
            <w:pPr>
              <w:spacing w:after="0"/>
              <w:rPr>
                <w:sz w:val="15"/>
                <w:szCs w:val="15"/>
                <w:color w:val="auto"/>
              </w:rPr>
            </w:pPr>
          </w:p>
        </w:tc>
        <w:tc>
          <w:tcPr>
            <w:tcW w:w="10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&gt; 5 Years</w:t>
            </w:r>
          </w:p>
        </w:tc>
      </w:tr>
      <w:tr>
        <w:trPr>
          <w:trHeight w:val="170"/>
        </w:trPr>
        <w:tc>
          <w:tcPr>
            <w:tcW w:w="2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 Term Debt, HCRP</w:t>
            </w:r>
          </w:p>
        </w:tc>
        <w:tc>
          <w:tcPr>
            <w:tcW w:w="13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17,000</w:t>
            </w:r>
          </w:p>
        </w:tc>
        <w:tc>
          <w:tcPr>
            <w:tcW w:w="3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1,381</w:t>
            </w:r>
          </w:p>
        </w:tc>
        <w:tc>
          <w:tcPr>
            <w:tcW w:w="2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5,520</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5,520</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4,579</w:t>
            </w:r>
          </w:p>
        </w:tc>
      </w:tr>
      <w:tr>
        <w:trPr>
          <w:trHeight w:val="170"/>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80" w:type="dxa"/>
            <w:vAlign w:val="bottom"/>
          </w:tcPr>
          <w:p>
            <w:pPr>
              <w:spacing w:after="0"/>
              <w:rPr>
                <w:sz w:val="14"/>
                <w:szCs w:val="14"/>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10,408</w:t>
            </w:r>
          </w:p>
        </w:tc>
        <w:tc>
          <w:tcPr>
            <w:tcW w:w="30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3,651</w:t>
            </w:r>
          </w:p>
        </w:tc>
        <w:tc>
          <w:tcPr>
            <w:tcW w:w="280" w:type="dxa"/>
            <w:vAlign w:val="bottom"/>
          </w:tcPr>
          <w:p>
            <w:pPr>
              <w:spacing w:after="0"/>
              <w:rPr>
                <w:sz w:val="14"/>
                <w:szCs w:val="14"/>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5,997</w:t>
            </w:r>
          </w:p>
        </w:tc>
        <w:tc>
          <w:tcPr>
            <w:tcW w:w="26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760</w:t>
            </w:r>
          </w:p>
        </w:tc>
        <w:tc>
          <w:tcPr>
            <w:tcW w:w="260" w:type="dxa"/>
            <w:vAlign w:val="bottom"/>
          </w:tcPr>
          <w:p>
            <w:pPr>
              <w:spacing w:after="0"/>
              <w:rPr>
                <w:sz w:val="14"/>
                <w:szCs w:val="1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Obligations</w:t>
            </w:r>
          </w:p>
        </w:tc>
        <w:tc>
          <w:tcPr>
            <w:tcW w:w="13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21,119</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21,119</w:t>
            </w: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48,527</w:t>
            </w:r>
          </w:p>
        </w:tc>
        <w:tc>
          <w:tcPr>
            <w:tcW w:w="3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26,151</w:t>
            </w:r>
          </w:p>
        </w:tc>
        <w:tc>
          <w:tcPr>
            <w:tcW w:w="2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11,517</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6,280</w:t>
            </w:r>
          </w:p>
        </w:tc>
        <w:tc>
          <w:tcPr>
            <w:tcW w:w="2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4,579</w:t>
            </w:r>
          </w:p>
        </w:tc>
      </w:tr>
    </w:tbl>
    <w:p>
      <w:pPr>
        <w:spacing w:after="0" w:line="139" w:lineRule="exact"/>
        <w:rPr>
          <w:sz w:val="20"/>
          <w:szCs w:val="20"/>
          <w:color w:val="auto"/>
        </w:rPr>
      </w:pPr>
    </w:p>
    <w:p>
      <w:pPr>
        <w:ind w:right="260" w:firstLine="254"/>
        <w:spacing w:after="0" w:line="264" w:lineRule="auto"/>
        <w:rPr>
          <w:sz w:val="20"/>
          <w:szCs w:val="20"/>
          <w:color w:val="auto"/>
        </w:rPr>
      </w:pPr>
      <w:r>
        <w:rPr>
          <w:rFonts w:ascii="Times New Roman" w:cs="Times New Roman" w:eastAsia="Times New Roman" w:hAnsi="Times New Roman"/>
          <w:sz w:val="14"/>
          <w:szCs w:val="14"/>
          <w:i w:val="1"/>
          <w:iCs w:val="1"/>
          <w:color w:val="auto"/>
        </w:rPr>
        <w:t xml:space="preserve">Long Term Debt, HCRP. </w:t>
      </w:r>
      <w:r>
        <w:rPr>
          <w:rFonts w:ascii="Times New Roman" w:cs="Times New Roman" w:eastAsia="Times New Roman" w:hAnsi="Times New Roman"/>
          <w:sz w:val="14"/>
          <w:szCs w:val="14"/>
          <w:color w:val="auto"/>
        </w:rPr>
        <w:t>Under an agreement executed in 2016, during the first royalty interest period of April 1, 2016 through March 31, 2025, we were obligated to pay HCRP the first $3.0</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million and any cumulative remaining shortfall amount plus 15% of the next $1.0 million in royalties earned in each year commencing on April 1, with any excess revenue being retained by</w:t>
      </w:r>
    </w:p>
    <w:p>
      <w:pPr>
        <w:spacing w:after="0" w:line="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4"/>
          <w:szCs w:val="14"/>
          <w:color w:val="auto"/>
        </w:rPr>
        <w:t xml:space="preserve">us. Further, during the second royalty interest period beginning April 1, 2025 and ending on December 24, 2029, HCRP is entitled to the first $2.7 million and any cumulative remaining shortfall amount plus 15% of the next $1.0 million in royalties, with any excess revenue being retained by us. See </w:t>
      </w:r>
      <w:r>
        <w:rPr>
          <w:rFonts w:ascii="Times New Roman" w:cs="Times New Roman" w:eastAsia="Times New Roman" w:hAnsi="Times New Roman"/>
          <w:sz w:val="14"/>
          <w:szCs w:val="14"/>
          <w:u w:val="single" w:color="auto"/>
          <w:color w:val="0000EE"/>
        </w:rPr>
        <w:t>Note 6</w:t>
      </w:r>
      <w:r>
        <w:rPr>
          <w:rFonts w:ascii="Times New Roman" w:cs="Times New Roman" w:eastAsia="Times New Roman" w:hAnsi="Times New Roman"/>
          <w:sz w:val="14"/>
          <w:szCs w:val="14"/>
          <w:color w:val="auto"/>
        </w:rPr>
        <w:t xml:space="preserve"> to the Consolidated Financial Statements for further details.</w:t>
      </w:r>
    </w:p>
    <w:p>
      <w:pPr>
        <w:spacing w:after="0" w:line="137" w:lineRule="exact"/>
        <w:rPr>
          <w:sz w:val="20"/>
          <w:szCs w:val="20"/>
          <w:color w:val="auto"/>
        </w:rPr>
      </w:pPr>
    </w:p>
    <w:p>
      <w:pPr>
        <w:ind w:right="300" w:firstLine="254"/>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Operating leases. </w:t>
      </w:r>
      <w:r>
        <w:rPr>
          <w:rFonts w:ascii="Times New Roman" w:cs="Times New Roman" w:eastAsia="Times New Roman" w:hAnsi="Times New Roman"/>
          <w:sz w:val="14"/>
          <w:szCs w:val="14"/>
          <w:color w:val="auto"/>
        </w:rPr>
        <w:t>Operating lease amounts include future minimum lease payments under all our non-cancellable operating leases with an initial term in excess of one year. See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0000EE"/>
        </w:rPr>
        <w:t>Note 7</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Consolidated Financial Statements for further details.</w:t>
      </w:r>
    </w:p>
    <w:p>
      <w:pPr>
        <w:spacing w:after="0" w:line="121" w:lineRule="exact"/>
        <w:rPr>
          <w:sz w:val="20"/>
          <w:szCs w:val="20"/>
          <w:color w:val="auto"/>
        </w:rPr>
      </w:pPr>
    </w:p>
    <w:p>
      <w:pPr>
        <w:ind w:right="280" w:firstLine="254"/>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Purchase obligations. </w:t>
      </w:r>
      <w:r>
        <w:rPr>
          <w:rFonts w:ascii="Times New Roman" w:cs="Times New Roman" w:eastAsia="Times New Roman" w:hAnsi="Times New Roman"/>
          <w:sz w:val="14"/>
          <w:szCs w:val="14"/>
          <w:color w:val="auto"/>
        </w:rPr>
        <w:t>These amounts include an estimate of all open purchase orders and contractual obligations in the ordinary course of business, including commitments with contract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manufacturers and suppliers for which we have not received the goods or services. We consider all open purchase orders, which are generally enforceable and legally binding, to be commitments, although the terms may afford us the option to cancel based on our business needs prior to the delivery of goods or performance of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0"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condensed consolidated financial statements and consolidated financial statements, as applicable, which have been prepared in accordance with generally accepted accounting principles in the United States. The preparation of these consolidated financial statements requires us to make estimates and judgments that affect the reported amounts of assets, liabilities, revenues and expenses. On an ongoing basis, we evaluate these estimates and judgments. We base our estimates on historical experience and on various assumptions that we believe to be reasonable under the circumstances. These estimates and assumptions form the basis for making judgments about the carrying values of assets and liabilities and the recording of revenue and expenses that are not readily apparent from other sources. Actual results may differ materially from these estimates. We believe that the accounting policies discussed below are critical to understanding our historical and future performance, as these policies relate to the more significant areas involving management’s judgments and estimates.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Research and Development Expenses</w:t>
      </w:r>
    </w:p>
    <w:p>
      <w:pPr>
        <w:spacing w:after="0" w:line="18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We record accrued expenses for estimated costs of research and development activities conducted by third-party service providers, which include the conduct of preclinical studies and clinical trials, and contract manufacturing activities. We record the estimated costs of research and development activities based upon the estimated amount of services provided and include the costs incurred but not yet invoiced within other accrued liabilities in the consolidated balance sheets and within research and development expense in the condensed consolidated statements of operations and comprehensive loss and consolidated statements of operations and comprehensive income (loss), as applicable. These costs can be a significant component of our research and development expenses.</w:t>
      </w:r>
    </w:p>
    <w:p>
      <w:pPr>
        <w:spacing w:after="0" w:line="140" w:lineRule="exact"/>
        <w:rPr>
          <w:sz w:val="20"/>
          <w:szCs w:val="20"/>
          <w:color w:val="auto"/>
        </w:rPr>
      </w:pPr>
    </w:p>
    <w:p>
      <w:pPr>
        <w:ind w:right="20" w:firstLine="254"/>
        <w:spacing w:after="0" w:line="269" w:lineRule="auto"/>
        <w:rPr>
          <w:sz w:val="20"/>
          <w:szCs w:val="20"/>
          <w:color w:val="auto"/>
        </w:rPr>
      </w:pPr>
      <w:r>
        <w:rPr>
          <w:rFonts w:ascii="Times New Roman" w:cs="Times New Roman" w:eastAsia="Times New Roman" w:hAnsi="Times New Roman"/>
          <w:sz w:val="14"/>
          <w:szCs w:val="14"/>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180" w:lineRule="exact"/>
        <w:rPr>
          <w:sz w:val="20"/>
          <w:szCs w:val="20"/>
          <w:color w:val="auto"/>
        </w:rPr>
      </w:pPr>
    </w:p>
    <w:p>
      <w:pPr>
        <w:ind w:right="140" w:firstLine="254"/>
        <w:spacing w:after="0" w:line="264" w:lineRule="auto"/>
        <w:rPr>
          <w:sz w:val="20"/>
          <w:szCs w:val="20"/>
          <w:color w:val="auto"/>
        </w:rPr>
      </w:pPr>
      <w:r>
        <w:rPr>
          <w:rFonts w:ascii="Times New Roman" w:cs="Times New Roman" w:eastAsia="Times New Roman" w:hAnsi="Times New Roman"/>
          <w:sz w:val="14"/>
          <w:szCs w:val="14"/>
          <w:color w:val="auto"/>
        </w:rPr>
        <w:t>Intangible assets comprise developed technology and intellectual property. Intangible assets are carried at cost less accumulated amortization. Amortization is computed using the straight-line method over useful life of 11.75 years for developed technology and 20 years for intellectual property. The fair value as of March 31, 2026 is being amortized on a straight-line basis over the remaining period of 3.6 years and 1.8 years for developed technology and intellectual property, respectively. The fair value as of December 31, 2025, is being amortized on a straight-line basis over the remaining period of 3.9 years.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Government Contracts</w:t>
      </w:r>
    </w:p>
    <w:p>
      <w:pPr>
        <w:spacing w:after="0" w:line="180" w:lineRule="exact"/>
        <w:rPr>
          <w:sz w:val="20"/>
          <w:szCs w:val="20"/>
          <w:color w:val="auto"/>
        </w:rPr>
      </w:pPr>
    </w:p>
    <w:p>
      <w:pPr>
        <w:ind w:right="140" w:firstLine="254"/>
        <w:spacing w:after="0" w:line="259" w:lineRule="auto"/>
        <w:rPr>
          <w:sz w:val="20"/>
          <w:szCs w:val="20"/>
          <w:color w:val="auto"/>
        </w:rPr>
      </w:pPr>
      <w:r>
        <w:rPr>
          <w:rFonts w:ascii="Times New Roman" w:cs="Times New Roman" w:eastAsia="Times New Roman" w:hAnsi="Times New Roman"/>
          <w:sz w:val="14"/>
          <w:szCs w:val="14"/>
          <w:color w:val="auto"/>
        </w:rPr>
        <w:t>Under firm fixed-price milestone contracts, we recognize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 Under cost reimbursable contracts, we recognize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w:t>
      </w:r>
    </w:p>
    <w:p>
      <w:pPr>
        <w:spacing w:after="0" w:line="145" w:lineRule="exact"/>
        <w:rPr>
          <w:sz w:val="20"/>
          <w:szCs w:val="20"/>
          <w:color w:val="auto"/>
        </w:rPr>
      </w:pPr>
    </w:p>
    <w:p>
      <w:pPr>
        <w:jc w:val="both"/>
        <w:ind w:right="220" w:firstLine="254"/>
        <w:spacing w:after="0" w:line="269" w:lineRule="auto"/>
        <w:rPr>
          <w:sz w:val="20"/>
          <w:szCs w:val="20"/>
          <w:color w:val="auto"/>
        </w:rPr>
      </w:pPr>
      <w:r>
        <w:rPr>
          <w:rFonts w:ascii="Times New Roman" w:cs="Times New Roman" w:eastAsia="Times New Roman" w:hAnsi="Times New Roman"/>
          <w:sz w:val="14"/>
          <w:szCs w:val="14"/>
          <w:color w:val="auto"/>
        </w:rPr>
        <w:t>Payments to us under cost reimbursable contracts are provisional payments subject to adjustment upon annual audit by the government. Management believes that revenue for 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the 2025 License and Collaboration Agreement</w:t>
      </w:r>
    </w:p>
    <w:p>
      <w:pPr>
        <w:spacing w:after="0" w:line="180"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37" w:lineRule="exact"/>
        <w:rPr>
          <w:sz w:val="20"/>
          <w:szCs w:val="20"/>
          <w:color w:val="auto"/>
        </w:rPr>
      </w:pPr>
    </w:p>
    <w:p>
      <w:pPr>
        <w:ind w:right="100" w:firstLine="254"/>
        <w:spacing w:after="0" w:line="269" w:lineRule="auto"/>
        <w:rPr>
          <w:sz w:val="20"/>
          <w:szCs w:val="20"/>
          <w:color w:val="auto"/>
        </w:rPr>
      </w:pPr>
      <w:r>
        <w:rPr>
          <w:rFonts w:ascii="Times New Roman" w:cs="Times New Roman" w:eastAsia="Times New Roman" w:hAnsi="Times New Roman"/>
          <w:sz w:val="14"/>
          <w:szCs w:val="14"/>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40" w:lineRule="exact"/>
        <w:rPr>
          <w:sz w:val="20"/>
          <w:szCs w:val="20"/>
          <w:color w:val="auto"/>
        </w:rPr>
      </w:pPr>
    </w:p>
    <w:p>
      <w:pPr>
        <w:ind w:right="160" w:firstLine="254"/>
        <w:spacing w:after="0" w:line="264" w:lineRule="auto"/>
        <w:rPr>
          <w:sz w:val="20"/>
          <w:szCs w:val="20"/>
          <w:color w:val="auto"/>
        </w:rPr>
      </w:pPr>
      <w:r>
        <w:rPr>
          <w:rFonts w:ascii="Times New Roman" w:cs="Times New Roman" w:eastAsia="Times New Roman" w:hAnsi="Times New Roman"/>
          <w:sz w:val="14"/>
          <w:szCs w:val="14"/>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40" w:lineRule="exact"/>
        <w:rPr>
          <w:sz w:val="20"/>
          <w:szCs w:val="20"/>
          <w:color w:val="auto"/>
        </w:rPr>
      </w:pPr>
    </w:p>
    <w:p>
      <w:pPr>
        <w:ind w:right="340" w:firstLine="254"/>
        <w:spacing w:after="0" w:line="286" w:lineRule="auto"/>
        <w:rPr>
          <w:sz w:val="20"/>
          <w:szCs w:val="20"/>
          <w:color w:val="auto"/>
        </w:rPr>
      </w:pPr>
      <w:r>
        <w:rPr>
          <w:rFonts w:ascii="Times New Roman" w:cs="Times New Roman" w:eastAsia="Times New Roman" w:hAnsi="Times New Roman"/>
          <w:sz w:val="14"/>
          <w:szCs w:val="14"/>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80" w:lineRule="exact"/>
        <w:rPr>
          <w:sz w:val="20"/>
          <w:szCs w:val="20"/>
          <w:color w:val="auto"/>
        </w:rPr>
      </w:pPr>
    </w:p>
    <w:p>
      <w:pPr>
        <w:ind w:right="460" w:firstLine="254"/>
        <w:spacing w:after="0" w:line="269" w:lineRule="auto"/>
        <w:rPr>
          <w:sz w:val="20"/>
          <w:szCs w:val="20"/>
          <w:color w:val="auto"/>
        </w:rPr>
      </w:pPr>
      <w:r>
        <w:rPr>
          <w:rFonts w:ascii="Times New Roman" w:cs="Times New Roman" w:eastAsia="Times New Roman" w:hAnsi="Times New Roman"/>
          <w:sz w:val="14"/>
          <w:szCs w:val="14"/>
          <w:color w:val="auto"/>
        </w:rPr>
        <w:t>We measure the fair value of all stock option awards to employees, non-executive directors and consultants on the grant date, and record the fair value of these awards, net of estimated forfeitures, as compensation expense over the service period. The fair value of options is estimated using the Black-Scholes valuation model and the expense recorded is affected by subjective assumptions regarding a number of variables, as follows:</w:t>
      </w:r>
    </w:p>
    <w:p>
      <w:pPr>
        <w:spacing w:after="0" w:line="137" w:lineRule="exact"/>
        <w:rPr>
          <w:sz w:val="20"/>
          <w:szCs w:val="20"/>
          <w:color w:val="auto"/>
        </w:rPr>
      </w:pPr>
    </w:p>
    <w:p>
      <w:pPr>
        <w:ind w:right="260" w:firstLine="254"/>
        <w:spacing w:after="0" w:line="261" w:lineRule="auto"/>
        <w:rPr>
          <w:sz w:val="20"/>
          <w:szCs w:val="20"/>
          <w:color w:val="auto"/>
        </w:rPr>
      </w:pPr>
      <w:r>
        <w:rPr>
          <w:rFonts w:ascii="Times New Roman" w:cs="Times New Roman" w:eastAsia="Times New Roman" w:hAnsi="Times New Roman"/>
          <w:sz w:val="14"/>
          <w:szCs w:val="14"/>
          <w:u w:val="single" w:color="auto"/>
          <w:color w:val="auto"/>
        </w:rPr>
        <w:t>Expected term</w:t>
      </w:r>
      <w:r>
        <w:rPr>
          <w:rFonts w:ascii="Times New Roman" w:cs="Times New Roman" w:eastAsia="Times New Roman" w:hAnsi="Times New Roman"/>
          <w:sz w:val="14"/>
          <w:szCs w:val="14"/>
          <w:color w:val="auto"/>
        </w:rPr>
        <w:t xml:space="preserve"> – This represents the period that our stock-based awards granted are expected to be outstanding and is determined using the simplified method (the arithmetic average of its original contractual term and its average vesting term). We have very limited historical information to develop reasonable expectations about future exercise patterns and post-vesting employment termination behavior for our stock-based awards. Based on the weighted average applied to options awarded in the three months ended March 31, 2026, a notional 10% decrease in expected term would have reduced the fair value and the related compensation expense by approximately 2.4%. Based on the weighted average applied to options awarded in 2025, a notional 10% decrease in expected term would have reduced the fair value and the related compensation expense by approximately 2.2%.</w:t>
      </w:r>
    </w:p>
    <w:p>
      <w:pPr>
        <w:spacing w:after="0" w:line="142" w:lineRule="exact"/>
        <w:rPr>
          <w:sz w:val="20"/>
          <w:szCs w:val="20"/>
          <w:color w:val="auto"/>
        </w:rPr>
      </w:pPr>
    </w:p>
    <w:p>
      <w:pPr>
        <w:ind w:right="20" w:firstLine="254"/>
        <w:spacing w:after="0" w:line="261" w:lineRule="auto"/>
        <w:rPr>
          <w:sz w:val="20"/>
          <w:szCs w:val="20"/>
          <w:color w:val="auto"/>
        </w:rPr>
      </w:pPr>
      <w:r>
        <w:rPr>
          <w:rFonts w:ascii="Times New Roman" w:cs="Times New Roman" w:eastAsia="Times New Roman" w:hAnsi="Times New Roman"/>
          <w:sz w:val="14"/>
          <w:szCs w:val="14"/>
          <w:u w:val="single" w:color="auto"/>
          <w:color w:val="auto"/>
        </w:rPr>
        <w:t>Expected volatility</w:t>
      </w:r>
      <w:r>
        <w:rPr>
          <w:rFonts w:ascii="Times New Roman" w:cs="Times New Roman" w:eastAsia="Times New Roman" w:hAnsi="Times New Roman"/>
          <w:sz w:val="14"/>
          <w:szCs w:val="14"/>
          <w:color w:val="auto"/>
        </w:rPr>
        <w:t xml:space="preserve"> – This is a measure of the amount by which our common stock price has fluctuated or is expected to fluctuate. Since the beginning of 2020 we have measured volatility based on the historical volatility of our own stock over the retrospective period corresponding to the expected term of the options on the measurement date. Based on the weighted average applied to options awarded in the three months ended March 31, 2026, a notional 10% decrease in expected volatility (from 118.4% to 106.5%) would have reduced the fair value and the related compensation expense by approximately 4.6%. Based on the weighted average applied to options awarded in 2025, a notional 10% decrease in expected volatility (from 126.5% to 113.8%) would have reduced the fair value and the related compensation expense by approximately 4.2%.</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Risk-free interest rate</w:t>
      </w:r>
      <w:r>
        <w:rPr>
          <w:rFonts w:ascii="Times New Roman" w:cs="Times New Roman" w:eastAsia="Times New Roman" w:hAnsi="Times New Roman"/>
          <w:sz w:val="14"/>
          <w:szCs w:val="14"/>
          <w:color w:val="auto"/>
        </w:rPr>
        <w:t xml:space="preserve"> – This is based on the U.S. Treasury yield curve on the measurement date corresponding with the expected term of the stock-based awards.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u w:val="single" w:color="auto"/>
          <w:color w:val="auto"/>
        </w:rPr>
        <w:t>Expected dividend</w:t>
      </w:r>
      <w:r>
        <w:rPr>
          <w:rFonts w:ascii="Times New Roman" w:cs="Times New Roman" w:eastAsia="Times New Roman" w:hAnsi="Times New Roman"/>
          <w:sz w:val="14"/>
          <w:szCs w:val="14"/>
          <w:color w:val="auto"/>
        </w:rPr>
        <w:t xml:space="preserve"> – We have not made any dividend payments and do not plan to pay dividends in the foreseeable future. Therefore, we use an expected dividend yield of zero.</w:t>
      </w:r>
    </w:p>
    <w:p>
      <w:pPr>
        <w:spacing w:after="0" w:line="178" w:lineRule="exact"/>
        <w:rPr>
          <w:sz w:val="20"/>
          <w:szCs w:val="20"/>
          <w:color w:val="auto"/>
        </w:rPr>
      </w:pPr>
    </w:p>
    <w:p>
      <w:pPr>
        <w:jc w:val="both"/>
        <w:ind w:right="120" w:firstLine="254"/>
        <w:spacing w:after="0" w:line="269" w:lineRule="auto"/>
        <w:rPr>
          <w:sz w:val="20"/>
          <w:szCs w:val="20"/>
          <w:color w:val="auto"/>
        </w:rPr>
      </w:pPr>
      <w:r>
        <w:rPr>
          <w:rFonts w:ascii="Times New Roman" w:cs="Times New Roman" w:eastAsia="Times New Roman" w:hAnsi="Times New Roman"/>
          <w:sz w:val="14"/>
          <w:szCs w:val="14"/>
          <w:u w:val="single" w:color="auto"/>
          <w:color w:val="auto"/>
        </w:rPr>
        <w:t>Forfeiture rate</w:t>
      </w:r>
      <w:r>
        <w:rPr>
          <w:rFonts w:ascii="Times New Roman" w:cs="Times New Roman" w:eastAsia="Times New Roman" w:hAnsi="Times New Roman"/>
          <w:sz w:val="14"/>
          <w:szCs w:val="14"/>
          <w:color w:val="auto"/>
        </w:rPr>
        <w:t xml:space="preserve"> – This is a measure of the number of awards that are expected to not vest and is reassessed quarterly. An increase in the estimated forfeiture rate will cause a small decrease to the related compensation expense early in the service period, but since the final expense recorded for each award is the number of options vested times their grant date fair value, it has no impact on the total expense recorded.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80" w:lineRule="exact"/>
        <w:rPr>
          <w:sz w:val="20"/>
          <w:szCs w:val="20"/>
          <w:color w:val="auto"/>
        </w:rPr>
      </w:pPr>
    </w:p>
    <w:p>
      <w:pPr>
        <w:ind w:right="160" w:firstLine="254"/>
        <w:spacing w:after="0" w:line="269" w:lineRule="auto"/>
        <w:rPr>
          <w:sz w:val="20"/>
          <w:szCs w:val="20"/>
          <w:color w:val="auto"/>
        </w:rPr>
      </w:pPr>
      <w:r>
        <w:rPr>
          <w:rFonts w:ascii="Times New Roman" w:cs="Times New Roman" w:eastAsia="Times New Roman" w:hAnsi="Times New Roman"/>
          <w:sz w:val="14"/>
          <w:szCs w:val="14"/>
          <w:color w:val="auto"/>
        </w:rPr>
        <w:t>See the “Recent Accounting Pronouncements” in Note 2 to the Consolidated Financial Statements for the Years Ended December 31, 2025 and 2024 and the Condensed Consolidated Financial Statements for the Three Months Ended March 31, 2026 and 2025 for information related to the issuance of new accounting standards in 2024. We are currently assessing the impact those new standards will have on our condensed consolidated financial statements and consolidated financial statements.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6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MANAGEMENT</w:t>
            </w:r>
          </w:p>
        </w:tc>
      </w:tr>
      <w:tr>
        <w:trPr>
          <w:trHeight w:val="339"/>
        </w:trPr>
        <w:tc>
          <w:tcPr>
            <w:tcW w:w="112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regarding our executive officers and directors as of April 30, 2026:</w:t>
            </w:r>
          </w:p>
        </w:tc>
      </w:tr>
      <w:tr>
        <w:trPr>
          <w:trHeight w:val="339"/>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Age</w:t>
            </w:r>
          </w:p>
        </w:tc>
        <w:tc>
          <w:tcPr>
            <w:tcW w:w="7660" w:type="dxa"/>
            <w:vAlign w:val="bottom"/>
          </w:tcPr>
          <w:p>
            <w:pPr>
              <w:ind w:left="36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70"/>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w:t>
            </w:r>
          </w:p>
        </w:tc>
        <w:tc>
          <w:tcPr>
            <w:tcW w:w="94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rPr>
                <w:sz w:val="14"/>
                <w:szCs w:val="14"/>
                <w:color w:val="auto"/>
              </w:rPr>
            </w:pPr>
          </w:p>
        </w:tc>
      </w:tr>
      <w:tr>
        <w:trPr>
          <w:trHeight w:val="170"/>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Steven Lo</w:t>
            </w:r>
          </w:p>
        </w:tc>
        <w:tc>
          <w:tcPr>
            <w:tcW w:w="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59</w:t>
            </w:r>
          </w:p>
        </w:tc>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 President and Chief Executive Officer</w:t>
            </w:r>
          </w:p>
        </w:tc>
      </w:tr>
      <w:tr>
        <w:trPr>
          <w:trHeight w:val="17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Jeroen N. Grasman</w:t>
            </w:r>
          </w:p>
        </w:tc>
        <w:tc>
          <w:tcPr>
            <w:tcW w:w="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56</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70"/>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Sean Tucker, Ph.D.</w:t>
            </w:r>
          </w:p>
        </w:tc>
        <w:tc>
          <w:tcPr>
            <w:tcW w:w="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58</w:t>
            </w:r>
          </w:p>
        </w:tc>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Senior Vice President and Chief Scientific Officer</w:t>
            </w:r>
          </w:p>
        </w:tc>
      </w:tr>
      <w:tr>
        <w:trPr>
          <w:trHeight w:val="17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Edward B. Berg</w:t>
            </w:r>
          </w:p>
        </w:tc>
        <w:tc>
          <w:tcPr>
            <w:tcW w:w="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62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Senior Vice President and General Counsel</w:t>
            </w:r>
          </w:p>
        </w:tc>
      </w:tr>
      <w:tr>
        <w:trPr>
          <w:trHeight w:val="170"/>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James F. Cummings, M.D.</w:t>
            </w:r>
          </w:p>
        </w:tc>
        <w:tc>
          <w:tcPr>
            <w:tcW w:w="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60</w:t>
            </w:r>
          </w:p>
        </w:tc>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Chief Medical Officer</w:t>
            </w:r>
          </w:p>
        </w:tc>
      </w:tr>
      <w:tr>
        <w:trPr>
          <w:trHeight w:val="170"/>
        </w:trPr>
        <w:tc>
          <w:tcPr>
            <w:tcW w:w="26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660" w:type="dxa"/>
            <w:vAlign w:val="bottom"/>
            <w:shd w:val="clear" w:color="auto" w:fill="CCEEFF"/>
          </w:tcPr>
          <w:p>
            <w:pPr>
              <w:spacing w:after="0"/>
              <w:rPr>
                <w:sz w:val="14"/>
                <w:szCs w:val="14"/>
                <w:color w:val="auto"/>
              </w:rPr>
            </w:pPr>
          </w:p>
        </w:tc>
      </w:tr>
      <w:tr>
        <w:trPr>
          <w:trHeight w:val="170"/>
        </w:trPr>
        <w:tc>
          <w:tcPr>
            <w:tcW w:w="26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Non-Employee Directors</w:t>
            </w:r>
          </w:p>
        </w:tc>
        <w:tc>
          <w:tcPr>
            <w:tcW w:w="940" w:type="dxa"/>
            <w:vAlign w:val="bottom"/>
          </w:tcPr>
          <w:p>
            <w:pPr>
              <w:spacing w:after="0"/>
              <w:rPr>
                <w:sz w:val="14"/>
                <w:szCs w:val="14"/>
                <w:color w:val="auto"/>
              </w:rPr>
            </w:pPr>
          </w:p>
        </w:tc>
        <w:tc>
          <w:tcPr>
            <w:tcW w:w="7660" w:type="dxa"/>
            <w:vAlign w:val="bottom"/>
          </w:tcPr>
          <w:p>
            <w:pPr>
              <w:spacing w:after="0"/>
              <w:rPr>
                <w:sz w:val="14"/>
                <w:szCs w:val="14"/>
                <w:color w:val="auto"/>
              </w:rPr>
            </w:pPr>
          </w:p>
        </w:tc>
      </w:tr>
      <w:tr>
        <w:trPr>
          <w:trHeight w:val="17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Kevin P. Finney</w:t>
            </w:r>
          </w:p>
        </w:tc>
        <w:tc>
          <w:tcPr>
            <w:tcW w:w="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58</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70"/>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Elaine J. Heron, Ph.D.</w:t>
            </w:r>
          </w:p>
        </w:tc>
        <w:tc>
          <w:tcPr>
            <w:tcW w:w="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78</w:t>
            </w:r>
          </w:p>
        </w:tc>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7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 Mark Watson</w:t>
            </w:r>
          </w:p>
        </w:tc>
        <w:tc>
          <w:tcPr>
            <w:tcW w:w="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75</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70"/>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David Wheadon, M.D.</w:t>
            </w:r>
          </w:p>
        </w:tc>
        <w:tc>
          <w:tcPr>
            <w:tcW w:w="94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auto"/>
                <w:w w:val="99"/>
              </w:rPr>
              <w:t>68</w:t>
            </w:r>
          </w:p>
        </w:tc>
        <w:tc>
          <w:tcPr>
            <w:tcW w:w="7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7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James B. Breitmeyer, M.D., Ph.D.</w:t>
            </w:r>
          </w:p>
        </w:tc>
        <w:tc>
          <w:tcPr>
            <w:tcW w:w="940" w:type="dxa"/>
            <w:vAlign w:val="bottom"/>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w w:val="99"/>
              </w:rPr>
              <w:t>72</w:t>
            </w:r>
          </w:p>
        </w:tc>
        <w:tc>
          <w:tcPr>
            <w:tcW w:w="7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323"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Steven Lo </w:t>
      </w:r>
      <w:r>
        <w:rPr>
          <w:rFonts w:ascii="Times New Roman" w:cs="Times New Roman" w:eastAsia="Times New Roman" w:hAnsi="Times New Roman"/>
          <w:sz w:val="14"/>
          <w:szCs w:val="14"/>
          <w:color w:val="auto"/>
        </w:rPr>
        <w:t>has served as our President, Chief Executive Officer, Principal Executive Officer, and a member of the board of directors since March 2024. He has over 30 years of experience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healthcare, biotechnology, and pharmaceutical industries, including over 15 years of C-level experience in publicly traded biotech companies. Prior to joining the Company, Mr. Lo served as Chief Executive Officer and a member of the board of directors of Valitor, Inc., a private biotech company, from August 2022 to March 2024. From October 2019 to August 2022, Mr. Lo was the President, Chief Executive Officer, and member of the board of directors of Zosano Pharma Corporation (“Zosano”), a clinical-stage biopharmaceutical company. From September 2015 to October 2019, he was the Chief Commercial Officer at Puma Biotechnology, Inc., a biopharmaceutical company with a focus on the development and commercialization of innovative products to enhance cancer care. At that company, he built and led business development and the worldwide commercialization of the company’s first product. Prior to that, he was Chief Commercial Officer of Corcept Therapeutics Incorporated, where he established the commercial organization to launch the company’s first product. Earlier in his career, he spent 13 years at Genentech, Inc., a member of Roche Group, in a variety of leadership roles of increasing responsibility in commercial and drug development. He worked in numerous areas, including oncology, endocrinology and other specialty therapeutics. Mr. Lo started his career in the pharmaceutical industry at AstraZeneca after holding positions in finance and operations at Kaiser Permanente. Mr. Lo obtained a Master of Health Administration from the University of Southern California and a B.S. in Microbiology from the University of California, Davis. We believe Mr. Lo is qualified to serve on the board of directors because of his extensive experience within the life sciences industry, including his experience leading, advising, and working with biotechnology companies.</w:t>
      </w:r>
    </w:p>
    <w:p>
      <w:pPr>
        <w:spacing w:after="0" w:line="146"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Jeroen N. Grasman </w:t>
      </w:r>
      <w:r>
        <w:rPr>
          <w:rFonts w:ascii="Times New Roman" w:cs="Times New Roman" w:eastAsia="Times New Roman" w:hAnsi="Times New Roman"/>
          <w:sz w:val="14"/>
          <w:szCs w:val="14"/>
          <w:color w:val="auto"/>
        </w:rPr>
        <w:t>has served as our Chief Financial Officer since May 2025. From August 2021 to May 2025, Mr. Grasman served as Chief Financial Officer at AltruBio, a clinical-stage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private biotech company. During his tenure at AltruBio, Mr. Grasman led a number of successful financings and helped scale the company for global clinical studies. From 2018 to 2021, Mr. Grasman served as Vice President, Finance and Operations at PACT Pharma, a clinical-stage private biotech company, where he was responsible for pre-IPO readiness, capital formation and scaling the Finance, Information Technology and Procurement organizations. Prior to joining PACT Pharma, Mr. Grasman served as Vice President, Finance at Intarcia Therapeutics and also spent more than 10 years at Genentech, holding financial leadership positions of increasing responsibility and geographical reach and building broad operational finance expertise across strategic planning, business development, clinical development, and manufacturing functions. Mr. Grasman earned a MSc in Applied Mathematics from Groningen University in the Netherlands and an MBA from Harvard Business School.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0" w:firstLine="254"/>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Sean Tucker, Ph.D. </w:t>
      </w:r>
      <w:r>
        <w:rPr>
          <w:rFonts w:ascii="Times New Roman" w:cs="Times New Roman" w:eastAsia="Times New Roman" w:hAnsi="Times New Roman"/>
          <w:sz w:val="14"/>
          <w:szCs w:val="14"/>
          <w:color w:val="auto"/>
        </w:rPr>
        <w:t>has served as our Chief Scientific Officer since February 2010, and as Senior Vice President since March 2021. From March 2004 to February 2010, Dr. Tucker served as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Vice President of Research and Director of Immunology. Prior to these roles, Dr. Tucker held numerous scientific and engineering roles at various biotechnology companies. Dr. Tucker received a B.S. in chemical engineering from the University of Washington, an M.S. in chemical engineering from the University of California, Berkeley and a Ph.D. in immunology from the University of Washington.</w:t>
      </w:r>
    </w:p>
    <w:p>
      <w:pPr>
        <w:spacing w:after="0" w:line="137" w:lineRule="exact"/>
        <w:rPr>
          <w:sz w:val="20"/>
          <w:szCs w:val="20"/>
          <w:color w:val="auto"/>
        </w:rPr>
      </w:pPr>
    </w:p>
    <w:p>
      <w:pPr>
        <w:ind w:right="140" w:firstLine="254"/>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Edward B. Berg </w:t>
      </w:r>
      <w:r>
        <w:rPr>
          <w:rFonts w:ascii="Times New Roman" w:cs="Times New Roman" w:eastAsia="Times New Roman" w:hAnsi="Times New Roman"/>
          <w:sz w:val="14"/>
          <w:szCs w:val="14"/>
          <w:color w:val="auto"/>
        </w:rPr>
        <w:t>has served as our Senior Vice President and General Counsel since February 2022. Mr. Berg has served in senior legal positions at prominent healthcare companies for most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his more than 30-year career and has represented Fortune 500 and mid-cap companies in biotechnology, pharmaceuticals and life sciences. Prior to Vaxart, he served as VP, Deputy General Counsel for BioMarin Pharmaceutical Inc. from July 2018 to January 2022. Mr. Berg previously served as VP Legal and the head attorney supporting Novartis AG’s biosimilar / generic subsidiary, Sandoz US, from June 2016 to June 2018. Mr. Berg’s previous roles include Deputy General Counsel, Pharmaceutical Operations for Sanofi-Aventis U.S. LLC and Sanofi NA Pharmaceuticals, and Senior Corporate Counsel, Research &amp; Development at Bristol-Myers Squibb, Inc. He began his career in healthcare as Senior Attorney / Associate Counsel for Merck &amp; Co, Inc. Mr. Berg received a B.A. from Washington University in economics and political science and a law degree from the University of Pennsylvania Law School.</w:t>
      </w:r>
    </w:p>
    <w:p>
      <w:pPr>
        <w:spacing w:after="0" w:line="141"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James F. Cummings, M.D. </w:t>
      </w:r>
      <w:r>
        <w:rPr>
          <w:rFonts w:ascii="Times New Roman" w:cs="Times New Roman" w:eastAsia="Times New Roman" w:hAnsi="Times New Roman"/>
          <w:sz w:val="14"/>
          <w:szCs w:val="14"/>
          <w:color w:val="auto"/>
        </w:rPr>
        <w:t>has served as our Chief Medical Officer since August 2021. Preceding his role at Vaxart, Dr. Cummings served as President of ICON Government and Public Health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Solutions, Inc., a global clinical research organization, from January 2018 until September 2021, providing clinical trial and functional services to government and commercial customers, in support of global health. Prior to joining ICON, Dr. Cummings served as Vice President of Clinical Development and Translational Medicine at Novavax, Inc. from September 2015 until January 2018. There he led the development programs for all Emerging and Re-Emerging Infectious Diseases to provide a timely, broad response across the spectrum of emerging infectious diseases. Dr. Cummings retired as a Colonel in the U.S. Army after 26 years of service, during which he acquired proven track record in vaccine, drug and diagnostics development, and served as Director of the Department of Defense (DoD) Global Emerging Infectious Diseases Surveillance and Response Systems (DoD GEIS) leading Biosurveillance for the US DoD with laboratories and partners in 71 countries and as consultant to the Army Surgeon General for all medical research and development. A graduate of Georgetown University’s School of Medicine, Dr. Cummings trained in Internal Medicine and Infectious Diseases Fellowships at Walter Reed and the National Capital Consortium and has been elected to fellow in the American College of Physicians (FACP), the Infectious Diseases Society of America (FIDSA) and the American Society of Tropical Medicine and Hygiene (FASTMH).</w:t>
      </w:r>
    </w:p>
    <w:p>
      <w:pPr>
        <w:spacing w:after="0" w:line="145" w:lineRule="exact"/>
        <w:rPr>
          <w:sz w:val="20"/>
          <w:szCs w:val="20"/>
          <w:color w:val="auto"/>
        </w:rPr>
      </w:pPr>
    </w:p>
    <w:p>
      <w:pPr>
        <w:ind w:right="40" w:firstLine="254"/>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Kevin P. Finney </w:t>
      </w:r>
      <w:r>
        <w:rPr>
          <w:rFonts w:ascii="Times New Roman" w:cs="Times New Roman" w:eastAsia="Times New Roman" w:hAnsi="Times New Roman"/>
          <w:sz w:val="14"/>
          <w:szCs w:val="14"/>
          <w:color w:val="auto"/>
        </w:rPr>
        <w:t>has served as a member of our board of directors since January 2025. Mr. Kevin P. Finney is an experienced biotech executive and director who has held numerous leadership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roles in the healthcare industry, leading companies from early stages of development through to commercialization. Since November 2019, Mr. Kevin Finney has served as President, Chief Executive Officer, and Chairman of the board of directors of Autobahn Therapeutics, Inc., a biotechnology company developing a portfolio of neuropsychiatric and neuroimmunologic clinical candidates leveraging its brain-targeting chemistry platform. Previously, Mr. Kevin Finney served as President, Chief Operating Officer, and a director of Abide Therapeutics Inc. through the company's acquisition by H. Lundbeck A/S in 2019. Prior to this, Mr. Kevin Finney founded and served as the Chief Operating Officer of Zavante Therapeutics, Inc. through the company's acquisition by Nabriva Therapeutics PLC in 2018. Mr. Kevin Finney previously spent a decade as head of world-wide corporate development at Allergan, Inc., an international specialty pharmaceutical company operating in more than 100 countries worldwide, through the company’s merger with Actavis in 2015. Prior to Allergan, Mr. Kevin Finney held executive management roles at Prometheus Laboratories, Inc. (now a part of Nestle Health Science), Amylin Pharmaceuticals, Inc. (now a part of Bristol-Myers Squibb) and the Parke-Davis division of Warner-Lambert (now a part of Pfizer). Since January 2016, Mr. Kevin Finney has also served on the board of directors of Eirion Therapeutics, Inc. Mr. Kevin Finney previously served as Executive Chairman of the board of directors of Elsie Biotechnologies (now a part of GSK), a non-executive director of Anterios Inc. (now a part of Allergan), and Executive Chairman of the board of directors of Taris Biomedical (now a part of Johnson &amp; Johnson). Mr. Kevin Finney has a B.A. in Exercise Physiology from California State University, Long Beach, and an MBA from Pepperdine Graziadio Business School. We believe</w:t>
      </w:r>
    </w:p>
    <w:p>
      <w:pPr>
        <w:ind w:right="320"/>
        <w:spacing w:after="0" w:line="265" w:lineRule="auto"/>
        <w:rPr>
          <w:sz w:val="20"/>
          <w:szCs w:val="20"/>
          <w:color w:val="auto"/>
        </w:rPr>
      </w:pPr>
      <w:r>
        <w:rPr>
          <w:rFonts w:ascii="Times New Roman" w:cs="Times New Roman" w:eastAsia="Times New Roman" w:hAnsi="Times New Roman"/>
          <w:sz w:val="14"/>
          <w:szCs w:val="14"/>
          <w:color w:val="auto"/>
        </w:rPr>
        <w:t>Mr. Kevin Finney is qualified to serve on the board of directors because of his extensive experience within the life sciences industry, including as an executive and a director in the biotechnology industry.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20" w:firstLine="254"/>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Elaine J. Heron, Ph.D. </w:t>
      </w:r>
      <w:r>
        <w:rPr>
          <w:rFonts w:ascii="Times New Roman" w:cs="Times New Roman" w:eastAsia="Times New Roman" w:hAnsi="Times New Roman"/>
          <w:sz w:val="14"/>
          <w:szCs w:val="14"/>
          <w:color w:val="auto"/>
        </w:rPr>
        <w:t>has served as a member of our board of directors since August 2022. Dr. Heron has served on the board of directors of BioMarin Pharmaceutical Inc. (Nasdaq: BMRN)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since July 2002 and until May 2025 and on the board of directors of Palvella Therapeutics, Inc. (Nasdaq: PVLA) since December 2024. From February 2009 to October 2015, Dr. Heron served as Chair and CEO of Amplyx Pharmaceuticals, Inc., a private drug development company acquired by Pfizer, Inc. in April 2021. She currently serves on the boards of BlueWhale Bio, Inc., a private early stage therapeutics company, Enumera Molecular, Inc., a private diagnostics company, and Watershed Medical, Inc., a private early-stage therapeutics company. She previously served on the board of Visgenx, Inc., a private early-stage therapeutics company, until her departure in May 2026. From July 2001 to October 2008, Dr. Heron was Chair and CEO of Labcyte Inc., a private biotechnology company. Before joining Labcyte Inc., she spent six years in positions of increasing responsibility at the Applied Biosystems Group of Applera Corporation, a biotechnology company, including the position of General Manager and Vice President of Sales and Marketing. Dr. Heron earned a B.S. in chemistry with highest distinction and a Ph.D. in analytical biochemistry from Purdue University and an M.B.A. from Pepperdine University. We believe Dr. Heron is qualified to serve on the board of directors because of her extensive experience in life science sales and marketing, finance and accounting, corporate governance matters, and research and development.</w:t>
      </w:r>
    </w:p>
    <w:p>
      <w:pPr>
        <w:spacing w:after="0" w:line="145"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W. Mark Watson </w:t>
      </w:r>
      <w:r>
        <w:rPr>
          <w:rFonts w:ascii="Times New Roman" w:cs="Times New Roman" w:eastAsia="Times New Roman" w:hAnsi="Times New Roman"/>
          <w:sz w:val="14"/>
          <w:szCs w:val="14"/>
          <w:color w:val="auto"/>
        </w:rPr>
        <w:t>has served as a member of our board of directors since August 2022 and as lead director since September 2025. Mr. Watson is a Certified Public Accountant with over 40 years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experience in public accounting and auditing, having spent his entire career from January 1973 to June 2013 at Deloitte Touche Tohmatsu and its predecessor, including as Central Florida Marketplace Leader. He has served as lead audit partner and lead client service partner on public companies ranging from middle market firms to Fortune 500 enterprises. Mr. Watson also served as Chairman of the Board of Directors and Chairman of the Audit Committee of Inhibitor Therapeutics, Inc. and as a director and member of the Audit Committee of Sykes Enterprises, Inc and BioDelivery Sciences International, Inc. Mr. Watson served as a trustee of Tekla World Healthcare Fund (THW), Tekla Healthcare Opportunities Fund (THQ), Tekla Healthcare Investors (HQH), and Tekla Life Sciences Investors (HQL) until the Fall of 2023. Mr. Watson also serves on the Board of Moffitt Cancer Center and as Chair of its Joint Enterprise Risk, Audit and Compliance Committee. Mr. Watson is a member of the American Institute of Certified Public Accountants and the Florida Institute of Certified Public Accountants. He received his undergraduate degree in Accounting from Marquette University. We believe Mr. Watson is qualified to serve on the board of directors because of his extensive experience as a Certified Public Accountant focused on health and life sciences and his other professional and civic engagements.</w:t>
      </w:r>
    </w:p>
    <w:p>
      <w:pPr>
        <w:spacing w:after="0" w:line="145"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David Wheadon, M.D. </w:t>
      </w:r>
      <w:r>
        <w:rPr>
          <w:rFonts w:ascii="Times New Roman" w:cs="Times New Roman" w:eastAsia="Times New Roman" w:hAnsi="Times New Roman"/>
          <w:sz w:val="14"/>
          <w:szCs w:val="14"/>
          <w:color w:val="auto"/>
        </w:rPr>
        <w:t>has served as a member of our board of directors since April 2021. He served as Senior Vice President, Global Regulatory Affairs, Patient Safety and Quality Assurance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AstraZeneca Pharmaceuticals from 2014 to 2019 and as Executive Vice President, Research and Advocacy at the Juvenile Diabetes Research Foundation from 2013 to 2014. From 2009 to 2013, Dr. Wheadon served as Senior Vice President, Scientific and Regulatory Affairs and as a member of the Management Committee of the Pharmaceutical Research and Manufacturers of America (“PhRMA”). Prior to his joining PhRMA, Dr. Wheadon held senior regulatory and clinical development leader roles at Abbott Laboratories and GlaxoSmithKline plc. Dr. Wheadon began his career as a clinical research physician in neuroscience at Eli Lilly &amp; Company. He is a non-executive director of Sotera Health, Inc., Indivior, PLC, ConnectiveRx, and Seaport Therapeutics. He also serves as a member of the Board of Trustees of Mount Sinai Health System. He formerly served on the board of directors of Assertio Holdings, Inc. (formerly Assertio Therapeutics, Inc.), Karuna Therapeutics, Inc. and Chemocentryx, Inc. Dr. Wheadon holds an A.B. from Harvard College and an M.D. from Johns Hopkins University School of Medicine. He completed his fellowship training in Psychiatry at the Tufts, New England Medical Center. We believe Dr. Wheadon is qualified to serve as a member of the Board due to his extensive experience as an executive in the pharmaceutical industry and expertise in regulatory affairs, government policy and clinical strategy.</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ind w:right="40" w:firstLine="254"/>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James B. Breitmeyer, M.D., Ph.D. </w:t>
      </w:r>
      <w:r>
        <w:rPr>
          <w:rFonts w:ascii="Times New Roman" w:cs="Times New Roman" w:eastAsia="Times New Roman" w:hAnsi="Times New Roman"/>
          <w:sz w:val="14"/>
          <w:szCs w:val="14"/>
          <w:color w:val="auto"/>
        </w:rPr>
        <w:t>currently serves as the Chief Executive Officer and director of Altay Therapeutics, Inc. and as Operating Partner of SOLVE FSHD, a venture philanthropy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group, since February 2026 and September 2025, respectively. Previously, Dr. Breitmeyer served as President and Chief Executive Officer of Oncternal Therapeutics, Inc. from February 2016 to June 2025. Dr. Breitmeyer is a veteran biotech executive with experience successfully starting and growing biotechnology organizations. He has been responsible for the development and implementation of operational and drug development strategies, as well as supervising and managing both large organizations and emerging biotechnology companies. Dr. Breitmeyer served as President of Bavarian Nordic, Inc. and Executive Vice President of Bavarian Nordic A/S, a multinational corporation headquartered in Denmark, from February 2013 to July 2015 where he oversaw business operations and development strategy both for Bavarian Nordic, Inc. and Bavarian Nordic A/S. He served as a director of Zogenix, Inc., then a public pharmaceutical company, from March 2014 until it was acquired by UCB S.A. in March 2022 and was acting Chief Medical Officer of Zogenix from August 2012 to February 2013 where he was responsible for clinical development and regulatory strategy. He previously served as the Executive Vice President of Development and Chief Medical Officer of Cadence Pharmaceuticals Inc., a public pharmaceutical company, from August 2006 to August 2012, and the Chief Medical Officer of Applied Molecular Evolution Inc., a wholly owned subsidiary of Eli Lilly and Co., a global pharmaceutical company, from December 2001 to August 2006. Dr. Breitmeyer was also the founder, President and Chief Executive Officer of the Harvard Clinical Research Institute, and Chief Medical Officer and Head of Research &amp; Development for North America at Serono Laboratories Inc., an international biopharmaceutical company. Dr. Breitmeyer served as a founding collaborator and scientific advisor to Immunogen Inc., a biotechnology company, and held clinical and teaching positions at the Dana Farber Cancer Institute and Harvard Medical School. Dr. Breitmeyer previously served as a director of Otonomy, Inc. Dr. Breitmeyer earned his B.A. in Chemistry from the University of California, Santa Cruz and his M.D. and Ph.D. from Washington University School of Medicine and is Board Certified in Internal Medicine and Oncology. He holds an active California medical license. We believe that Dr. Breitmeyer’s perspective and experience as Altay’s CEO and director, as well as his depth of operating and senior management experience in the pharmaceutical industry in both private and public organizations and educational background, provide him with the qualifications and abilities to serve as a director.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Regarding the Board of Directors and Corporate Governance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Family Relationships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are no family relationships among the members of the board of directors and our executive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Independence of the Board of Directors</w:t>
      </w:r>
    </w:p>
    <w:p>
      <w:pPr>
        <w:spacing w:after="0" w:line="178" w:lineRule="exact"/>
        <w:rPr>
          <w:sz w:val="20"/>
          <w:szCs w:val="20"/>
          <w:color w:val="auto"/>
        </w:rPr>
      </w:pPr>
    </w:p>
    <w:p>
      <w:pPr>
        <w:ind w:right="80" w:firstLine="254"/>
        <w:spacing w:after="0" w:line="271" w:lineRule="auto"/>
        <w:rPr>
          <w:sz w:val="20"/>
          <w:szCs w:val="20"/>
          <w:color w:val="auto"/>
        </w:rPr>
      </w:pPr>
      <w:r>
        <w:rPr>
          <w:rFonts w:ascii="Times New Roman" w:cs="Times New Roman" w:eastAsia="Times New Roman" w:hAnsi="Times New Roman"/>
          <w:sz w:val="14"/>
          <w:szCs w:val="14"/>
          <w:color w:val="auto"/>
        </w:rPr>
        <w:t>As required under The Nasdaq Stock Market (“</w:t>
      </w:r>
      <w:r>
        <w:rPr>
          <w:rFonts w:ascii="Times New Roman" w:cs="Times New Roman" w:eastAsia="Times New Roman" w:hAnsi="Times New Roman"/>
          <w:sz w:val="14"/>
          <w:szCs w:val="14"/>
          <w:i w:val="1"/>
          <w:iCs w:val="1"/>
          <w:color w:val="auto"/>
        </w:rPr>
        <w:t>Nasdaq</w:t>
      </w:r>
      <w:r>
        <w:rPr>
          <w:rFonts w:ascii="Times New Roman" w:cs="Times New Roman" w:eastAsia="Times New Roman" w:hAnsi="Times New Roman"/>
          <w:sz w:val="14"/>
          <w:szCs w:val="14"/>
          <w:color w:val="auto"/>
        </w:rPr>
        <w:t>”) listing standards, a majority of the members of a listed company’s board of directors must qualify as “independent,” as affirmatively determined by the board of directors. The board of directors consults with our counsel to ensure that its determinations are consistent with relevant securities and other laws and regulations regarding the definition of “independent,” including those set forth in pertinent listing standards of Nasdaq, as in effect from time to time.</w:t>
      </w:r>
    </w:p>
    <w:p>
      <w:pPr>
        <w:spacing w:after="0" w:line="135"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Consistent with these considerations, after review of all relevant identified transactions or relationships between each director, or any of his or her family members, and us, our senior management and our independent auditors, the board of directors has affirmatively determined that all of our current directors, other than Mr. Lo due to his positions as our current President and Chief Executive Officer, are independent within the meaning of the applicable Nasdaq listing standards. In making this determination, the board of directors found that none of the independent nominees for director had a material or other disqualifying relationship with Vaxart.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Leadership Structure</w:t>
      </w:r>
    </w:p>
    <w:p>
      <w:pPr>
        <w:spacing w:after="0" w:line="180"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We currently have separate individuals serving in the roles of Lead Director of the board of directors and Chief Executive Officer in recognition of the differences between the two roles. The board of directors believes that the decision as to whether the positions of Lead Director and Chief Executive Officer should be combined or separated, and whether an executive or an independent director should serve as Lead Director if the roles are split, should be based upon the particular circumstances facing the Company. The board of directors believes that it is important to retain the flexibility to allocate the responsibilities of the offices of Lead Director of the board of directors and Chief Executive Officer in any manner that it determines to be in the best interests of the Company and its stockholders. Our Chief Executive Officer is responsible for setting the strategic direction for the Company and the day-to-day leadership of the Company, while the Lead Director of the board of directors provides guidance to the Chief Executive Officer, prepares the agendas for board meetings, determines materials to be distributed to the board of directors, and presides over the meetings of the board of directors. We believe this balance of shared leadership between the two positions is appropriate and is a strength for the Company.</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jc w:val="both"/>
        <w:ind w:right="60" w:firstLine="254"/>
        <w:spacing w:after="0" w:line="286" w:lineRule="auto"/>
        <w:rPr>
          <w:sz w:val="20"/>
          <w:szCs w:val="20"/>
          <w:color w:val="auto"/>
        </w:rPr>
      </w:pPr>
      <w:r>
        <w:rPr>
          <w:rFonts w:ascii="Times New Roman" w:cs="Times New Roman" w:eastAsia="Times New Roman" w:hAnsi="Times New Roman"/>
          <w:sz w:val="14"/>
          <w:szCs w:val="14"/>
          <w:color w:val="auto"/>
        </w:rPr>
        <w:t>As discussed above, except for our Chief Executive Officer, our board of directors is comprised of independent directors. The active involvement of these independent directors, combined with the qualifications and significant responsibilities of our Chief Executive Officer, provide balance in the board of directors and promote strong, independent oversight of our management and affairs.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Role of the Board of Directors in Risk Oversight</w:t>
      </w:r>
    </w:p>
    <w:p>
      <w:pPr>
        <w:spacing w:after="0" w:line="180" w:lineRule="exact"/>
        <w:rPr>
          <w:sz w:val="20"/>
          <w:szCs w:val="20"/>
          <w:color w:val="auto"/>
        </w:rPr>
      </w:pPr>
    </w:p>
    <w:p>
      <w:pPr>
        <w:ind w:right="20" w:firstLine="254"/>
        <w:spacing w:after="0" w:line="258" w:lineRule="auto"/>
        <w:rPr>
          <w:sz w:val="20"/>
          <w:szCs w:val="20"/>
          <w:color w:val="auto"/>
        </w:rPr>
      </w:pPr>
      <w:r>
        <w:rPr>
          <w:rFonts w:ascii="Times New Roman" w:cs="Times New Roman" w:eastAsia="Times New Roman" w:hAnsi="Times New Roman"/>
          <w:sz w:val="14"/>
          <w:szCs w:val="14"/>
          <w:color w:val="auto"/>
        </w:rPr>
        <w:t>The board of directors has an active role, as a whole and also at the committee level, in overseeing management of Vaxart’s risks. The board of directors regularly reviews information regarding our credit, liquidity, and operations, as well as the risks associated with each. The Audit Committee’s charter mandates the Audit Committee to review and discuss with management and our independent registered public accounting firm, as appropriate, our major financial risk exposures and the steps taken by management to monitor and control these exposures. In addition, the Audit Committee discusses major financial, information security (including cybersecurity) and data privacy risk exposures and the steps management has taken to monitor and control such exposures. The Compensation Committee is responsible for overseeing the management of risks relating to our executive compensation plans and arrangements. The Nominating and Governance Committee manages risks associated with the independence of the board of directors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Meetings of the Board of Directors</w:t>
      </w:r>
    </w:p>
    <w:p>
      <w:pPr>
        <w:spacing w:after="0" w:line="180" w:lineRule="exact"/>
        <w:rPr>
          <w:sz w:val="20"/>
          <w:szCs w:val="20"/>
          <w:color w:val="auto"/>
        </w:rPr>
      </w:pPr>
    </w:p>
    <w:p>
      <w:pPr>
        <w:ind w:right="300" w:firstLine="254"/>
        <w:spacing w:after="0" w:line="286" w:lineRule="auto"/>
        <w:rPr>
          <w:sz w:val="20"/>
          <w:szCs w:val="20"/>
          <w:color w:val="auto"/>
        </w:rPr>
      </w:pPr>
      <w:r>
        <w:rPr>
          <w:rFonts w:ascii="Times New Roman" w:cs="Times New Roman" w:eastAsia="Times New Roman" w:hAnsi="Times New Roman"/>
          <w:sz w:val="14"/>
          <w:szCs w:val="14"/>
          <w:color w:val="auto"/>
        </w:rPr>
        <w:t>Our board of directors met eleven times during 2025. Each member of the board of directors attended 75% or more of the aggregate number of meetings of the board of directors and of the committees on which the member served, held during the portion of 2025 for which the member was a director or committee member.</w:t>
      </w:r>
    </w:p>
    <w:p>
      <w:pPr>
        <w:spacing w:after="0" w:line="125"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As required under applicable Nasdaq listing standards, during the fiscal year ended December 31, 2025, the Vaxart independent directors met at least twice in regularly scheduled executive sessions at which only independent directors were present. Dr. Michael J. Finney, the Board Chair, presided over the executive sessions until his retirement on September 30, 2025. W. Mark Watson, the Lead Director, presided over the executive sessions for the remainder of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Regarding Committees of the Board of Directors</w:t>
      </w:r>
    </w:p>
    <w:p>
      <w:pPr>
        <w:spacing w:after="0" w:line="180" w:lineRule="exact"/>
        <w:rPr>
          <w:sz w:val="20"/>
          <w:szCs w:val="20"/>
          <w:color w:val="auto"/>
        </w:rPr>
      </w:pPr>
    </w:p>
    <w:p>
      <w:pPr>
        <w:ind w:right="280" w:firstLine="254"/>
        <w:spacing w:after="0" w:line="269" w:lineRule="auto"/>
        <w:rPr>
          <w:sz w:val="20"/>
          <w:szCs w:val="20"/>
          <w:color w:val="auto"/>
        </w:rPr>
      </w:pPr>
      <w:r>
        <w:rPr>
          <w:rFonts w:ascii="Times New Roman" w:cs="Times New Roman" w:eastAsia="Times New Roman" w:hAnsi="Times New Roman"/>
          <w:sz w:val="14"/>
          <w:szCs w:val="14"/>
          <w:color w:val="auto"/>
        </w:rPr>
        <w:t xml:space="preserve">The board of directors has an Audit Committee, a Compensation Committee, and a Nominating and Governance Committee. The Science and Technology Committee was disbanded by the Company on September 30, 2025. The board of directors has adopted a written charter for each committee that is available to stockholders on the Investors section of our website at </w:t>
      </w:r>
      <w:r>
        <w:rPr>
          <w:rFonts w:ascii="Times New Roman" w:cs="Times New Roman" w:eastAsia="Times New Roman" w:hAnsi="Times New Roman"/>
          <w:sz w:val="14"/>
          <w:szCs w:val="14"/>
          <w:i w:val="1"/>
          <w:iCs w:val="1"/>
          <w:color w:val="auto"/>
        </w:rPr>
        <w:t>http://www.vaxart.com</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membership and meeting information for each of the committees of the board of directors during 2025:</w:t>
      </w:r>
    </w:p>
    <w:p>
      <w:pPr>
        <w:spacing w:after="0" w:line="176" w:lineRule="exact"/>
        <w:rPr>
          <w:sz w:val="20"/>
          <w:szCs w:val="20"/>
          <w:color w:val="auto"/>
        </w:rPr>
      </w:pPr>
    </w:p>
    <w:tbl>
      <w:tblPr>
        <w:tblLayout w:type="fixed"/>
        <w:tblInd w:w="38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Nominating</w:t>
            </w:r>
          </w:p>
        </w:tc>
      </w:tr>
      <w:tr>
        <w:trPr>
          <w:trHeight w:val="170"/>
        </w:trPr>
        <w:tc>
          <w:tcPr>
            <w:tcW w:w="2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and</w:t>
            </w:r>
          </w:p>
        </w:tc>
      </w:tr>
      <w:tr>
        <w:trPr>
          <w:trHeight w:val="186"/>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2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6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Governance</w:t>
            </w:r>
          </w:p>
        </w:tc>
      </w:tr>
      <w:tr>
        <w:trPr>
          <w:trHeight w:val="170"/>
        </w:trPr>
        <w:tc>
          <w:tcPr>
            <w:tcW w:w="29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Dr. Michael J. Finney</w:t>
            </w:r>
            <w:r>
              <w:rPr>
                <w:rFonts w:ascii="Times New Roman" w:cs="Times New Roman" w:eastAsia="Times New Roman" w:hAnsi="Times New Roman"/>
                <w:sz w:val="19"/>
                <w:szCs w:val="19"/>
                <w:color w:val="auto"/>
                <w:vertAlign w:val="superscript"/>
              </w:rPr>
              <w:t>(1)</w:t>
            </w:r>
          </w:p>
        </w:tc>
        <w:tc>
          <w:tcPr>
            <w:tcW w:w="28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Elaine J. Heron, Ph.D.</w:t>
            </w:r>
          </w:p>
        </w:tc>
        <w:tc>
          <w:tcPr>
            <w:tcW w:w="28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Lo</w:t>
            </w:r>
          </w:p>
        </w:tc>
        <w:tc>
          <w:tcPr>
            <w:tcW w:w="28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r>
      <w:tr>
        <w:trPr>
          <w:trHeight w:val="170"/>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W. Mark Watson</w:t>
            </w:r>
          </w:p>
        </w:tc>
        <w:tc>
          <w:tcPr>
            <w:tcW w:w="2800" w:type="dxa"/>
            <w:vAlign w:val="bottom"/>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tcPr>
          <w:p>
            <w:pPr>
              <w:spacing w:after="0"/>
              <w:rPr>
                <w:sz w:val="14"/>
                <w:szCs w:val="14"/>
                <w:color w:val="auto"/>
              </w:rPr>
            </w:pPr>
          </w:p>
        </w:tc>
      </w:tr>
      <w:tr>
        <w:trPr>
          <w:trHeight w:val="170"/>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2800" w:type="dxa"/>
            <w:vAlign w:val="bottom"/>
            <w:shd w:val="clear" w:color="auto" w:fill="CCEEFF"/>
          </w:tcPr>
          <w:p>
            <w:pPr>
              <w:spacing w:after="0"/>
              <w:rPr>
                <w:sz w:val="14"/>
                <w:szCs w:val="14"/>
                <w:color w:val="auto"/>
              </w:rPr>
            </w:pPr>
          </w:p>
        </w:tc>
        <w:tc>
          <w:tcPr>
            <w:tcW w:w="22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980" w:type="dxa"/>
            <w:vAlign w:val="bottom"/>
          </w:tcPr>
          <w:p>
            <w:pPr>
              <w:spacing w:after="0" w:line="170" w:lineRule="exact"/>
              <w:rPr>
                <w:sz w:val="20"/>
                <w:szCs w:val="20"/>
                <w:color w:val="auto"/>
              </w:rPr>
            </w:pPr>
            <w:r>
              <w:rPr>
                <w:rFonts w:ascii="Times New Roman" w:cs="Times New Roman" w:eastAsia="Times New Roman" w:hAnsi="Times New Roman"/>
                <w:sz w:val="12"/>
                <w:szCs w:val="12"/>
                <w:color w:val="auto"/>
              </w:rPr>
              <w:t>Robert A. Yedid</w:t>
            </w:r>
            <w:r>
              <w:rPr>
                <w:rFonts w:ascii="Times New Roman" w:cs="Times New Roman" w:eastAsia="Times New Roman" w:hAnsi="Times New Roman"/>
                <w:sz w:val="19"/>
                <w:szCs w:val="19"/>
                <w:color w:val="auto"/>
                <w:vertAlign w:val="superscript"/>
              </w:rPr>
              <w:t>(2)</w:t>
            </w:r>
          </w:p>
        </w:tc>
        <w:tc>
          <w:tcPr>
            <w:tcW w:w="2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0"/>
        </w:trPr>
        <w:tc>
          <w:tcPr>
            <w:tcW w:w="298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2"/>
                <w:szCs w:val="12"/>
                <w:color w:val="auto"/>
              </w:rPr>
              <w:t>Kevin P. Finney</w:t>
            </w:r>
            <w:r>
              <w:rPr>
                <w:rFonts w:ascii="Times New Roman" w:cs="Times New Roman" w:eastAsia="Times New Roman" w:hAnsi="Times New Roman"/>
                <w:sz w:val="19"/>
                <w:szCs w:val="19"/>
                <w:color w:val="auto"/>
                <w:vertAlign w:val="superscript"/>
              </w:rPr>
              <w:t>(3)</w:t>
            </w:r>
          </w:p>
        </w:tc>
        <w:tc>
          <w:tcPr>
            <w:tcW w:w="280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shd w:val="clear" w:color="auto" w:fill="CCEEFF"/>
          </w:tcPr>
          <w:p>
            <w:pPr>
              <w:spacing w:after="0"/>
              <w:rPr>
                <w:sz w:val="14"/>
                <w:szCs w:val="14"/>
                <w:color w:val="auto"/>
              </w:rPr>
            </w:pPr>
          </w:p>
        </w:tc>
        <w:tc>
          <w:tcPr>
            <w:tcW w:w="26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242570</wp:posOffset>
            </wp:positionV>
            <wp:extent cx="71374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Committee Chair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Dr. Michael J. Finney resigned from the Board and committees in September 2025.</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200" w:hanging="195"/>
        <w:spacing w:after="0"/>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A. Yedid resigned from the Board and committees in January 2025.</w:t>
      </w:r>
    </w:p>
    <w:p>
      <w:pPr>
        <w:spacing w:after="0" w:line="178"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Kevin P. Finney was appointed to the Board and associated committees in January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Committees of the Board of Directors</w:t>
      </w:r>
    </w:p>
    <w:p>
      <w:pPr>
        <w:spacing w:after="0" w:line="180" w:lineRule="exact"/>
        <w:rPr>
          <w:sz w:val="20"/>
          <w:szCs w:val="20"/>
          <w:color w:val="auto"/>
        </w:rPr>
      </w:pPr>
    </w:p>
    <w:p>
      <w:pPr>
        <w:ind w:right="80" w:firstLine="254"/>
        <w:spacing w:after="0" w:line="286" w:lineRule="auto"/>
        <w:rPr>
          <w:sz w:val="20"/>
          <w:szCs w:val="20"/>
          <w:color w:val="auto"/>
        </w:rPr>
      </w:pPr>
      <w:r>
        <w:rPr>
          <w:rFonts w:ascii="Times New Roman" w:cs="Times New Roman" w:eastAsia="Times New Roman" w:hAnsi="Times New Roman"/>
          <w:sz w:val="14"/>
          <w:szCs w:val="14"/>
          <w:color w:val="auto"/>
        </w:rPr>
        <w:t>Below is a description of the Audit Committee, Compensation Committee, and Nominating and Governance Committee of the board of directors. Each of the committees has authority to engage legal counsel or other experts or consultants, as it deems appropriate to carry out its responsibilities.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Audit Committee</w:t>
      </w:r>
    </w:p>
    <w:p>
      <w:pPr>
        <w:spacing w:after="0" w:line="18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The members of our Audit Committee are Mr. Kevin P. Finney, Dr. Heron, and Mr. Watson. Mr. Watson serves as Chair of the Audit Committee. The board of directors reviews the Nasdaq listing standards definition of independence for Audit Committee members on an annual basis and has determined that all members of the Audit Committee are independent (as independence is currently defined in Rule 5605(c)(2)(A)(i) and (ii) of the Nasdaq listing standards). The Audit Committee held four meetings and acted through written consent in lieu of holding a meeting two times during 2025.</w:t>
      </w:r>
    </w:p>
    <w:p>
      <w:pPr>
        <w:spacing w:after="0" w:line="140" w:lineRule="exact"/>
        <w:rPr>
          <w:sz w:val="20"/>
          <w:szCs w:val="20"/>
          <w:color w:val="auto"/>
        </w:rPr>
      </w:pPr>
    </w:p>
    <w:p>
      <w:pPr>
        <w:jc w:val="both"/>
        <w:ind w:right="80" w:firstLine="254"/>
        <w:spacing w:after="0" w:line="269" w:lineRule="auto"/>
        <w:rPr>
          <w:sz w:val="20"/>
          <w:szCs w:val="20"/>
          <w:color w:val="auto"/>
        </w:rPr>
      </w:pPr>
      <w:r>
        <w:rPr>
          <w:rFonts w:ascii="Times New Roman" w:cs="Times New Roman" w:eastAsia="Times New Roman" w:hAnsi="Times New Roman"/>
          <w:sz w:val="14"/>
          <w:szCs w:val="14"/>
          <w:color w:val="auto"/>
        </w:rPr>
        <w:t>The board of directors determined that Mr. Watson qualifies as an “audit committee financial expert,” as defined in applicable SEC rules. The board of directors made a qualitative assessment of Mr. Watson’s level of knowledge and experience based on a number of factors, including Mr. Watson’s over 40 years of experience in public accounting and auditing and status as a Certified Public Accountant.</w:t>
      </w:r>
    </w:p>
    <w:p>
      <w:pPr>
        <w:spacing w:after="0" w:line="137" w:lineRule="exact"/>
        <w:rPr>
          <w:sz w:val="20"/>
          <w:szCs w:val="20"/>
          <w:color w:val="auto"/>
        </w:rPr>
      </w:pPr>
    </w:p>
    <w:p>
      <w:pPr>
        <w:ind w:right="500" w:firstLine="254"/>
        <w:spacing w:after="0" w:line="286" w:lineRule="auto"/>
        <w:rPr>
          <w:sz w:val="20"/>
          <w:szCs w:val="20"/>
          <w:color w:val="auto"/>
        </w:rPr>
      </w:pPr>
      <w:r>
        <w:rPr>
          <w:rFonts w:ascii="Times New Roman" w:cs="Times New Roman" w:eastAsia="Times New Roman" w:hAnsi="Times New Roman"/>
          <w:sz w:val="14"/>
          <w:szCs w:val="14"/>
          <w:color w:val="auto"/>
        </w:rPr>
        <w:t>The primary purpose of the Audit Committee is to discharge the responsibilities of the board of directors with respect to our accounting, financial, and other reporting and internal control practices and to oversee its independent registered accounting firm. Specific responsibilities of the Audit Committee include:</w:t>
      </w:r>
    </w:p>
    <w:p>
      <w:pPr>
        <w:spacing w:after="0" w:line="125" w:lineRule="exact"/>
        <w:rPr>
          <w:sz w:val="20"/>
          <w:szCs w:val="20"/>
          <w:color w:val="auto"/>
        </w:rPr>
      </w:pPr>
    </w:p>
    <w:p>
      <w:pPr>
        <w:ind w:left="1020" w:hanging="1015"/>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a qualified firm to serve as the independent registered public accounting firm to audit the Company’s financial statements;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to ensure the independence and performance of the independent registered public accounting firm;</w:t>
      </w:r>
    </w:p>
    <w:p>
      <w:pPr>
        <w:spacing w:after="0" w:line="178" w:lineRule="exact"/>
        <w:rPr>
          <w:rFonts w:ascii="Times New Roman" w:cs="Times New Roman" w:eastAsia="Times New Roman" w:hAnsi="Times New Roman"/>
          <w:sz w:val="14"/>
          <w:szCs w:val="14"/>
          <w:color w:val="auto"/>
        </w:rPr>
      </w:pPr>
    </w:p>
    <w:p>
      <w:pPr>
        <w:ind w:left="1020" w:right="100" w:hanging="1015"/>
        <w:spacing w:after="0" w:line="286" w:lineRule="auto"/>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the scope and results of the audit with the independent registered public accounting firm, and reviewing, with management and the independent auditors, the Company’s interim and year-end operating results;</w:t>
      </w:r>
    </w:p>
    <w:p>
      <w:pPr>
        <w:spacing w:after="0" w:line="125"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procedures for employees to anonymously submit concerns about questionable accounting, ethical, and auditing matters;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policies on risk assessment and risk management;</w:t>
      </w:r>
    </w:p>
    <w:p>
      <w:pPr>
        <w:spacing w:after="0" w:line="176" w:lineRule="exact"/>
        <w:rPr>
          <w:rFonts w:ascii="Times New Roman" w:cs="Times New Roman" w:eastAsia="Times New Roman" w:hAnsi="Times New Roman"/>
          <w:sz w:val="14"/>
          <w:szCs w:val="14"/>
          <w:color w:val="auto"/>
        </w:rPr>
      </w:pPr>
    </w:p>
    <w:p>
      <w:pPr>
        <w:ind w:left="1020" w:hanging="1015"/>
        <w:spacing w:after="0" w:line="289" w:lineRule="auto"/>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with management the type and presentation of the Company’s environmental, social and governance (“</w:t>
      </w:r>
      <w:r>
        <w:rPr>
          <w:rFonts w:ascii="Times New Roman" w:cs="Times New Roman" w:eastAsia="Times New Roman" w:hAnsi="Times New Roman"/>
          <w:sz w:val="14"/>
          <w:szCs w:val="14"/>
          <w:i w:val="1"/>
          <w:iCs w:val="1"/>
          <w:color w:val="auto"/>
        </w:rPr>
        <w:t>ESG</w:t>
      </w:r>
      <w:r>
        <w:rPr>
          <w:rFonts w:ascii="Times New Roman" w:cs="Times New Roman" w:eastAsia="Times New Roman" w:hAnsi="Times New Roman"/>
          <w:sz w:val="14"/>
          <w:szCs w:val="14"/>
          <w:color w:val="auto"/>
        </w:rPr>
        <w:t>”) disclosures and the adequacy and effectiveness of applicable internal controls related to such disclosures;</w:t>
      </w:r>
    </w:p>
    <w:p>
      <w:pPr>
        <w:spacing w:after="0" w:line="123"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party transactions in accordance with the Company’s policies and procedures with respect to related party transactions;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cyber risk on a quarterly basis and reporting to the board of directors;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jc w:val="both"/>
        <w:ind w:left="1020" w:right="60" w:hanging="1015"/>
        <w:spacing w:after="0" w:line="269" w:lineRule="auto"/>
        <w:tabs>
          <w:tab w:leader="none" w:pos="1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and reviewing a report by the independent registered public accounting firm at least annually, that describes the independent auditor’s internal quality control procedures, any material issues with such procedures, and any steps taken to deal with such issues when required by applicable law, as well as all relationships between the independent auditor and the Company or any of its subsidiaries; and</w:t>
      </w:r>
    </w:p>
    <w:p>
      <w:pPr>
        <w:spacing w:after="0" w:line="137" w:lineRule="exact"/>
        <w:rPr>
          <w:rFonts w:ascii="Times New Roman" w:cs="Times New Roman" w:eastAsia="Times New Roman" w:hAnsi="Times New Roman"/>
          <w:sz w:val="14"/>
          <w:szCs w:val="14"/>
          <w:color w:val="auto"/>
        </w:rPr>
      </w:pPr>
    </w:p>
    <w:p>
      <w:pPr>
        <w:ind w:left="1020" w:right="60" w:hanging="1015"/>
        <w:spacing w:after="0" w:line="286" w:lineRule="auto"/>
        <w:tabs>
          <w:tab w:leader="none" w:pos="10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permitted, pre-approving) all audit and all permissible non-audit services, other than de minimis non-audit services, to be performed by the independent registered public accounting firm.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Report of the Audit Committee of the Board of Directors</w:t>
      </w:r>
    </w:p>
    <w:p>
      <w:pPr>
        <w:spacing w:after="0" w:line="180" w:lineRule="exact"/>
        <w:rPr>
          <w:sz w:val="20"/>
          <w:szCs w:val="20"/>
          <w:color w:val="auto"/>
        </w:rPr>
      </w:pPr>
    </w:p>
    <w:p>
      <w:pPr>
        <w:ind w:right="40" w:firstLine="254"/>
        <w:spacing w:after="0" w:line="172" w:lineRule="exact"/>
        <w:rPr>
          <w:sz w:val="20"/>
          <w:szCs w:val="20"/>
          <w:color w:val="auto"/>
        </w:rPr>
      </w:pPr>
      <w:r>
        <w:rPr>
          <w:rFonts w:ascii="Times New Roman" w:cs="Times New Roman" w:eastAsia="Times New Roman" w:hAnsi="Times New Roman"/>
          <w:sz w:val="14"/>
          <w:szCs w:val="14"/>
          <w:color w:val="auto"/>
        </w:rPr>
        <w:t>The Audit Committee reviewed and discussed the audited financial statements for the year ended December 31, 2025 with Vaxart’s management. The Audit Committee discussed with Vaxart’s independent registered public accounting firm the matters required to be discussed by the applicable requirements of the Public Company Accounting Oversight Board (“</w:t>
      </w:r>
      <w:r>
        <w:rPr>
          <w:rFonts w:ascii="Times New Roman" w:cs="Times New Roman" w:eastAsia="Times New Roman" w:hAnsi="Times New Roman"/>
          <w:sz w:val="14"/>
          <w:szCs w:val="14"/>
          <w:i w:val="1"/>
          <w:iCs w:val="1"/>
          <w:color w:val="auto"/>
        </w:rPr>
        <w:t>PCAOB</w:t>
      </w:r>
      <w:r>
        <w:rPr>
          <w:rFonts w:ascii="Times New Roman" w:cs="Times New Roman" w:eastAsia="Times New Roman" w:hAnsi="Times New Roman"/>
          <w:sz w:val="14"/>
          <w:szCs w:val="14"/>
          <w:color w:val="auto"/>
        </w:rPr>
        <w:t>”) and the SEC. The Audit Committee also received the written disclosures and the letter from Vaxart’s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recommended to the board of directors that the audited financial statements be included in Vaxart’s Annual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for the year ended December 31, 2025.</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Respectfully submitted by the members of the Audit Committee: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 Mark Watson (Lead Director)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Kevin P. Finney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Elaine J. Heron, Ph.D.</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The material in this report is not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soliciting material,</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is not deemed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filed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with the Commission and is not to be incorporated by reference in any filing of Vaxart under the Securities Act of 1933, as amended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 Act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or the Securities Exchange Act of 1934, as amended (the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whether made before or after the date hereof and irrespective of any general incorporation language in any such filing.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Compensation Committee</w:t>
      </w:r>
    </w:p>
    <w:p>
      <w:pPr>
        <w:spacing w:after="0" w:line="180" w:lineRule="exact"/>
        <w:rPr>
          <w:sz w:val="20"/>
          <w:szCs w:val="20"/>
          <w:color w:val="auto"/>
        </w:rPr>
      </w:pPr>
    </w:p>
    <w:p>
      <w:pPr>
        <w:ind w:right="120" w:firstLine="254"/>
        <w:spacing w:after="0" w:line="269" w:lineRule="auto"/>
        <w:rPr>
          <w:sz w:val="20"/>
          <w:szCs w:val="20"/>
          <w:color w:val="auto"/>
        </w:rPr>
      </w:pPr>
      <w:r>
        <w:rPr>
          <w:rFonts w:ascii="Times New Roman" w:cs="Times New Roman" w:eastAsia="Times New Roman" w:hAnsi="Times New Roman"/>
          <w:sz w:val="14"/>
          <w:szCs w:val="14"/>
          <w:color w:val="auto"/>
        </w:rPr>
        <w:t>The members of our Compensation Committee are Dr. Heron, Mr. Watson, and Dr. Wheadon. Dr. Wheadon serves as Chair of the Compensation Committee. All members of the Compensation Committee are independent (as independence is currently defined in Rule 5605(d)(2) of the Nasdaq listing standards). The Compensation Committee held five meetings and acted through written consent in lieu of holding a meeting two times during 2025.</w:t>
      </w:r>
    </w:p>
    <w:p>
      <w:pPr>
        <w:spacing w:after="0" w:line="137" w:lineRule="exact"/>
        <w:rPr>
          <w:sz w:val="20"/>
          <w:szCs w:val="20"/>
          <w:color w:val="auto"/>
        </w:rPr>
      </w:pPr>
    </w:p>
    <w:p>
      <w:pPr>
        <w:ind w:right="220" w:firstLine="254"/>
        <w:spacing w:after="0" w:line="286" w:lineRule="auto"/>
        <w:rPr>
          <w:sz w:val="20"/>
          <w:szCs w:val="20"/>
          <w:color w:val="auto"/>
        </w:rPr>
      </w:pPr>
      <w:r>
        <w:rPr>
          <w:rFonts w:ascii="Times New Roman" w:cs="Times New Roman" w:eastAsia="Times New Roman" w:hAnsi="Times New Roman"/>
          <w:sz w:val="14"/>
          <w:szCs w:val="14"/>
          <w:color w:val="auto"/>
        </w:rPr>
        <w:t>The primary purpose of the Compensation Committee is to discharge the responsibilities of the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125" w:lineRule="exact"/>
        <w:rPr>
          <w:sz w:val="20"/>
          <w:szCs w:val="20"/>
          <w:color w:val="auto"/>
        </w:rPr>
      </w:pPr>
    </w:p>
    <w:p>
      <w:pPr>
        <w:ind w:left="1020" w:hanging="1015"/>
        <w:spacing w:after="0"/>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recommending that our board of directors approve, the compensation of our executive officers;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our board of directors the compensation of our directors;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recommending that our board of directors approve, the terms of compensatory arrangements with our executive officers;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administering our stock and equity compensation, incentive compensation, and other employee benefit plans;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020" w:right="100" w:hanging="1015"/>
        <w:spacing w:after="0" w:line="286"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periodically reviewing, and consulting with and advising management on, the Company’s strategies and policies related to human capital management, including talent acquisition, development and retention, internal pay equity, diversity and inclusion and corporate culture;</w:t>
      </w:r>
    </w:p>
    <w:p>
      <w:pPr>
        <w:spacing w:after="0" w:line="125"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succession process for leadership talent for the Company, including for the CEO and selected senior executives;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independent compensation consultants and assessing whether there are any conflicts of interest with any of the committee’s compensation advisers;</w:t>
      </w:r>
    </w:p>
    <w:p>
      <w:pPr>
        <w:spacing w:after="0" w:line="178" w:lineRule="exact"/>
        <w:rPr>
          <w:rFonts w:ascii="Times New Roman" w:cs="Times New Roman" w:eastAsia="Times New Roman" w:hAnsi="Times New Roman"/>
          <w:sz w:val="14"/>
          <w:szCs w:val="14"/>
          <w:color w:val="auto"/>
        </w:rPr>
      </w:pPr>
    </w:p>
    <w:p>
      <w:pPr>
        <w:ind w:left="1020" w:right="120" w:hanging="1015"/>
        <w:spacing w:after="0" w:line="286" w:lineRule="auto"/>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 and</w:t>
      </w:r>
    </w:p>
    <w:p>
      <w:pPr>
        <w:spacing w:after="0" w:line="125"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and reviewing our overall compensation philosophy.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Compensation Committee Processes and Procedures</w:t>
      </w:r>
    </w:p>
    <w:p>
      <w:pPr>
        <w:spacing w:after="0" w:line="180" w:lineRule="exact"/>
        <w:rPr>
          <w:sz w:val="20"/>
          <w:szCs w:val="20"/>
          <w:color w:val="auto"/>
        </w:rPr>
      </w:pPr>
    </w:p>
    <w:p>
      <w:pPr>
        <w:ind w:right="80" w:firstLine="254"/>
        <w:spacing w:after="0" w:line="259" w:lineRule="auto"/>
        <w:rPr>
          <w:sz w:val="20"/>
          <w:szCs w:val="20"/>
          <w:color w:val="auto"/>
        </w:rPr>
      </w:pPr>
      <w:r>
        <w:rPr>
          <w:rFonts w:ascii="Times New Roman" w:cs="Times New Roman" w:eastAsia="Times New Roman" w:hAnsi="Times New Roman"/>
          <w:sz w:val="14"/>
          <w:szCs w:val="14"/>
          <w:color w:val="auto"/>
        </w:rPr>
        <w:t>Typically, the Compensation Committee will meet at least twice annually and with greater frequency if necessary. The agenda for each meeting is usually developed by the Chair of the Compensation Committee, in consultation with the Chief Executive Officer.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or her compensation. The charter of the Compensation Committee grants the Compensation Committee full access to all books, records, facilities, and personnel of the Company.</w:t>
      </w:r>
    </w:p>
    <w:p>
      <w:pPr>
        <w:spacing w:after="0" w:line="145" w:lineRule="exact"/>
        <w:rPr>
          <w:sz w:val="20"/>
          <w:szCs w:val="20"/>
          <w:color w:val="auto"/>
        </w:rPr>
      </w:pPr>
    </w:p>
    <w:p>
      <w:pPr>
        <w:ind w:right="360" w:firstLine="254"/>
        <w:spacing w:after="0" w:line="261" w:lineRule="auto"/>
        <w:rPr>
          <w:sz w:val="20"/>
          <w:szCs w:val="20"/>
          <w:color w:val="auto"/>
        </w:rPr>
      </w:pPr>
      <w:r>
        <w:rPr>
          <w:rFonts w:ascii="Times New Roman" w:cs="Times New Roman" w:eastAsia="Times New Roman" w:hAnsi="Times New Roman"/>
          <w:sz w:val="14"/>
          <w:szCs w:val="14"/>
          <w:color w:val="auto"/>
        </w:rPr>
        <w:t>The Compensation Committee charter authorizes the Compensation Committee to delegate authority to one or more members of the Compensation Committee or to one or more executive officers of the Company, and to form and delegate authority to one or more subcommittees and to one or more committees of executive officers of the Company for any purpose that the Compensation Committee deems appropriate, except that the Compensation Committee may not delegate authority to approve compensation for the Company’s Chief Executive Officer or other officers of the Company subject to the reporting requirements under Section 16(a) of the Exchange Act, unless such delegation is to a subcommittee consisting of at least two members of the Compensation Committee.</w:t>
      </w:r>
    </w:p>
    <w:p>
      <w:pPr>
        <w:spacing w:after="0" w:line="142" w:lineRule="exact"/>
        <w:rPr>
          <w:sz w:val="20"/>
          <w:szCs w:val="20"/>
          <w:color w:val="auto"/>
        </w:rPr>
      </w:pPr>
    </w:p>
    <w:p>
      <w:pPr>
        <w:ind w:right="240" w:firstLine="254"/>
        <w:spacing w:after="0" w:line="261" w:lineRule="auto"/>
        <w:rPr>
          <w:sz w:val="20"/>
          <w:szCs w:val="20"/>
          <w:color w:val="auto"/>
        </w:rPr>
      </w:pPr>
      <w:r>
        <w:rPr>
          <w:rFonts w:ascii="Times New Roman" w:cs="Times New Roman" w:eastAsia="Times New Roman" w:hAnsi="Times New Roman"/>
          <w:sz w:val="14"/>
          <w:szCs w:val="14"/>
          <w:color w:val="auto"/>
        </w:rPr>
        <w:t>In addition, under its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During 2025, the Compensation Committee approved the continued engagement of Aon Consulting, Inc. (“</w:t>
      </w:r>
      <w:r>
        <w:rPr>
          <w:rFonts w:ascii="Times New Roman" w:cs="Times New Roman" w:eastAsia="Times New Roman" w:hAnsi="Times New Roman"/>
          <w:sz w:val="14"/>
          <w:szCs w:val="14"/>
          <w:i w:val="1"/>
          <w:iCs w:val="1"/>
          <w:color w:val="auto"/>
        </w:rPr>
        <w:t>Aon</w:t>
      </w:r>
      <w:r>
        <w:rPr>
          <w:rFonts w:ascii="Times New Roman" w:cs="Times New Roman" w:eastAsia="Times New Roman" w:hAnsi="Times New Roman"/>
          <w:sz w:val="14"/>
          <w:szCs w:val="14"/>
          <w:color w:val="auto"/>
        </w:rPr>
        <w:t>”) to provide advisory services on various aspects of the Company’s compensation practices. In fiscal year 2025, the aggregate fees paid to Aon for all services totaled $201,046, of which $153,149 has been expended for insurance brokerage-related services performed at the recommendation of management.</w:t>
      </w:r>
    </w:p>
    <w:p>
      <w:pPr>
        <w:spacing w:after="0" w:line="142"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Nominating and Governance Committee</w:t>
      </w:r>
    </w:p>
    <w:p>
      <w:pPr>
        <w:spacing w:after="0" w:line="180" w:lineRule="exact"/>
        <w:rPr>
          <w:sz w:val="20"/>
          <w:szCs w:val="20"/>
          <w:color w:val="auto"/>
        </w:rPr>
      </w:pPr>
    </w:p>
    <w:p>
      <w:pPr>
        <w:ind w:right="140" w:firstLine="254"/>
        <w:spacing w:after="0" w:line="264" w:lineRule="auto"/>
        <w:rPr>
          <w:sz w:val="20"/>
          <w:szCs w:val="20"/>
          <w:color w:val="auto"/>
        </w:rPr>
      </w:pPr>
      <w:r>
        <w:rPr>
          <w:rFonts w:ascii="Times New Roman" w:cs="Times New Roman" w:eastAsia="Times New Roman" w:hAnsi="Times New Roman"/>
          <w:sz w:val="14"/>
          <w:szCs w:val="14"/>
          <w:color w:val="auto"/>
        </w:rPr>
        <w:t>The members of our Nominating and Governance Committee are Mr. Kevin P. Finney, Dr. Heron, and Dr. Wheadon. Dr. Heron serves as Chair of the Nominating and Governance Committee. Each of the members of the Nominating and Governance Committee are independent (as independence is currently defined in Rule 5605(a)(2) of the Nasdaq listing standards). The Nominating and Governance Committee held four meetings and acted by written consent in lieu of holding meetings one time during 2025. Specific responsibilities of the Nominating and Governance Committee include:</w:t>
      </w:r>
    </w:p>
    <w:p>
      <w:pPr>
        <w:spacing w:after="0" w:line="140" w:lineRule="exact"/>
        <w:rPr>
          <w:sz w:val="20"/>
          <w:szCs w:val="20"/>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and selecting, or recommending that the board of directors approve, nominees for election to the board of directors;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annual evaluation of the effectiveness and performance of the board of directors, and periodically conducting an individual evaluation of each director;</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the board of directors regarding the composition of the committees of the board of directors;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developments in corporate governance practices;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adequacy of corporate governance practices and reporting;</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succession plans for key executive officers;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the board of directors regarding corporate governance guidelines and matters;</w:t>
      </w:r>
    </w:p>
    <w:p>
      <w:pPr>
        <w:spacing w:after="0" w:line="178" w:lineRule="exact"/>
        <w:rPr>
          <w:rFonts w:ascii="Times New Roman" w:cs="Times New Roman" w:eastAsia="Times New Roman" w:hAnsi="Times New Roman"/>
          <w:sz w:val="14"/>
          <w:szCs w:val="14"/>
          <w:color w:val="auto"/>
        </w:rPr>
      </w:pPr>
    </w:p>
    <w:p>
      <w:pPr>
        <w:ind w:left="1020" w:right="80" w:hanging="1015"/>
        <w:spacing w:after="0" w:line="286" w:lineRule="auto"/>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assisting in overseeing and monitoring the Company’s approach and strategy relating to environmental, legal and social responsibility, diversity, and other corporate citizenship and sustainability matters; and</w:t>
      </w:r>
    </w:p>
    <w:p>
      <w:pPr>
        <w:spacing w:after="0" w:line="125"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an annual evaluation of the board of directors’ performance.</w:t>
      </w:r>
    </w:p>
    <w:p>
      <w:pPr>
        <w:spacing w:after="0" w:line="178" w:lineRule="exact"/>
        <w:rPr>
          <w:sz w:val="20"/>
          <w:szCs w:val="20"/>
          <w:color w:val="auto"/>
        </w:rPr>
      </w:pPr>
    </w:p>
    <w:p>
      <w:pPr>
        <w:ind w:right="160" w:firstLine="254"/>
        <w:spacing w:after="0" w:line="258" w:lineRule="auto"/>
        <w:rPr>
          <w:sz w:val="20"/>
          <w:szCs w:val="20"/>
          <w:color w:val="auto"/>
        </w:rPr>
      </w:pPr>
      <w:r>
        <w:rPr>
          <w:rFonts w:ascii="Times New Roman" w:cs="Times New Roman" w:eastAsia="Times New Roman" w:hAnsi="Times New Roman"/>
          <w:sz w:val="14"/>
          <w:szCs w:val="14"/>
          <w:color w:val="auto"/>
        </w:rPr>
        <w:t>The Nominating and Governance Committee believes that candidates for director should have certain minimum qualifications, including the ability to read and understand basic financial statements, being over 21 years of age and having the highest personal integrity and ethics. The Nominating and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However, the Nominating and Governance Committee retains the right to modify these qualifications from time to time. Candidates for director nominees are reviewed in the context of the current composition of the board of directors, the operating requirements of the Company and the long-term interests of stockholders. In conducting this assessment, the Nominating and Governance Committee typically considers diversity, age, skills, and such other factors as it deems appropriate, given the current needs of the board and the Company, to maintain a balance of knowledge, experience, and capability.</w:t>
      </w:r>
    </w:p>
    <w:p>
      <w:pPr>
        <w:spacing w:after="0" w:line="145" w:lineRule="exact"/>
        <w:rPr>
          <w:sz w:val="20"/>
          <w:szCs w:val="20"/>
          <w:color w:val="auto"/>
        </w:rPr>
      </w:pPr>
    </w:p>
    <w:p>
      <w:pPr>
        <w:ind w:firstLine="254"/>
        <w:spacing w:after="0" w:line="257" w:lineRule="auto"/>
        <w:rPr>
          <w:sz w:val="20"/>
          <w:szCs w:val="20"/>
          <w:color w:val="auto"/>
        </w:rPr>
      </w:pPr>
      <w:r>
        <w:rPr>
          <w:rFonts w:ascii="Times New Roman" w:cs="Times New Roman" w:eastAsia="Times New Roman" w:hAnsi="Times New Roman"/>
          <w:sz w:val="14"/>
          <w:szCs w:val="14"/>
          <w:color w:val="auto"/>
        </w:rPr>
        <w:t>In the case of incumbent directors whose terms of office are set to expire, the Nominating and Governance Committee reviews these directors’ overall service to Vaxart during their terms, including the number of meetings attended, level of participation, quality of performance and any other relationships and transactions that might impair the directors’ independence. The Nominating and Governance Committee also takes into account the results of the board of directors’ self-evaluation, conducted annually on a group and individual basis. In the case of new director candidates, the Nominating and Governance Committee also determines whether the nominee is independent for Nasdaq purposes, which determination is based upon applicable Nasdaq listing standards, applicable SEC rules and regulations, and the advice of counsel, if necessary. The Nominating and Governance Committee then uses its network of contacts to compile a list of potential candidates, but may also engage, if it deems appropriate, a professional search firm to identify director candidates. The Nominating and Governance Committee conducts any appropriate and necessary inquiries into the backgrounds and qualifications of possible candidates after considering the function and needs of the board of directors. The Nominating and Governance Committee meets to discuss and consider the candidates’ qualifications and then selects a nominee for recommendation to the board of directors by majority vote.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60" w:firstLine="254"/>
        <w:spacing w:after="0" w:line="258" w:lineRule="auto"/>
        <w:rPr>
          <w:sz w:val="20"/>
          <w:szCs w:val="20"/>
          <w:color w:val="auto"/>
        </w:rPr>
      </w:pPr>
      <w:r>
        <w:rPr>
          <w:rFonts w:ascii="Times New Roman" w:cs="Times New Roman" w:eastAsia="Times New Roman" w:hAnsi="Times New Roman"/>
          <w:sz w:val="14"/>
          <w:szCs w:val="14"/>
          <w:color w:val="auto"/>
        </w:rPr>
        <w:t>The Nominating and Governance Committee will consider director candidates recommended by stockholders. The Nominating and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Governance Committee to become nominees for election to the board of directors may do so by delivering a written recommendation to the Nominating and Governance Committee at the following address: 310 Utah Avenue, Suite 150, South San Francisco, CA 94080.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Vaxart’s stock and has been a holder for at least one year. Any such submission must be accompanied by the written consent of the proposed nominee to be named as a nominee and to serve as a director if elected.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Stockholder Communications with the Board of Directors</w:t>
      </w:r>
    </w:p>
    <w:p>
      <w:pPr>
        <w:spacing w:after="0" w:line="180" w:lineRule="exact"/>
        <w:rPr>
          <w:sz w:val="20"/>
          <w:szCs w:val="20"/>
          <w:color w:val="auto"/>
        </w:rPr>
      </w:pPr>
    </w:p>
    <w:p>
      <w:pPr>
        <w:jc w:val="both"/>
        <w:ind w:right="80" w:firstLine="254"/>
        <w:spacing w:after="0" w:line="269" w:lineRule="auto"/>
        <w:rPr>
          <w:sz w:val="20"/>
          <w:szCs w:val="20"/>
          <w:color w:val="auto"/>
        </w:rPr>
      </w:pPr>
      <w:r>
        <w:rPr>
          <w:rFonts w:ascii="Times New Roman" w:cs="Times New Roman" w:eastAsia="Times New Roman" w:hAnsi="Times New Roman"/>
          <w:sz w:val="14"/>
          <w:szCs w:val="14"/>
          <w:color w:val="auto"/>
        </w:rPr>
        <w:t>Communications addressed to the board of directors will be reviewed by one or more Vaxart executive officers, who will determine whether the communication should be presented to the board of directors. The purpose of this screening is to allow the board of directors to avoid having to consider irrelevant or inappropriate communications (such as advertisements, solicitations, and hostile communications).</w:t>
      </w:r>
    </w:p>
    <w:p>
      <w:pPr>
        <w:spacing w:after="0" w:line="137" w:lineRule="exact"/>
        <w:rPr>
          <w:sz w:val="20"/>
          <w:szCs w:val="20"/>
          <w:color w:val="auto"/>
        </w:rPr>
      </w:pPr>
    </w:p>
    <w:p>
      <w:pPr>
        <w:ind w:right="220" w:firstLine="254"/>
        <w:spacing w:after="0" w:line="269" w:lineRule="auto"/>
        <w:rPr>
          <w:sz w:val="20"/>
          <w:szCs w:val="20"/>
          <w:color w:val="auto"/>
        </w:rPr>
      </w:pPr>
      <w:r>
        <w:rPr>
          <w:rFonts w:ascii="Times New Roman" w:cs="Times New Roman" w:eastAsia="Times New Roman" w:hAnsi="Times New Roman"/>
          <w:sz w:val="14"/>
          <w:szCs w:val="14"/>
          <w:color w:val="auto"/>
        </w:rPr>
        <w:t>Communications to the board of directors must be sent in writing in care of our Corporate Secretary to our headquarters at 310 Utah Avenue, Suite 150, South San Francisco, CA 94080 or delivered via e-mail to ir@vaxart.com. All communications directed to the Audit Committee in accordance with our whistleblower policy that relate to questionable accounting or auditing matters involving Vaxart will be promptly and directly forwarded to the Audit Committee.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Anti-Hedging/Pledging Policy</w:t>
      </w:r>
    </w:p>
    <w:p>
      <w:pPr>
        <w:spacing w:after="0" w:line="180" w:lineRule="exact"/>
        <w:rPr>
          <w:sz w:val="20"/>
          <w:szCs w:val="20"/>
          <w:color w:val="auto"/>
        </w:rPr>
      </w:pPr>
    </w:p>
    <w:p>
      <w:pPr>
        <w:ind w:right="220" w:firstLine="254"/>
        <w:spacing w:after="0" w:line="269" w:lineRule="auto"/>
        <w:rPr>
          <w:sz w:val="20"/>
          <w:szCs w:val="20"/>
          <w:color w:val="auto"/>
        </w:rPr>
      </w:pPr>
      <w:r>
        <w:rPr>
          <w:rFonts w:ascii="Times New Roman" w:cs="Times New Roman" w:eastAsia="Times New Roman" w:hAnsi="Times New Roman"/>
          <w:sz w:val="14"/>
          <w:szCs w:val="14"/>
          <w:color w:val="auto"/>
        </w:rPr>
        <w:t>Our insider trading policy prohibits our directors, officers, and other employees, as well as consultants, contractors, advisors, and agents of the Company, from engaging in speculative trading activities, including hedging transactions (such as zero-cost collars and forward sale contracts) or other inherently speculative transactions with respect to our securities, and from pledging our securities as collateral for any loans.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Recovery Policy</w:t>
      </w:r>
    </w:p>
    <w:p>
      <w:pPr>
        <w:spacing w:after="0" w:line="180" w:lineRule="exact"/>
        <w:rPr>
          <w:sz w:val="20"/>
          <w:szCs w:val="20"/>
          <w:color w:val="auto"/>
        </w:rPr>
      </w:pPr>
    </w:p>
    <w:p>
      <w:pPr>
        <w:ind w:firstLine="254"/>
        <w:spacing w:after="0" w:line="258" w:lineRule="auto"/>
        <w:rPr>
          <w:sz w:val="20"/>
          <w:szCs w:val="20"/>
          <w:color w:val="auto"/>
        </w:rPr>
      </w:pPr>
      <w:r>
        <w:rPr>
          <w:rFonts w:ascii="Times New Roman" w:cs="Times New Roman" w:eastAsia="Times New Roman" w:hAnsi="Times New Roman"/>
          <w:sz w:val="14"/>
          <w:szCs w:val="14"/>
          <w:color w:val="auto"/>
        </w:rPr>
        <w:t>We adopted a Compensation Recovery Policy in October 2023, which applies to certain incentive compensation received by an executive officer on or after October 2, 2023 and which complies with the applicable requirements for compensation recovery (or “clawback”) policies adopted by the SEC and The Nasdaq Stock Market. Pursuant to the policy, if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Committee will cause the Company to recovery reasonably promptly, subject to certain exceptions, any erroneously awarded incentive compensation received by any covered executive officer during the three completed fiscal years immediately preceding the date on which the Company is required to prepare such an accounting restatement. Covered executive officers include both current and former executive officers.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Guidelines</w:t>
      </w:r>
    </w:p>
    <w:p>
      <w:pPr>
        <w:spacing w:after="0" w:line="180" w:lineRule="exact"/>
        <w:rPr>
          <w:sz w:val="20"/>
          <w:szCs w:val="20"/>
          <w:color w:val="auto"/>
        </w:rPr>
      </w:pPr>
    </w:p>
    <w:p>
      <w:pPr>
        <w:ind w:right="40" w:firstLine="254"/>
        <w:spacing w:after="0" w:line="261" w:lineRule="auto"/>
        <w:rPr>
          <w:sz w:val="20"/>
          <w:szCs w:val="20"/>
          <w:color w:val="auto"/>
        </w:rPr>
      </w:pPr>
      <w:r>
        <w:rPr>
          <w:rFonts w:ascii="Times New Roman" w:cs="Times New Roman" w:eastAsia="Times New Roman" w:hAnsi="Times New Roman"/>
          <w:sz w:val="14"/>
          <w:szCs w:val="14"/>
          <w:color w:val="auto"/>
        </w:rPr>
        <w:t xml:space="preserve">The board of directors has documented our governance practices by adopting Corporate Governance Principles to assure that the board of directors will have the necessary authority and practices in place to review and evaluate our business operations as needed and to make decisions that are independent of our management. The Corporate Governance Principles are also intended to align the interests of directors and management with those of our stockholders. The Corporate Governance Principles set forth the practices the board of directors intends to follow with respect to board composition and selection, board meetings and involvement of senior management, chief executive officer performance evaluation and succession planning, and board committees and compensation. The Corporate Governance Principles, as well as the charters for each committee of the board of directors, may be viewed on the Investors section of our website at </w:t>
      </w:r>
      <w:r>
        <w:rPr>
          <w:rFonts w:ascii="Times New Roman" w:cs="Times New Roman" w:eastAsia="Times New Roman" w:hAnsi="Times New Roman"/>
          <w:sz w:val="14"/>
          <w:szCs w:val="14"/>
          <w:i w:val="1"/>
          <w:iCs w:val="1"/>
          <w:u w:val="single" w:color="auto"/>
          <w:color w:val="auto"/>
        </w:rPr>
        <w:t>http://www.vaxart.com</w:t>
      </w:r>
      <w:r>
        <w:rPr>
          <w:rFonts w:ascii="Times New Roman" w:cs="Times New Roman" w:eastAsia="Times New Roman" w:hAnsi="Times New Roman"/>
          <w:sz w:val="14"/>
          <w:szCs w:val="14"/>
          <w:color w:val="auto"/>
        </w:rPr>
        <w:t>.</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EXECUTIVE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Summary Compensation Table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regarding the compensation for services rendered that was earned by our named executive officers during the years ended December 31,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6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6"/>
        </w:trPr>
        <w:tc>
          <w:tcPr>
            <w:tcW w:w="260" w:type="dxa"/>
            <w:vAlign w:val="bottom"/>
          </w:tcPr>
          <w:p>
            <w:pPr>
              <w:spacing w:after="0"/>
              <w:rPr>
                <w:sz w:val="16"/>
                <w:szCs w:val="16"/>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2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Awards(1)</w:t>
            </w:r>
          </w:p>
        </w:tc>
        <w:tc>
          <w:tcPr>
            <w:tcW w:w="62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Awards(2)</w:t>
            </w: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Compensation(3)</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Compensation(4)</w:t>
            </w:r>
          </w:p>
        </w:tc>
        <w:tc>
          <w:tcPr>
            <w:tcW w:w="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Pr>
          <w:p>
            <w:pPr>
              <w:spacing w:after="0"/>
              <w:rPr>
                <w:sz w:val="16"/>
                <w:szCs w:val="16"/>
                <w:color w:val="auto"/>
              </w:rPr>
            </w:pPr>
          </w:p>
        </w:tc>
      </w:tr>
      <w:tr>
        <w:trPr>
          <w:trHeight w:val="170"/>
        </w:trPr>
        <w:tc>
          <w:tcPr>
            <w:tcW w:w="260" w:type="dxa"/>
            <w:vAlign w:val="bottom"/>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Lo</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650,000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776,203</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964,910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407,000</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12,306</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2,810,918</w:t>
            </w:r>
          </w:p>
        </w:tc>
      </w:tr>
      <w:tr>
        <w:trPr>
          <w:trHeight w:val="153"/>
        </w:trPr>
        <w:tc>
          <w:tcPr>
            <w:tcW w:w="260" w:type="dxa"/>
            <w:vAlign w:val="bottom"/>
          </w:tcPr>
          <w:p>
            <w:pPr>
              <w:spacing w:after="0"/>
              <w:rPr>
                <w:sz w:val="13"/>
                <w:szCs w:val="13"/>
                <w:color w:val="auto"/>
              </w:rPr>
            </w:pPr>
          </w:p>
        </w:tc>
        <w:tc>
          <w:tcPr>
            <w:tcW w:w="1840" w:type="dxa"/>
            <w:vAlign w:val="bottom"/>
            <w:gridSpan w:val="2"/>
            <w:shd w:val="clear" w:color="auto" w:fill="CCEEFF"/>
          </w:tcPr>
          <w:p>
            <w:pPr>
              <w:spacing w:after="0" w:line="153" w:lineRule="exact"/>
              <w:rPr>
                <w:sz w:val="20"/>
                <w:szCs w:val="20"/>
                <w:color w:val="auto"/>
              </w:rPr>
            </w:pPr>
            <w:r>
              <w:rPr>
                <w:rFonts w:ascii="Times New Roman" w:cs="Times New Roman" w:eastAsia="Times New Roman" w:hAnsi="Times New Roman"/>
                <w:sz w:val="14"/>
                <w:szCs w:val="14"/>
                <w:i w:val="1"/>
                <w:iCs w:val="1"/>
                <w:color w:val="auto"/>
              </w:rPr>
              <w:t>President and Chief Executive</w:t>
            </w: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6"/>
        </w:trPr>
        <w:tc>
          <w:tcPr>
            <w:tcW w:w="260" w:type="dxa"/>
            <w:vAlign w:val="bottom"/>
          </w:tcPr>
          <w:p>
            <w:pPr>
              <w:spacing w:after="0"/>
              <w:rPr>
                <w:sz w:val="16"/>
                <w:szCs w:val="16"/>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473,810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290,000</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1,044,370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272,000</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5,588</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2,085,768</w:t>
            </w:r>
          </w:p>
        </w:tc>
      </w:tr>
      <w:tr>
        <w:trPr>
          <w:trHeight w:val="170"/>
        </w:trPr>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Cummings, M.D.</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521,000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208,116</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302,106</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210,000</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13,272</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1,254,494</w:t>
            </w:r>
          </w:p>
        </w:tc>
      </w:tr>
      <w:tr>
        <w:trPr>
          <w:trHeight w:val="170"/>
        </w:trPr>
        <w:tc>
          <w:tcPr>
            <w:tcW w:w="260" w:type="dxa"/>
            <w:vAlign w:val="bottom"/>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488,087</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104,400</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428,192</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179,700</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12,156</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1,212,535</w:t>
            </w:r>
          </w:p>
        </w:tc>
      </w:tr>
      <w:tr>
        <w:trPr>
          <w:trHeight w:val="170"/>
        </w:trPr>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260" w:type="dxa"/>
            <w:vAlign w:val="bottom"/>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Sean Tucker, Ph.D.</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465,000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208,116</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279,220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180,000</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12,022</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1,144,358</w:t>
            </w:r>
          </w:p>
        </w:tc>
      </w:tr>
      <w:tr>
        <w:trPr>
          <w:trHeight w:val="170"/>
        </w:trPr>
        <w:tc>
          <w:tcPr>
            <w:tcW w:w="260" w:type="dxa"/>
            <w:vAlign w:val="bottom"/>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Scientific Officer</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446,267</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104,400</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428,192</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96"/>
              </w:rPr>
              <w:t>164,300</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11,872</w:t>
            </w:r>
          </w:p>
        </w:tc>
        <w:tc>
          <w:tcPr>
            <w:tcW w:w="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1,155,031</w:t>
            </w:r>
          </w:p>
        </w:tc>
      </w:tr>
      <w:tr>
        <w:trPr>
          <w:trHeight w:val="212"/>
        </w:trPr>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197" w:lineRule="exact"/>
        <w:rPr>
          <w:sz w:val="20"/>
          <w:szCs w:val="20"/>
          <w:color w:val="auto"/>
        </w:rPr>
      </w:pPr>
    </w:p>
    <w:p>
      <w:pPr>
        <w:ind w:left="1020" w:hanging="1015"/>
        <w:spacing w:after="0" w:line="261" w:lineRule="auto"/>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time-based restricted stock unit awards computed in accordance with the Financial Accounting Standards Board, or FASB, Accounting Standards Codification, or ASC, Topic 718. See Note 10 to the consolidated financial statements included in our Annual Report for the fiscal year ended December 31, 2025, filed with the SEC on March 13, 2026, for a discussion of the relevant assumptions used in calculating value pursuant to FASB ASC Topic 718. As required by SEC rules, the amounts shown exclude the impact of estimated forfeitures related to service-based vesting conditions. For 2025, the amount also includes the additional grant of 151,351 restricted stock unit awards as a spot bonus awarded to Mr. Lo related to his leadership.</w:t>
      </w:r>
    </w:p>
    <w:p>
      <w:pPr>
        <w:spacing w:after="0" w:line="142" w:lineRule="exact"/>
        <w:rPr>
          <w:rFonts w:ascii="Times New Roman" w:cs="Times New Roman" w:eastAsia="Times New Roman" w:hAnsi="Times New Roman"/>
          <w:sz w:val="14"/>
          <w:szCs w:val="14"/>
          <w:color w:val="auto"/>
        </w:rPr>
      </w:pPr>
    </w:p>
    <w:p>
      <w:pPr>
        <w:ind w:left="1020" w:right="20" w:hanging="1015"/>
        <w:spacing w:after="0" w:line="261" w:lineRule="auto"/>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stock option awards for the applicable year computed in accordance with ASC Topic 718. See Note 10 to the consolidated financial statements included in our Annual Report for the fiscal year ended December 31, 2025, filed with the SEC on March 13, 2026, for a discussion of the relevant assumptions used in calculating the grant date fair value pursuant to FASB ASC Topic 718.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For 2025, the amount also includes an additional grant of 50,000 stock option awards as a spot bonus awarded to Mr. Cummings in recognition of his achievements.</w:t>
      </w:r>
    </w:p>
    <w:p>
      <w:pPr>
        <w:spacing w:after="0" w:line="142" w:lineRule="exact"/>
        <w:rPr>
          <w:rFonts w:ascii="Times New Roman" w:cs="Times New Roman" w:eastAsia="Times New Roman" w:hAnsi="Times New Roman"/>
          <w:sz w:val="14"/>
          <w:szCs w:val="14"/>
          <w:color w:val="auto"/>
        </w:rPr>
      </w:pPr>
    </w:p>
    <w:p>
      <w:pPr>
        <w:ind w:left="1020" w:right="600" w:hanging="1015"/>
        <w:spacing w:after="0" w:line="286" w:lineRule="auto"/>
        <w:tabs>
          <w:tab w:leader="none" w:pos="10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cash bonuses awarded to the named executive officers for the applicable year under the Short-Term Incentive Program. For 2025, the amount also includes the additional cash bonuses awarded to Dr. Cummings and Dr. Tucker under the 2024 Trial Launch Program.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020" w:right="340" w:hanging="1015"/>
        <w:spacing w:after="0" w:line="286" w:lineRule="auto"/>
        <w:tabs>
          <w:tab w:leader="none" w:pos="10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an employer match under the Company’s 401(k) plan, premiums paid by the Company under the group-term life insurance program, and an employer match under the Health Savings Account as applicable.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Elements of Total Direct Compensation</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brief summary of our total direct compensation - consisting of base salary, STI opportunities and LTI opportunities - for our named executive officers is set forth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Base Salaries</w:t>
      </w:r>
    </w:p>
    <w:p>
      <w:pPr>
        <w:spacing w:after="0" w:line="180" w:lineRule="exact"/>
        <w:rPr>
          <w:sz w:val="20"/>
          <w:szCs w:val="20"/>
          <w:color w:val="auto"/>
        </w:rPr>
      </w:pPr>
    </w:p>
    <w:p>
      <w:pPr>
        <w:ind w:right="600" w:firstLine="254"/>
        <w:spacing w:after="0" w:line="286" w:lineRule="auto"/>
        <w:rPr>
          <w:sz w:val="20"/>
          <w:szCs w:val="20"/>
          <w:color w:val="auto"/>
        </w:rPr>
      </w:pPr>
      <w:r>
        <w:rPr>
          <w:rFonts w:ascii="Times New Roman" w:cs="Times New Roman" w:eastAsia="Times New Roman" w:hAnsi="Times New Roman"/>
          <w:sz w:val="14"/>
          <w:szCs w:val="14"/>
          <w:color w:val="auto"/>
        </w:rPr>
        <w:t>We provide a base salary to retain and attract key executive talent and to align our compensation with market practices. Base salaries are reviewed and established by the Compensation Committee on a competitive basis each year to better align with market levels.</w:t>
      </w:r>
    </w:p>
    <w:p>
      <w:pPr>
        <w:spacing w:after="0" w:line="125" w:lineRule="exact"/>
        <w:rPr>
          <w:sz w:val="20"/>
          <w:szCs w:val="20"/>
          <w:color w:val="auto"/>
        </w:rPr>
      </w:pPr>
    </w:p>
    <w:p>
      <w:pPr>
        <w:jc w:val="both"/>
        <w:ind w:firstLine="254"/>
        <w:spacing w:after="0" w:line="269" w:lineRule="auto"/>
        <w:rPr>
          <w:sz w:val="20"/>
          <w:szCs w:val="20"/>
          <w:color w:val="auto"/>
        </w:rPr>
      </w:pPr>
      <w:r>
        <w:rPr>
          <w:rFonts w:ascii="Times New Roman" w:cs="Times New Roman" w:eastAsia="Times New Roman" w:hAnsi="Times New Roman"/>
          <w:sz w:val="14"/>
          <w:szCs w:val="14"/>
          <w:color w:val="auto"/>
        </w:rPr>
        <w:t>During the annual performance review process in February 2025, the Compensation Committee approved an 8.3% merit increase for Mr. Lo, a 6.7% merit increase for Dr. Cummings, and a 4.2% merit increase for Dr. Tucker, in each case effective January 1, 2025. These adjustments were intended to recognize each executive’s contributions to the Company and to align their base salary levels with the market data.</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For more information about the 2025 base salaries for each of our named executive officers, please refer to the “Salary” column of the 2025 Summary Compensation Table on page 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Incentive Compensation</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STI program is designed to motivate our named executive officers to achieve annual business plan objectives and individual goals.</w:t>
      </w:r>
    </w:p>
    <w:p>
      <w:pPr>
        <w:spacing w:after="0" w:line="178" w:lineRule="exact"/>
        <w:rPr>
          <w:sz w:val="20"/>
          <w:szCs w:val="20"/>
          <w:color w:val="auto"/>
        </w:rPr>
      </w:pPr>
    </w:p>
    <w:p>
      <w:pPr>
        <w:jc w:val="both"/>
        <w:ind w:right="100" w:firstLine="254"/>
        <w:spacing w:after="0" w:line="269" w:lineRule="auto"/>
        <w:rPr>
          <w:sz w:val="20"/>
          <w:szCs w:val="20"/>
          <w:color w:val="auto"/>
        </w:rPr>
      </w:pPr>
      <w:r>
        <w:rPr>
          <w:rFonts w:ascii="Times New Roman" w:cs="Times New Roman" w:eastAsia="Times New Roman" w:hAnsi="Times New Roman"/>
          <w:sz w:val="14"/>
          <w:szCs w:val="14"/>
          <w:color w:val="auto"/>
        </w:rPr>
        <w:t>Each year the Compensation Committee establishes a STI award opportunity for our named executive officers. The Compensation Committee did not make any changes to the target STI award opportunities for Dr. Cummings and Dr. Tucker, which remained at 40% of their annual base salary. Mr. Lo’s target STI award opportunity was increased from 50% to 55% of his annual base salary, plus increased STI award payment for 2025 of an additional $49,500, resulted in effective STI award opportunity of 63%.</w:t>
      </w:r>
    </w:p>
    <w:p>
      <w:pPr>
        <w:spacing w:after="0" w:line="137" w:lineRule="exact"/>
        <w:rPr>
          <w:sz w:val="20"/>
          <w:szCs w:val="20"/>
          <w:color w:val="auto"/>
        </w:rPr>
      </w:pPr>
    </w:p>
    <w:p>
      <w:pPr>
        <w:ind w:right="240" w:firstLine="254"/>
        <w:spacing w:after="0" w:line="264" w:lineRule="auto"/>
        <w:rPr>
          <w:sz w:val="20"/>
          <w:szCs w:val="20"/>
          <w:color w:val="auto"/>
        </w:rPr>
      </w:pPr>
      <w:r>
        <w:rPr>
          <w:rFonts w:ascii="Times New Roman" w:cs="Times New Roman" w:eastAsia="Times New Roman" w:hAnsi="Times New Roman"/>
          <w:sz w:val="14"/>
          <w:szCs w:val="14"/>
          <w:color w:val="auto"/>
        </w:rPr>
        <w:t>The 2025 STI payout levels were determined by the Compensation Committee based on an overall assessment of corporate performance and individual contributions. The Compensation Committee approved certain corporate goals and objectives at the beginning of the year that generally focused on deliverables with respect to four primary areas: finance (focus on the Company’s long-term viability), COVID-19 (relating to the partnership with BARDA for execution of the phase 2b trial), advancing the pipeline (generate preclinical and clinical data as well as enhance manufacturing capabilities), and operational excellence (maintain a culture of effectiveness, efficiency, compliance and strategic alignment across the enterprise).</w:t>
      </w:r>
    </w:p>
    <w:p>
      <w:pPr>
        <w:spacing w:after="0" w:line="140" w:lineRule="exact"/>
        <w:rPr>
          <w:sz w:val="20"/>
          <w:szCs w:val="20"/>
          <w:color w:val="auto"/>
        </w:rPr>
      </w:pPr>
    </w:p>
    <w:p>
      <w:pPr>
        <w:ind w:right="20" w:firstLine="254"/>
        <w:spacing w:after="0" w:line="264" w:lineRule="auto"/>
        <w:rPr>
          <w:sz w:val="20"/>
          <w:szCs w:val="20"/>
          <w:color w:val="auto"/>
        </w:rPr>
      </w:pPr>
      <w:r>
        <w:rPr>
          <w:rFonts w:ascii="Times New Roman" w:cs="Times New Roman" w:eastAsia="Times New Roman" w:hAnsi="Times New Roman"/>
          <w:sz w:val="14"/>
          <w:szCs w:val="14"/>
          <w:color w:val="auto"/>
        </w:rPr>
        <w:t>Based on its assessment of overall corporate performance and the individual contributions of each participating executive, and its desire to retain a management team that is essential to our continued success, the Compensation Committee recommended, and the board of directors approved, an overall achievement level of 100% for the 2025 STI program, which funded a bonus pool that was allocated among the named executive officers based on recommendations of the Chief Executive Officer (other than with respect to himself) and final approval by the board of directors. The 2025 STI payouts were as follows: $407,000 for Mr. Lo; $210,000 for Dr. Cummings; and $180,000 for Dr. Tucker.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2024 Trial Launch Bonus Program</w:t>
      </w:r>
    </w:p>
    <w:p>
      <w:pPr>
        <w:spacing w:after="0" w:line="18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In February 2024, the board of directors, upon the recommendation of the Compensation Committee, approved a $1,000,000 bonus pool under a Trial Launch Bonus Program, that would be allocated and payable to each employee selected by the Chief Executive Officer (including Dr. Cummings and Dr. Tucker). Under this program, each of Dr. Cummings and Dr. Tucker were eligible to a pro-rata share of the bonus pool equal to 30% of his annual salary as in effect as of December 31, 2023, if he remained employed through the date that the first 1,000 volunteers in the Phase 2 trial had been dosed, which occurred on June 16, 2025. Dr. Cummings received a payout of $45,498 and Dr. Tucker received a payout of $43,114 under this program.</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Spot Bonus</w:t>
      </w:r>
    </w:p>
    <w:p>
      <w:pPr>
        <w:spacing w:after="0" w:line="180" w:lineRule="exact"/>
        <w:rPr>
          <w:sz w:val="20"/>
          <w:szCs w:val="20"/>
          <w:color w:val="auto"/>
        </w:rPr>
      </w:pPr>
    </w:p>
    <w:p>
      <w:pPr>
        <w:ind w:right="100" w:firstLine="254"/>
        <w:spacing w:after="0" w:line="286" w:lineRule="auto"/>
        <w:rPr>
          <w:sz w:val="20"/>
          <w:szCs w:val="20"/>
          <w:color w:val="auto"/>
        </w:rPr>
      </w:pPr>
      <w:r>
        <w:rPr>
          <w:rFonts w:ascii="Times New Roman" w:cs="Times New Roman" w:eastAsia="Times New Roman" w:hAnsi="Times New Roman"/>
          <w:sz w:val="14"/>
          <w:szCs w:val="14"/>
          <w:color w:val="auto"/>
        </w:rPr>
        <w:t>On March 5, 2025, the board of directors approved a spot bonus grant of a stock option to purchase 50,000 shares to Dr. Cummings to recognize his performance that shall vest as to 25% of the underlying shares of common stock on the first anniversary of the grant date and thereafter in thirty-six (36) equal monthly installments.</w:t>
      </w:r>
    </w:p>
    <w:p>
      <w:pPr>
        <w:spacing w:after="0" w:line="125" w:lineRule="exact"/>
        <w:rPr>
          <w:sz w:val="20"/>
          <w:szCs w:val="20"/>
          <w:color w:val="auto"/>
        </w:rPr>
      </w:pPr>
    </w:p>
    <w:p>
      <w:pPr>
        <w:ind w:firstLine="254"/>
        <w:spacing w:after="0" w:line="286" w:lineRule="auto"/>
        <w:rPr>
          <w:sz w:val="20"/>
          <w:szCs w:val="20"/>
          <w:color w:val="auto"/>
        </w:rPr>
      </w:pPr>
      <w:r>
        <w:rPr>
          <w:rFonts w:ascii="Times New Roman" w:cs="Times New Roman" w:eastAsia="Times New Roman" w:hAnsi="Times New Roman"/>
          <w:sz w:val="14"/>
          <w:szCs w:val="14"/>
          <w:color w:val="auto"/>
        </w:rPr>
        <w:t>On December 4, 2025, the board of directors approved a spot bonus for Mr. Lo in the amount of $56,000 to reflect his leadership with respect to the Phase 2 trial and the licensing agreement with Dynavax. In lieu of cash, this spot bonus was paid to Mr. Lo in December 2025 by the issuance of fully vested restricted stock unit grant of 151,351 shares of common stock of equivalent value.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Long-Term Incentives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Compensation Committee believes that a competitive LTI program is an important component of total direct compensation because it: (i) enhances the retentive value of our compensation;</w:t>
      </w:r>
    </w:p>
    <w:p>
      <w:pPr>
        <w:spacing w:after="0" w:line="23" w:lineRule="exact"/>
        <w:rPr>
          <w:sz w:val="20"/>
          <w:szCs w:val="20"/>
          <w:color w:val="auto"/>
        </w:rPr>
      </w:pPr>
    </w:p>
    <w:p>
      <w:pPr>
        <w:ind w:right="180" w:firstLine="5"/>
        <w:spacing w:after="0" w:line="265" w:lineRule="auto"/>
        <w:tabs>
          <w:tab w:leader="none" w:pos="20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rewards executives for increasing our stock price and developing long-term value; and (iii) provides executives with an opportunity for stock ownership to align their interests with those of our stockholders.</w:t>
      </w:r>
    </w:p>
    <w:p>
      <w:pPr>
        <w:spacing w:after="0" w:line="139" w:lineRule="exact"/>
        <w:rPr>
          <w:sz w:val="20"/>
          <w:szCs w:val="20"/>
          <w:color w:val="auto"/>
        </w:rPr>
      </w:pPr>
    </w:p>
    <w:p>
      <w:pPr>
        <w:ind w:right="20" w:firstLine="254"/>
        <w:spacing w:after="0" w:line="258" w:lineRule="auto"/>
        <w:rPr>
          <w:sz w:val="20"/>
          <w:szCs w:val="20"/>
          <w:color w:val="auto"/>
        </w:rPr>
      </w:pPr>
      <w:r>
        <w:rPr>
          <w:rFonts w:ascii="Times New Roman" w:cs="Times New Roman" w:eastAsia="Times New Roman" w:hAnsi="Times New Roman"/>
          <w:sz w:val="14"/>
          <w:szCs w:val="14"/>
          <w:color w:val="auto"/>
        </w:rPr>
        <w:t>During the annual performance review process in 2025, the Compensation Committee, with the help of Aon, its independent compensation consultant, conducted a review of the LTI award opportunities for our officers. The Compensation Committee recommended, and the board of directors approved, a grant to (i) Mr. Lo of a stock option to purchase 2,108,000 shares and a restricted stock unit award covering 1,405,000 shares; (ii) to each of Dr. Cummings and Dr. Tucker, a stock option to purchase 610,000 shares and a restricted stock unit award covering 406,000 shares. Each stock option vests one-fourth on the first anniversary of the vesting commencement date and thereafter in equal monthly installments over the next three years, and each restricted stock unit award vests in four equal annual installments. In addition, during the annual performance review process in 2025, and as part of an “officer recognition program”, the board of directors approved a one-time recognition award to Dr. Cummings of a stock option to purchase 50,000 shares to recognize his performance in securing the BARDA award, which vests one-fourth on the first anniversary of the vesting commencement date and thereafter in equal monthly installments over the next three years.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Compensation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Severance Benefit Plan</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2025, each of the named executive officers participated in the Severance Benefit Plan (the “</w:t>
      </w:r>
      <w:r>
        <w:rPr>
          <w:rFonts w:ascii="Times New Roman" w:cs="Times New Roman" w:eastAsia="Times New Roman" w:hAnsi="Times New Roman"/>
          <w:sz w:val="14"/>
          <w:szCs w:val="14"/>
          <w:i w:val="1"/>
          <w:iCs w:val="1"/>
          <w:color w:val="auto"/>
        </w:rPr>
        <w:t>Severance Plan</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ind w:right="40" w:firstLine="254"/>
        <w:spacing w:after="0" w:line="264" w:lineRule="auto"/>
        <w:rPr>
          <w:sz w:val="20"/>
          <w:szCs w:val="20"/>
          <w:color w:val="auto"/>
        </w:rPr>
      </w:pPr>
      <w:r>
        <w:rPr>
          <w:rFonts w:ascii="Times New Roman" w:cs="Times New Roman" w:eastAsia="Times New Roman" w:hAnsi="Times New Roman"/>
          <w:sz w:val="14"/>
          <w:szCs w:val="14"/>
          <w:color w:val="auto"/>
        </w:rPr>
        <w:t>Under the Severance Plan, if a participating named executive officer were terminated other than for cause, death or disability, or resigned for good reason, other than in connection with a change in control, he would be entitled to receive (i) continued payment of base salary for six months (twelve months for Mr. Lo), and (ii) the portion of health insurance premiums paid by the Company, prior to the termination, under our group health insurance plans as provided under COBRA, until the end of the applicable salary continuation period (or, if earlier, such time as the named executive officer is eligible for health insurance coverage with a subsequent employer).</w:t>
      </w:r>
    </w:p>
    <w:p>
      <w:pPr>
        <w:spacing w:after="0" w:line="140"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If a participating named executive officer were terminated other than for cause, death or disability, or resigned for good reason, either during the three months before or in the twelve months after a change in control, then he would be entitled to receive (in lieu of the benefits described above): (i) lump sum cash severance equal twelve months of base salary, (ii) the portion of health insurance premiums paid by the Company, prior to the termination, under our group health insurance plans as provided under COBRA, until the end of the applicable salary continuation period (or, if earlier, such time as the named executive officer is eligible for health insurance coverage with a subsequent employer), (iii) full vesting of any unvested time-based equity awards, and (iv) a pro-rated target annual bonus for the year of termination.</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540" w:firstLine="254"/>
        <w:spacing w:after="0" w:line="286" w:lineRule="auto"/>
        <w:rPr>
          <w:sz w:val="20"/>
          <w:szCs w:val="20"/>
          <w:color w:val="auto"/>
        </w:rPr>
      </w:pPr>
      <w:r>
        <w:rPr>
          <w:rFonts w:ascii="Times New Roman" w:cs="Times New Roman" w:eastAsia="Times New Roman" w:hAnsi="Times New Roman"/>
          <w:sz w:val="14"/>
          <w:szCs w:val="14"/>
          <w:color w:val="auto"/>
        </w:rPr>
        <w:t>In exchange for the severance benefits, the participating named executive officers must agree to comply with the Company’s standard employee invention assignment and confidentiality agreement, return all company property, and sign a release of claims in favor of the Company.</w:t>
      </w:r>
    </w:p>
    <w:p>
      <w:pPr>
        <w:spacing w:after="0" w:line="125" w:lineRule="exact"/>
        <w:rPr>
          <w:sz w:val="20"/>
          <w:szCs w:val="20"/>
          <w:color w:val="auto"/>
        </w:rPr>
      </w:pPr>
    </w:p>
    <w:p>
      <w:pPr>
        <w:ind w:right="100" w:firstLine="254"/>
        <w:spacing w:after="0" w:line="269" w:lineRule="auto"/>
        <w:rPr>
          <w:sz w:val="20"/>
          <w:szCs w:val="20"/>
          <w:color w:val="auto"/>
        </w:rPr>
      </w:pPr>
      <w:r>
        <w:rPr>
          <w:rFonts w:ascii="Times New Roman" w:cs="Times New Roman" w:eastAsia="Times New Roman" w:hAnsi="Times New Roman"/>
          <w:sz w:val="14"/>
          <w:szCs w:val="14"/>
          <w:color w:val="auto"/>
        </w:rPr>
        <w:t>For purposes of the Severance Plan, the term “cause” generally means (i) engaging in willful or gross misconduct or willful or gross neglect; (ii) the commission of a felony or a crime involving any of the following: moral turpitude, dishonesty, breach of trust or unethical business conduct; or the commission of any crime involving the Company or any of its subsidiaries; (iii) fraud, misappropriation or embezzlement; or (iv) the abuse of illegal drugs or other controlled substances or habitual intoxication while providing services for the Company or any of its affiliates.</w:t>
      </w:r>
    </w:p>
    <w:p>
      <w:pPr>
        <w:spacing w:after="0" w:line="137" w:lineRule="exact"/>
        <w:rPr>
          <w:sz w:val="20"/>
          <w:szCs w:val="20"/>
          <w:color w:val="auto"/>
        </w:rPr>
      </w:pPr>
    </w:p>
    <w:p>
      <w:pPr>
        <w:ind w:right="160" w:firstLine="254"/>
        <w:spacing w:after="0" w:line="269" w:lineRule="auto"/>
        <w:rPr>
          <w:sz w:val="20"/>
          <w:szCs w:val="20"/>
          <w:color w:val="auto"/>
        </w:rPr>
      </w:pPr>
      <w:r>
        <w:rPr>
          <w:rFonts w:ascii="Times New Roman" w:cs="Times New Roman" w:eastAsia="Times New Roman" w:hAnsi="Times New Roman"/>
          <w:sz w:val="14"/>
          <w:szCs w:val="14"/>
          <w:color w:val="auto"/>
        </w:rPr>
        <w:t>The term “good reason” generally means the occurrence of any of the following events without the participant’s consent; (i) a material diminution in base salary or target bonus; (ii) a material diminution in authority, duties, or responsibilities; or (iii) a relocation of the principal place of employment or service to a location that increases his or her one-way commute distance by more than 35 miles, subject to applicable notice and cure provisions.</w:t>
      </w:r>
    </w:p>
    <w:p>
      <w:pPr>
        <w:spacing w:after="0" w:line="106" w:lineRule="exact"/>
        <w:rPr>
          <w:sz w:val="20"/>
          <w:szCs w:val="20"/>
          <w:color w:val="auto"/>
        </w:rPr>
      </w:pPr>
    </w:p>
    <w:p>
      <w:pPr>
        <w:ind w:right="100" w:firstLine="254"/>
        <w:spacing w:after="0" w:line="179" w:lineRule="exact"/>
        <w:rPr>
          <w:sz w:val="20"/>
          <w:szCs w:val="20"/>
          <w:color w:val="auto"/>
        </w:rPr>
      </w:pPr>
      <w:r>
        <w:rPr>
          <w:rFonts w:ascii="Times New Roman" w:cs="Times New Roman" w:eastAsia="Times New Roman" w:hAnsi="Times New Roman"/>
          <w:sz w:val="14"/>
          <w:szCs w:val="14"/>
          <w:color w:val="auto"/>
        </w:rPr>
        <w:t>The Severance Plan does not provide a tax gross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for named executive officers or any other employees in the event they are subject to golden parachute excise taxes on severance or other payments received in connection with a change in control. The Severance Plan promotes retention incentives for our executives by establishing severance protections for participants that are consistent with market levels, while eliminating the need to negotiate individual severance agreements in connection with an executive’s termination or at the time of hire. The enhanced benefits available upon a change in control increase our retention incentives by reducing the personal uncertainty that arises from the possibility of a future business combination and promoting objectivity in the evaluation of transactions that are in the best interests of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Mr. Lo</w:t>
      </w:r>
    </w:p>
    <w:p>
      <w:pPr>
        <w:spacing w:after="0" w:line="180" w:lineRule="exact"/>
        <w:rPr>
          <w:sz w:val="20"/>
          <w:szCs w:val="20"/>
          <w:color w:val="auto"/>
        </w:rPr>
      </w:pPr>
    </w:p>
    <w:p>
      <w:pPr>
        <w:ind w:firstLine="254"/>
        <w:spacing w:after="0" w:line="261" w:lineRule="auto"/>
        <w:rPr>
          <w:sz w:val="20"/>
          <w:szCs w:val="20"/>
          <w:color w:val="auto"/>
        </w:rPr>
      </w:pPr>
      <w:r>
        <w:rPr>
          <w:rFonts w:ascii="Times New Roman" w:cs="Times New Roman" w:eastAsia="Times New Roman" w:hAnsi="Times New Roman"/>
          <w:sz w:val="14"/>
          <w:szCs w:val="14"/>
          <w:color w:val="auto"/>
        </w:rPr>
        <w:t>In connection with his appointment as President and Chief Executive Officer, Mr. Lo entered into a letter agreement with the Company, dated as of February 21, 2024. The letter agreement provided for an initial base salary equal to $600,000, a target STI award opportunity equal to 50% of his annual base salary and a grant under the Vaxart, Inc. 2024 Inducement Award Plan consisting of a stock option to purchase 1,000,000 shares that vests one-fourth on the first anniversary of his start date and thereafter in equal monthly installments over the next three years, and a restricted stock unit award covering 250,000 shares that vests in four equal annual installments. The letter agreement also provides that Mr. Lo will participate in the Severance Plan, with a severance multiple equal to twelve months.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 Cummings</w:t>
      </w:r>
    </w:p>
    <w:p>
      <w:pPr>
        <w:spacing w:after="0" w:line="180" w:lineRule="exact"/>
        <w:rPr>
          <w:sz w:val="20"/>
          <w:szCs w:val="20"/>
          <w:color w:val="auto"/>
        </w:rPr>
      </w:pPr>
    </w:p>
    <w:p>
      <w:pPr>
        <w:ind w:right="20" w:firstLine="254"/>
        <w:spacing w:after="0" w:line="259" w:lineRule="auto"/>
        <w:rPr>
          <w:sz w:val="20"/>
          <w:szCs w:val="20"/>
          <w:color w:val="auto"/>
        </w:rPr>
      </w:pPr>
      <w:r>
        <w:rPr>
          <w:rFonts w:ascii="Times New Roman" w:cs="Times New Roman" w:eastAsia="Times New Roman" w:hAnsi="Times New Roman"/>
          <w:sz w:val="14"/>
          <w:szCs w:val="14"/>
          <w:color w:val="auto"/>
        </w:rPr>
        <w:t>In connection with his appointment as Senior Vice President and Chief Medical Officer of the Company, Dr. Cummings entered into a letter agreement with the Company, dated as of August 16, 2021. The letter agreement provides for an initial base salary of $400,000 per year, an initial “target” bonus opportunity of 40% of his annual base salary and an initial grant of a stock option covering 300,000 shares (effective when he commenced the consulting services described below). In addition, the letter agreement provided that, prior to his start date, Dr. Cummings would provide certain consulting services to the Company at the direction of the Chief Executive Officer with respect to clinical and regulatory matters (including clinical trial design and regulatory strategies both in the U.S. and abroad), interactions with pan-governmental organizations such as WHO and CEPI, and business development activities. Dr. Cummings received a consulting fee at the rate of $100 per hour for these services and entered into a standard consulting agreement with the Company, which terminated on September 26, 2021, the day prior to the date he commenced employment.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 Tucker</w:t>
      </w:r>
    </w:p>
    <w:p>
      <w:pPr>
        <w:spacing w:after="0" w:line="180" w:lineRule="exact"/>
        <w:rPr>
          <w:sz w:val="20"/>
          <w:szCs w:val="20"/>
          <w:color w:val="auto"/>
        </w:rPr>
      </w:pPr>
    </w:p>
    <w:p>
      <w:pPr>
        <w:ind w:firstLine="254"/>
        <w:spacing w:after="0" w:line="259" w:lineRule="auto"/>
        <w:rPr>
          <w:sz w:val="20"/>
          <w:szCs w:val="20"/>
          <w:color w:val="auto"/>
        </w:rPr>
      </w:pPr>
      <w:r>
        <w:rPr>
          <w:rFonts w:ascii="Times New Roman" w:cs="Times New Roman" w:eastAsia="Times New Roman" w:hAnsi="Times New Roman"/>
          <w:sz w:val="14"/>
          <w:szCs w:val="14"/>
          <w:color w:val="auto"/>
        </w:rPr>
        <w:t>In connection with his appointment as Vice President, Research and Director of Immunology, Dr. Tucker entered into a letter agreement with the Company, dated as of May 20, 2006. The letter agreement provided that, if Dr. Tucker’s employment were terminated without “cause”, or he voluntarily resigned for “good reason”, then one-half of his then outstanding and unvested stock options shall vest and become immediately exercisable, except that if there are fewer than one-half of the option shares unvested at that time, then all remaining unvested option shares would vest and become immediately exercisable. During the term of his employment, Dr. Tucker agreed that he would not render any commercial or professional services of any nature to any person or organization, whether or not for compensation, without the prior written consent of the board of directors. He also agreed not to directly or indirectly engage or participate in any business that is competitive with the Company's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Retirement Plan</w:t>
      </w:r>
    </w:p>
    <w:p>
      <w:pPr>
        <w:spacing w:after="0" w:line="180"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We maintain a tax-qualified retirement plan that provides eligible employees, including our named executive officers, with an opportunity to save for retirement on a tax-advantaged basis. Eligible employees may defer eligible compensation up to certain tax code limits, which are updated annually. Employees are immediately and fully vested in their own contributions. We make matching contributions to participants in the 401(k) plan annually in arrears in an amount equal to the employee’s deferral up to a maximum of 3% of the employee’s annual eligible earnings, which are immediately and fully vested. As a tax-qualified retirement plan, contributions to the 401(k) plan are deductible by us when made, and contributions and earnings on those amounts are not taxable to the employees until withdrawn or distributed from the 401(k) plan. The named executive officers did not participate in, or otherwise receive any benefits under any pension plan or nonqualified deferred compensation plan.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Outstanding Equity Awards as of December 31, 2025</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for each of our named executive officers, information regarding outstanding stock options and RSUs held as of December 31, 2025.</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170"/>
        </w:trPr>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of shares or</w:t>
            </w: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5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that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units of stock</w:t>
            </w: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56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that have not</w:t>
            </w:r>
          </w:p>
        </w:tc>
      </w:tr>
      <w:tr>
        <w:trPr>
          <w:trHeight w:val="186"/>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560" w:type="dxa"/>
            <w:vAlign w:val="bottom"/>
          </w:tcPr>
          <w:p>
            <w:pPr>
              <w:spacing w:after="0"/>
              <w:rPr>
                <w:sz w:val="16"/>
                <w:szCs w:val="16"/>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vested(1)</w:t>
            </w:r>
          </w:p>
        </w:tc>
      </w:tr>
      <w:tr>
        <w:trPr>
          <w:trHeight w:val="17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Steven Lo</w:t>
            </w: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3/18/2024</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437,500</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562,500(2)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3/17/2034</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3/18/2024</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187,500(3)</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65,625</w:t>
            </w: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2,108,000(2)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0.5126</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3/24/2035</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1,405,000(3)</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491,750</w:t>
            </w: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20"/>
                <w:szCs w:val="20"/>
                <w:color w:val="auto"/>
              </w:rPr>
            </w:pPr>
            <w:r>
              <w:rPr>
                <w:rFonts w:ascii="Times New Roman" w:cs="Times New Roman" w:eastAsia="Times New Roman" w:hAnsi="Times New Roman"/>
                <w:sz w:val="14"/>
                <w:szCs w:val="14"/>
                <w:color w:val="auto"/>
              </w:rPr>
              <w:t>James Cummings, M.D.</w:t>
            </w: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8/16/2021</w:t>
            </w:r>
          </w:p>
        </w:tc>
        <w:tc>
          <w:tcPr>
            <w:tcW w:w="1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300,000</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8/15/2031</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3/28/2022</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246,093</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16,406(2)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3/27/2032</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3/17/2023</w:t>
            </w:r>
          </w:p>
        </w:tc>
        <w:tc>
          <w:tcPr>
            <w:tcW w:w="1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290,416</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119,584(2)</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3/16/2033</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3/17/2023</w:t>
            </w:r>
          </w:p>
        </w:tc>
        <w:tc>
          <w:tcPr>
            <w:tcW w:w="1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205,000(4)</w:t>
            </w:r>
          </w:p>
        </w:tc>
        <w:tc>
          <w:tcPr>
            <w:tcW w:w="14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3/16/2033</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3/17/2023</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45,000(3)</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w:t>
            </w: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3/18/2024</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179,375</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230,625(2)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3/17/2034</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3/18/2024</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67,500(3)</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23,625</w:t>
            </w: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610,000(2)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0.5126</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3/24/2035</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50,000(2)</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0.5126</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3/24/2035</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406,000(3)</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142,100</w:t>
            </w:r>
          </w:p>
        </w:tc>
      </w:tr>
      <w:tr>
        <w:trPr>
          <w:trHeight w:val="170"/>
        </w:trPr>
        <w:tc>
          <w:tcPr>
            <w:tcW w:w="1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Sean Tucker, Ph.D.</w:t>
            </w:r>
          </w:p>
        </w:tc>
        <w:tc>
          <w:tcPr>
            <w:tcW w:w="15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6/14/2017</w:t>
            </w:r>
          </w:p>
        </w:tc>
        <w:tc>
          <w:tcPr>
            <w:tcW w:w="1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9,060(4)</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6/23/2027</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2/13/2018</w:t>
            </w:r>
          </w:p>
        </w:tc>
        <w:tc>
          <w:tcPr>
            <w:tcW w:w="1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14,000(4)</w:t>
            </w:r>
          </w:p>
        </w:tc>
        <w:tc>
          <w:tcPr>
            <w:tcW w:w="14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5/24/2028</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5/10/2019</w:t>
            </w:r>
          </w:p>
        </w:tc>
        <w:tc>
          <w:tcPr>
            <w:tcW w:w="1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84,061(4)</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5/11/2029</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3/24/2020</w:t>
            </w:r>
          </w:p>
        </w:tc>
        <w:tc>
          <w:tcPr>
            <w:tcW w:w="1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360,000(4)</w:t>
            </w:r>
          </w:p>
        </w:tc>
        <w:tc>
          <w:tcPr>
            <w:tcW w:w="148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3/23/2030</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3/25/2021</w:t>
            </w:r>
          </w:p>
        </w:tc>
        <w:tc>
          <w:tcPr>
            <w:tcW w:w="1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100,000</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3/24/2031</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3/28/2022</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246,094</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16,406(2)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3/27/2032</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3/17/2023</w:t>
            </w:r>
          </w:p>
        </w:tc>
        <w:tc>
          <w:tcPr>
            <w:tcW w:w="1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205,000(4)</w:t>
            </w:r>
          </w:p>
        </w:tc>
        <w:tc>
          <w:tcPr>
            <w:tcW w:w="148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3/16/2033</w:t>
            </w:r>
          </w:p>
        </w:tc>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3/17/2023</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290,416</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119,584(2)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3/16/2033</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3/17/2023</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45,000(3)</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15,750</w:t>
            </w: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3/18/2024</w:t>
            </w:r>
          </w:p>
        </w:tc>
        <w:tc>
          <w:tcPr>
            <w:tcW w:w="176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179,375</w:t>
            </w:r>
          </w:p>
        </w:tc>
        <w:tc>
          <w:tcPr>
            <w:tcW w:w="14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230,625(2)</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3/17/2034</w:t>
            </w:r>
          </w:p>
        </w:tc>
        <w:tc>
          <w:tcPr>
            <w:tcW w:w="1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0"/>
        </w:trPr>
        <w:tc>
          <w:tcPr>
            <w:tcW w:w="1620" w:type="dxa"/>
            <w:vAlign w:val="bottom"/>
          </w:tcPr>
          <w:p>
            <w:pPr>
              <w:spacing w:after="0"/>
              <w:rPr>
                <w:sz w:val="14"/>
                <w:szCs w:val="14"/>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3/18/2024</w:t>
            </w:r>
          </w:p>
        </w:tc>
        <w:tc>
          <w:tcPr>
            <w:tcW w:w="1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67,500(3)</w:t>
            </w:r>
          </w:p>
        </w:tc>
        <w:tc>
          <w:tcPr>
            <w:tcW w:w="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23,625</w:t>
            </w:r>
          </w:p>
        </w:tc>
      </w:tr>
      <w:tr>
        <w:trPr>
          <w:trHeight w:val="170"/>
        </w:trPr>
        <w:tc>
          <w:tcPr>
            <w:tcW w:w="1620" w:type="dxa"/>
            <w:vAlign w:val="bottom"/>
            <w:shd w:val="clear" w:color="auto" w:fill="CCEEFF"/>
          </w:tcPr>
          <w:p>
            <w:pPr>
              <w:spacing w:after="0"/>
              <w:rPr>
                <w:sz w:val="14"/>
                <w:szCs w:val="14"/>
                <w:color w:val="auto"/>
              </w:rPr>
            </w:pPr>
          </w:p>
        </w:tc>
        <w:tc>
          <w:tcPr>
            <w:tcW w:w="1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406,000(3)</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142,100</w:t>
            </w:r>
          </w:p>
        </w:tc>
      </w:tr>
      <w:tr>
        <w:trPr>
          <w:trHeight w:val="184"/>
        </w:trPr>
        <w:tc>
          <w:tcPr>
            <w:tcW w:w="1620" w:type="dxa"/>
            <w:vAlign w:val="bottom"/>
          </w:tcPr>
          <w:p>
            <w:pPr>
              <w:spacing w:after="0"/>
              <w:rPr>
                <w:sz w:val="15"/>
                <w:szCs w:val="15"/>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3/24/2025</w:t>
            </w:r>
          </w:p>
        </w:tc>
        <w:tc>
          <w:tcPr>
            <w:tcW w:w="176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610,000(2)</w:t>
            </w:r>
          </w:p>
        </w:tc>
        <w:tc>
          <w:tcPr>
            <w:tcW w:w="6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0.5126</w:t>
            </w: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3/24/2035</w:t>
            </w:r>
          </w:p>
        </w:tc>
        <w:tc>
          <w:tcPr>
            <w:tcW w:w="1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1374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216" w:lineRule="exact"/>
        <w:rPr>
          <w:sz w:val="20"/>
          <w:szCs w:val="20"/>
          <w:color w:val="auto"/>
        </w:rPr>
      </w:pPr>
    </w:p>
    <w:p>
      <w:pPr>
        <w:ind w:left="1020" w:right="200" w:hanging="1015"/>
        <w:spacing w:after="0" w:line="286" w:lineRule="auto"/>
        <w:tabs>
          <w:tab w:leader="none" w:pos="10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value of restricted stock units that have not vested was determined by multiplying the number of shares by $0.35, the closing price of our common stock on December 31, 2025.</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020" w:hanging="1015"/>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 award vests as to 25% of the underlying shares on the first anniversary of the applicable vesting commencement date and in 36 equal monthly installments thereafter.</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remainder of an award that vest in four equal annual installments beginning on the first anniversary of the applicable vesting commencement date.</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these options are fully vested.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Practices Related to the Grant of Certain Equity Awards Close in Time to the Release of Material Nonpublic Information</w:t>
      </w:r>
    </w:p>
    <w:p>
      <w:pPr>
        <w:spacing w:after="0" w:line="180" w:lineRule="exact"/>
        <w:rPr>
          <w:sz w:val="20"/>
          <w:szCs w:val="20"/>
          <w:color w:val="auto"/>
        </w:rPr>
      </w:pPr>
    </w:p>
    <w:p>
      <w:pPr>
        <w:ind w:right="40" w:firstLine="254"/>
        <w:spacing w:after="0" w:line="269" w:lineRule="auto"/>
        <w:rPr>
          <w:sz w:val="20"/>
          <w:szCs w:val="20"/>
          <w:color w:val="auto"/>
        </w:rPr>
      </w:pPr>
      <w:r>
        <w:rPr>
          <w:rFonts w:ascii="Times New Roman" w:cs="Times New Roman" w:eastAsia="Times New Roman" w:hAnsi="Times New Roman"/>
          <w:sz w:val="14"/>
          <w:szCs w:val="14"/>
          <w:color w:val="auto"/>
        </w:rPr>
        <w:t>While we do not have a formal written policy in place with regard to the timing of awards of options in relation to the disclosure of material nonpublic information, our board of directors and the Compensation Committee do not seek to time equity grants to take advantage of information, either positive or negative, about our company that has not been publicly disclosed. Similarly, it is our practice not to time the release of material nonpublic information based on equity award grant dates or for the purpose of affecting the value of executive compensation.</w:t>
      </w:r>
    </w:p>
    <w:p>
      <w:pPr>
        <w:spacing w:after="0" w:line="137" w:lineRule="exact"/>
        <w:rPr>
          <w:sz w:val="20"/>
          <w:szCs w:val="20"/>
          <w:color w:val="auto"/>
        </w:rPr>
      </w:pPr>
    </w:p>
    <w:p>
      <w:pPr>
        <w:ind w:right="60" w:firstLine="254"/>
        <w:spacing w:after="0" w:line="286" w:lineRule="auto"/>
        <w:rPr>
          <w:sz w:val="20"/>
          <w:szCs w:val="20"/>
          <w:color w:val="auto"/>
        </w:rPr>
      </w:pPr>
      <w:r>
        <w:rPr>
          <w:rFonts w:ascii="Times New Roman" w:cs="Times New Roman" w:eastAsia="Times New Roman" w:hAnsi="Times New Roman"/>
          <w:sz w:val="14"/>
          <w:szCs w:val="14"/>
          <w:color w:val="auto"/>
        </w:rPr>
        <w:t>During 2025, we did not grant any stock options to a named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a report.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During 2025, our non-employee directors were compensated in the following manner under our director compensation program.</w:t>
      </w:r>
    </w:p>
    <w:p>
      <w:pPr>
        <w:spacing w:after="0" w:line="178"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The Company’s director compensation program is designed to enhance our ability to attract and retain highly qualified directors and to align their interests with the long-term interests of its stockholders. The program includes a cash component, which is intended to compensate non-employee directors for their service on our board of directors and an equity component, which is intended to align the interests of non-employee directors and stockholders. Directors who are employees of the Company receive no additional compensation for their service on our board of directors.</w:t>
      </w:r>
    </w:p>
    <w:p>
      <w:pPr>
        <w:spacing w:after="0" w:line="137" w:lineRule="exact"/>
        <w:rPr>
          <w:sz w:val="20"/>
          <w:szCs w:val="20"/>
          <w:color w:val="auto"/>
        </w:rPr>
      </w:pPr>
    </w:p>
    <w:p>
      <w:pPr>
        <w:ind w:right="60" w:firstLine="254"/>
        <w:spacing w:after="0" w:line="264" w:lineRule="auto"/>
        <w:rPr>
          <w:sz w:val="20"/>
          <w:szCs w:val="20"/>
          <w:color w:val="auto"/>
        </w:rPr>
      </w:pPr>
      <w:r>
        <w:rPr>
          <w:rFonts w:ascii="Times New Roman" w:cs="Times New Roman" w:eastAsia="Times New Roman" w:hAnsi="Times New Roman"/>
          <w:sz w:val="14"/>
          <w:szCs w:val="14"/>
          <w:color w:val="auto"/>
        </w:rPr>
        <w:t>The Compensation Committee annually reviews compensation paid to our non-employee directors and makes recommendations for adjustments, as appropriate, to the full board of directors. As part of this annual review, the Compensation Committee considers the significant time commitment and skill level required by each non-employee director in serving on our board of directors and its various committees. The Compensation Committee seeks to maintain a market competitive director compensation program and, with the assistance of its independent compensation consultant, benchmarks our director compensation program against those maintained by the peer group we use to evaluate our executive compensation program.</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Under the director compensation program for 2025, our non-employee directors received the following cash compensation for their service on our board of directors and its committees:</w:t>
      </w:r>
    </w:p>
    <w:p>
      <w:pPr>
        <w:spacing w:after="0" w:line="178" w:lineRule="exact"/>
        <w:rPr>
          <w:sz w:val="20"/>
          <w:szCs w:val="20"/>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$40,000 annual cash retainer;</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 for the Chair of the board of directors;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 for the Lead Director of the board of directors;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for the chair of the Audit Committee and $10,000 for each of its other members;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for the chair of the Compensation Committee, and $6,000 for each of its other members;</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for the chair of the Nominating and Governance Committee, and $5,000 for each of its other members; and</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$15,000 for the chair of the Science and Technology Committee, and $7,500 for each of its other members.</w:t>
      </w:r>
    </w:p>
    <w:p>
      <w:pPr>
        <w:spacing w:after="0" w:line="178" w:lineRule="exact"/>
        <w:rPr>
          <w:sz w:val="20"/>
          <w:szCs w:val="20"/>
          <w:color w:val="auto"/>
        </w:rPr>
      </w:pPr>
    </w:p>
    <w:p>
      <w:pPr>
        <w:ind w:right="100" w:firstLine="254"/>
        <w:spacing w:after="0" w:line="264" w:lineRule="auto"/>
        <w:rPr>
          <w:sz w:val="20"/>
          <w:szCs w:val="20"/>
          <w:color w:val="auto"/>
        </w:rPr>
      </w:pPr>
      <w:r>
        <w:rPr>
          <w:rFonts w:ascii="Times New Roman" w:cs="Times New Roman" w:eastAsia="Times New Roman" w:hAnsi="Times New Roman"/>
          <w:sz w:val="14"/>
          <w:szCs w:val="14"/>
          <w:color w:val="auto"/>
        </w:rPr>
        <w:t>In addition, each non-employee director who is initially elected or appointed to the board after the effective date of the program shall automatically be granted on the day of such first election or appointment: (i) a stock option to purchase 190,800 shares of our shares of common stock, and (ii) a RSU award covering 32,000 shares of our common stock (the “</w:t>
      </w:r>
      <w:r>
        <w:rPr>
          <w:rFonts w:ascii="Times New Roman" w:cs="Times New Roman" w:eastAsia="Times New Roman" w:hAnsi="Times New Roman"/>
          <w:sz w:val="14"/>
          <w:szCs w:val="14"/>
          <w:i w:val="1"/>
          <w:iCs w:val="1"/>
          <w:color w:val="auto"/>
        </w:rPr>
        <w:t>Initial Award</w:t>
      </w:r>
      <w:r>
        <w:rPr>
          <w:rFonts w:ascii="Times New Roman" w:cs="Times New Roman" w:eastAsia="Times New Roman" w:hAnsi="Times New Roman"/>
          <w:sz w:val="14"/>
          <w:szCs w:val="14"/>
          <w:color w:val="auto"/>
        </w:rPr>
        <w:t>”). Each Initial Award shall vest and become exercisable in substantially equal installments on each of the first three anniversaries of the date of grant, subject to the non-employee director continuing in service on the board through each such vesting date.</w:t>
      </w:r>
    </w:p>
    <w:p>
      <w:pPr>
        <w:spacing w:after="0" w:line="140" w:lineRule="exact"/>
        <w:rPr>
          <w:sz w:val="20"/>
          <w:szCs w:val="20"/>
          <w:color w:val="auto"/>
        </w:rPr>
      </w:pPr>
    </w:p>
    <w:p>
      <w:pPr>
        <w:ind w:right="60" w:firstLine="254"/>
        <w:spacing w:after="0" w:line="261" w:lineRule="auto"/>
        <w:rPr>
          <w:sz w:val="20"/>
          <w:szCs w:val="20"/>
          <w:color w:val="auto"/>
        </w:rPr>
      </w:pPr>
      <w:r>
        <w:rPr>
          <w:rFonts w:ascii="Times New Roman" w:cs="Times New Roman" w:eastAsia="Times New Roman" w:hAnsi="Times New Roman"/>
          <w:sz w:val="14"/>
          <w:szCs w:val="14"/>
          <w:color w:val="auto"/>
        </w:rPr>
        <w:t>A non-employee director who is serving on the board as of the date of any annual meeting after the effective date of the program, and who will continue to serve as a non-employee director immediately following such meeting, shall automatically be granted on the date of such annual meeting: (i) a stock option to purchase 95,400 shares of our common stock, and (ii) a RSU award covering 16,000 shares of our common stock (the “</w:t>
      </w:r>
      <w:r>
        <w:rPr>
          <w:rFonts w:ascii="Times New Roman" w:cs="Times New Roman" w:eastAsia="Times New Roman" w:hAnsi="Times New Roman"/>
          <w:sz w:val="14"/>
          <w:szCs w:val="14"/>
          <w:i w:val="1"/>
          <w:iCs w:val="1"/>
          <w:color w:val="auto"/>
        </w:rPr>
        <w:t>Annual Award</w:t>
      </w:r>
      <w:r>
        <w:rPr>
          <w:rFonts w:ascii="Times New Roman" w:cs="Times New Roman" w:eastAsia="Times New Roman" w:hAnsi="Times New Roman"/>
          <w:sz w:val="14"/>
          <w:szCs w:val="14"/>
          <w:color w:val="auto"/>
        </w:rPr>
        <w:t>”), which amounts are pro-rated for new directors to reflect their service since the last annual meeting. Each Annual Award shall vest and become exercisable on the earlier of (x) the first anniversary of the date of grant, or (y) the date immediately prior to the next annual meeting of the Company’s stockholders following the date of grant, subject to the non-employee director continuing in service on the board through such vesting date.</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Upon a change in control, all outstanding equity awards that are held by a non-employee director shall become fully vested and exercisable.</w:t>
      </w:r>
    </w:p>
    <w:p>
      <w:pPr>
        <w:spacing w:after="0" w:line="178" w:lineRule="exact"/>
        <w:rPr>
          <w:sz w:val="20"/>
          <w:szCs w:val="20"/>
          <w:color w:val="auto"/>
        </w:rPr>
      </w:pPr>
    </w:p>
    <w:p>
      <w:pPr>
        <w:ind w:firstLine="254"/>
        <w:spacing w:after="0" w:line="269" w:lineRule="auto"/>
        <w:rPr>
          <w:sz w:val="20"/>
          <w:szCs w:val="20"/>
          <w:color w:val="auto"/>
        </w:rPr>
      </w:pPr>
      <w:r>
        <w:rPr>
          <w:rFonts w:ascii="Times New Roman" w:cs="Times New Roman" w:eastAsia="Times New Roman" w:hAnsi="Times New Roman"/>
          <w:sz w:val="14"/>
          <w:szCs w:val="14"/>
          <w:color w:val="auto"/>
        </w:rPr>
        <w:t>Dr. Wheadon has devoted, and continues to devote, significant time assisting and advising the Company, in his capacity as a member of the board, on regulatory, pipeline optimization, and clinical development strategies and his time commitment on these projects has significantly exceeded, and will continue to exceed, what is reasonably expected of a member of the board. On March 5, 2025, the board of directors compensated Dr. Wheadon for his additional services as a member of the board with an additional one-time cash retainer of $20,000.</w:t>
      </w:r>
    </w:p>
    <w:p>
      <w:pPr>
        <w:spacing w:after="0" w:line="137" w:lineRule="exact"/>
        <w:rPr>
          <w:sz w:val="20"/>
          <w:szCs w:val="20"/>
          <w:color w:val="auto"/>
        </w:rPr>
      </w:pPr>
    </w:p>
    <w:p>
      <w:pPr>
        <w:ind w:right="20" w:firstLine="254"/>
        <w:spacing w:after="0" w:line="270" w:lineRule="auto"/>
        <w:rPr>
          <w:sz w:val="20"/>
          <w:szCs w:val="20"/>
          <w:color w:val="auto"/>
        </w:rPr>
      </w:pPr>
      <w:r>
        <w:rPr>
          <w:rFonts w:ascii="Times New Roman" w:cs="Times New Roman" w:eastAsia="Times New Roman" w:hAnsi="Times New Roman"/>
          <w:sz w:val="14"/>
          <w:szCs w:val="14"/>
          <w:color w:val="auto"/>
        </w:rPr>
        <w:t>Dr. Michael J. Finney retired as a director on September 30, 2025. In connection with Dr. Michael J. Finney’s retirement, and as a special recognition of his prior service and significant contributions, the board of directors (i) accelerated the vesting of Dr. Michael J. Finney’s outstanding stock options and restricted stock units, and (ii) extended the post-termination exercise period for each of Dr. Michael J. Finney’s outstanding and vested stock options until the earlier of the second anniversary of the effective date of his retirement, or the expiration of the stated 10-year term of the stock option.</w:t>
      </w:r>
      <w:r>
        <w:rPr>
          <w:rFonts w:ascii="Times New Roman" w:cs="Times New Roman" w:eastAsia="Times New Roman" w:hAnsi="Times New Roman"/>
          <w:sz w:val="23"/>
          <w:szCs w:val="23"/>
          <w:color w:val="auto"/>
          <w:vertAlign w:val="superscript"/>
        </w:rPr>
        <w:t>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Director Compensation</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director compensation information for each of the non-employee directors of the board of directors who served during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000" w:type="dxa"/>
            <w:vAlign w:val="bottom"/>
          </w:tcPr>
          <w:p>
            <w:pPr>
              <w:spacing w:after="0"/>
              <w:rPr>
                <w:sz w:val="14"/>
                <w:szCs w:val="14"/>
                <w:color w:val="auto"/>
              </w:rPr>
            </w:pP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earned or</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000" w:type="dxa"/>
            <w:vAlign w:val="bottom"/>
          </w:tcPr>
          <w:p>
            <w:pPr>
              <w:spacing w:after="0"/>
              <w:rPr>
                <w:sz w:val="14"/>
                <w:szCs w:val="14"/>
                <w:color w:val="auto"/>
              </w:rPr>
            </w:pP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62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6"/>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cash</w:t>
            </w:r>
          </w:p>
        </w:tc>
        <w:tc>
          <w:tcPr>
            <w:tcW w:w="620" w:type="dxa"/>
            <w:vAlign w:val="bottom"/>
          </w:tcPr>
          <w:p>
            <w:pPr>
              <w:spacing w:after="0"/>
              <w:rPr>
                <w:sz w:val="16"/>
                <w:szCs w:val="16"/>
                <w:color w:val="auto"/>
              </w:rPr>
            </w:pP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Awards(2)</w:t>
            </w:r>
          </w:p>
        </w:tc>
        <w:tc>
          <w:tcPr>
            <w:tcW w:w="60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Awards(2)</w:t>
            </w:r>
          </w:p>
        </w:tc>
        <w:tc>
          <w:tcPr>
            <w:tcW w:w="600" w:type="dxa"/>
            <w:vAlign w:val="bottom"/>
          </w:tcPr>
          <w:p>
            <w:pPr>
              <w:spacing w:after="0"/>
              <w:rPr>
                <w:sz w:val="16"/>
                <w:szCs w:val="16"/>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Pr>
          <w:p>
            <w:pPr>
              <w:spacing w:after="0"/>
              <w:rPr>
                <w:sz w:val="16"/>
                <w:szCs w:val="16"/>
                <w:color w:val="auto"/>
              </w:rPr>
            </w:pPr>
          </w:p>
        </w:tc>
      </w:tr>
      <w:tr>
        <w:trPr>
          <w:trHeight w:val="17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P. Finney (1)</w:t>
            </w:r>
          </w:p>
        </w:tc>
        <w:tc>
          <w:tcPr>
            <w:tcW w:w="23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50,875</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28,355</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150,849</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230,079</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Dr. Michael J. Finney (1)</w:t>
            </w: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63,750</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16,571</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89,464</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169,785</w:t>
            </w:r>
          </w:p>
        </w:tc>
      </w:tr>
      <w:tr>
        <w:trPr>
          <w:trHeight w:val="17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Elaine J. Heron, Ph.D.</w:t>
            </w:r>
          </w:p>
        </w:tc>
        <w:tc>
          <w:tcPr>
            <w:tcW w:w="23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71,175</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11,232</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59,112</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141,519</w:t>
            </w:r>
          </w:p>
        </w:tc>
      </w:tr>
      <w:tr>
        <w:trPr>
          <w:trHeight w:val="170"/>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W. Mark Watson</w:t>
            </w: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73,609</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11,232</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59,112</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143,953</w:t>
            </w:r>
          </w:p>
        </w:tc>
      </w:tr>
      <w:tr>
        <w:trPr>
          <w:trHeight w:val="17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23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82,625</w:t>
            </w:r>
          </w:p>
        </w:tc>
        <w:tc>
          <w:tcPr>
            <w:tcW w:w="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11,232</w:t>
            </w: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59,112</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152,969</w:t>
            </w:r>
          </w:p>
        </w:tc>
      </w:tr>
      <w:tr>
        <w:trPr>
          <w:trHeight w:val="184"/>
        </w:trPr>
        <w:tc>
          <w:tcPr>
            <w:tcW w:w="3000" w:type="dxa"/>
            <w:vAlign w:val="bottom"/>
          </w:tcPr>
          <w:p>
            <w:pPr>
              <w:spacing w:after="0"/>
              <w:rPr>
                <w:sz w:val="20"/>
                <w:szCs w:val="20"/>
                <w:color w:val="auto"/>
              </w:rPr>
            </w:pPr>
            <w:r>
              <w:rPr>
                <w:rFonts w:ascii="Times New Roman" w:cs="Times New Roman" w:eastAsia="Times New Roman" w:hAnsi="Times New Roman"/>
                <w:sz w:val="14"/>
                <w:szCs w:val="14"/>
                <w:color w:val="auto"/>
              </w:rPr>
              <w:t>Robert A. Yedid(1)</w:t>
            </w:r>
          </w:p>
        </w:tc>
        <w:tc>
          <w:tcPr>
            <w:tcW w:w="230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4,744</w:t>
            </w:r>
          </w:p>
        </w:tc>
        <w:tc>
          <w:tcPr>
            <w:tcW w:w="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24,339</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29,083</w:t>
            </w:r>
          </w:p>
        </w:tc>
      </w:tr>
    </w:tbl>
    <w:p>
      <w:pPr>
        <w:spacing w:after="0" w:line="141" w:lineRule="exact"/>
        <w:rPr>
          <w:sz w:val="20"/>
          <w:szCs w:val="20"/>
          <w:color w:val="auto"/>
        </w:rPr>
      </w:pPr>
    </w:p>
    <w:p>
      <w:pPr>
        <w:ind w:right="440" w:firstLine="5"/>
        <w:spacing w:after="0" w:line="286" w:lineRule="auto"/>
        <w:tabs>
          <w:tab w:leader="none" w:pos="2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Yedid resigned as a director on January 28, 2025, and Dr. Michael J. Finney retired as a director on September 30, 2025. Mr. Finney was appointed to serve on the board of directors on January 28, 2025.</w:t>
      </w:r>
    </w:p>
    <w:p>
      <w:pPr>
        <w:spacing w:after="0" w:line="125" w:lineRule="exact"/>
        <w:rPr>
          <w:rFonts w:ascii="Times New Roman" w:cs="Times New Roman" w:eastAsia="Times New Roman" w:hAnsi="Times New Roman"/>
          <w:sz w:val="14"/>
          <w:szCs w:val="14"/>
          <w:color w:val="auto"/>
        </w:rPr>
      </w:pPr>
    </w:p>
    <w:p>
      <w:pPr>
        <w:ind w:right="300" w:firstLine="5"/>
        <w:spacing w:after="0" w:line="264" w:lineRule="auto"/>
        <w:tabs>
          <w:tab w:leader="none" w:pos="20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grant date fair value of restricted stock unit awards and stock option awards for the year computed in accordance with ASC Topic 718. See Note 10 to the consolidated financial statements included in our Annual Report for the fiscal year ended December 31, 2025, filed with the SEC on March 13, 2026, for a discussion of the relevant assumptions used in calculating the grant date fair value pursuant to FASB ASC Topic 718. For Mr. Yedid and Dr. Michael J. Finney, the amounts also include the incremental fair value of their stock option and for Dr. Michael J. Finney the incremental fair value of his restricted stock unit awards, calculated in accordance with FASB ASC Topic 718, that were modified in connection with their retirement.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424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0"/>
        </w:trPr>
        <w:tc>
          <w:tcPr>
            <w:tcW w:w="4660" w:type="dxa"/>
            <w:vAlign w:val="bottom"/>
          </w:tcPr>
          <w:p>
            <w:pPr>
              <w:spacing w:after="0"/>
              <w:rPr>
                <w:sz w:val="14"/>
                <w:szCs w:val="14"/>
                <w:color w:val="auto"/>
              </w:rPr>
            </w:pPr>
          </w:p>
        </w:tc>
        <w:tc>
          <w:tcPr>
            <w:tcW w:w="424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70"/>
        </w:trPr>
        <w:tc>
          <w:tcPr>
            <w:tcW w:w="4660" w:type="dxa"/>
            <w:vAlign w:val="bottom"/>
          </w:tcPr>
          <w:p>
            <w:pPr>
              <w:spacing w:after="0"/>
              <w:rPr>
                <w:sz w:val="14"/>
                <w:szCs w:val="14"/>
                <w:color w:val="auto"/>
              </w:rPr>
            </w:pPr>
          </w:p>
        </w:tc>
        <w:tc>
          <w:tcPr>
            <w:tcW w:w="424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70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underlying</w:t>
            </w:r>
          </w:p>
        </w:tc>
      </w:tr>
      <w:tr>
        <w:trPr>
          <w:trHeight w:val="186"/>
        </w:trPr>
        <w:tc>
          <w:tcPr>
            <w:tcW w:w="4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40" w:type="dxa"/>
            <w:vAlign w:val="bottom"/>
          </w:tcPr>
          <w:p>
            <w:pPr>
              <w:ind w:left="336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00" w:type="dxa"/>
            <w:vAlign w:val="bottom"/>
          </w:tcPr>
          <w:p>
            <w:pPr>
              <w:spacing w:after="0"/>
              <w:rPr>
                <w:sz w:val="16"/>
                <w:szCs w:val="16"/>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17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Kevin P. Finney</w:t>
            </w:r>
          </w:p>
        </w:tc>
        <w:tc>
          <w:tcPr>
            <w:tcW w:w="4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38,103</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227,192</w:t>
            </w:r>
          </w:p>
        </w:tc>
      </w:tr>
      <w:tr>
        <w:trPr>
          <w:trHeight w:val="170"/>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Dr. Michael J. Finney</w:t>
            </w:r>
          </w:p>
        </w:tc>
        <w:tc>
          <w:tcPr>
            <w:tcW w:w="424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16,000</w:t>
            </w:r>
          </w:p>
        </w:tc>
        <w:tc>
          <w:tcPr>
            <w:tcW w:w="1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95,400</w:t>
            </w:r>
          </w:p>
        </w:tc>
      </w:tr>
      <w:tr>
        <w:trPr>
          <w:trHeight w:val="17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Elaine J. Heron, Ph.D.</w:t>
            </w:r>
          </w:p>
        </w:tc>
        <w:tc>
          <w:tcPr>
            <w:tcW w:w="4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16,000</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95,400</w:t>
            </w:r>
          </w:p>
        </w:tc>
      </w:tr>
      <w:tr>
        <w:trPr>
          <w:trHeight w:val="170"/>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W. Mark Watson</w:t>
            </w:r>
          </w:p>
        </w:tc>
        <w:tc>
          <w:tcPr>
            <w:tcW w:w="424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16,000</w:t>
            </w:r>
          </w:p>
        </w:tc>
        <w:tc>
          <w:tcPr>
            <w:tcW w:w="16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95,400</w:t>
            </w:r>
          </w:p>
        </w:tc>
      </w:tr>
      <w:tr>
        <w:trPr>
          <w:trHeight w:val="17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42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16,000</w:t>
            </w:r>
          </w:p>
        </w:tc>
        <w:tc>
          <w:tcPr>
            <w:tcW w:w="1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95,400</w:t>
            </w:r>
          </w:p>
        </w:tc>
      </w:tr>
    </w:tbl>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beneficial ownership of the Company’s common stock as of May 1, 2026 by:</w:t>
      </w:r>
    </w:p>
    <w:p>
      <w:pPr>
        <w:spacing w:after="0" w:line="178" w:lineRule="exact"/>
        <w:rPr>
          <w:sz w:val="20"/>
          <w:szCs w:val="20"/>
          <w:color w:val="auto"/>
        </w:rPr>
      </w:pPr>
    </w:p>
    <w:p>
      <w:pPr>
        <w:ind w:left="1020" w:hanging="1015"/>
        <w:spacing w:after="0"/>
        <w:tabs>
          <w:tab w:leader="none" w:pos="10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known to be the beneficial owner of more than 5% of the outstanding common stock of the Company;</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Company’s executive officers and directors; and</w:t>
      </w:r>
    </w:p>
    <w:p>
      <w:pPr>
        <w:spacing w:after="0" w:line="178" w:lineRule="exact"/>
        <w:rPr>
          <w:rFonts w:ascii="Times New Roman" w:cs="Times New Roman" w:eastAsia="Times New Roman" w:hAnsi="Times New Roman"/>
          <w:sz w:val="14"/>
          <w:szCs w:val="14"/>
          <w:color w:val="auto"/>
        </w:rPr>
      </w:pPr>
    </w:p>
    <w:p>
      <w:pPr>
        <w:ind w:left="1020" w:hanging="1015"/>
        <w:spacing w:after="0"/>
        <w:tabs>
          <w:tab w:leader="none" w:pos="10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Company’s current executive officers and directors as a group.</w:t>
      </w:r>
    </w:p>
    <w:p>
      <w:pPr>
        <w:spacing w:after="0" w:line="178" w:lineRule="exact"/>
        <w:rPr>
          <w:sz w:val="20"/>
          <w:szCs w:val="20"/>
          <w:color w:val="auto"/>
        </w:rPr>
      </w:pPr>
    </w:p>
    <w:p>
      <w:pPr>
        <w:ind w:right="40" w:firstLine="509"/>
        <w:spacing w:after="0" w:line="269" w:lineRule="auto"/>
        <w:rPr>
          <w:sz w:val="20"/>
          <w:szCs w:val="20"/>
          <w:color w:val="auto"/>
        </w:rPr>
      </w:pPr>
      <w:r>
        <w:rPr>
          <w:rFonts w:ascii="Times New Roman" w:cs="Times New Roman" w:eastAsia="Times New Roman" w:hAnsi="Times New Roman"/>
          <w:sz w:val="14"/>
          <w:szCs w:val="14"/>
          <w:color w:val="auto"/>
        </w:rPr>
        <w:t>This table is based upon information supplied by officers, directors and principal stockholders and Schedules 13G filed with the SEC.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241,973,011 shares outstanding on May 1, 2026, adjusted as required by rules promulgated by the SEC.</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otherwise indicated, the address of each beneficial owner listed in the table below is c/o Vaxart, Inc., 310 Utah Ave, Suite 150, South San Francisco, California 94080.</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Beneficial Owners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Percentage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Beneficially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Owned</w:t>
      </w:r>
    </w:p>
    <w:p>
      <w:pPr>
        <w:spacing w:after="0" w:line="18" w:lineRule="exact"/>
        <w:rPr>
          <w:sz w:val="20"/>
          <w:szCs w:val="20"/>
          <w:color w:val="auto"/>
        </w:rPr>
      </w:pPr>
    </w:p>
    <w:p>
      <w:pPr>
        <w:sectPr>
          <w:pgSz w:w="11900" w:h="16838" w:orient="portrait"/>
          <w:cols w:equalWidth="0" w:num="3">
            <w:col w:w="7560" w:space="720"/>
            <w:col w:w="700" w:space="700"/>
            <w:col w:w="16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5% or Greater Stockholders</w:t>
            </w:r>
          </w:p>
        </w:tc>
        <w:tc>
          <w:tcPr>
            <w:tcW w:w="40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0"/>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none qualified</w:t>
            </w:r>
          </w:p>
        </w:tc>
        <w:tc>
          <w:tcPr>
            <w:tcW w:w="4080" w:type="dxa"/>
            <w:vAlign w:val="bottom"/>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0</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Executive Officers and Directors</w:t>
            </w:r>
          </w:p>
        </w:tc>
        <w:tc>
          <w:tcPr>
            <w:tcW w:w="40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70"/>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Steven Lo</w:t>
            </w:r>
          </w:p>
        </w:tc>
        <w:tc>
          <w:tcPr>
            <w:tcW w:w="4080" w:type="dxa"/>
            <w:vAlign w:val="bottom"/>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1,737,689</w:t>
            </w:r>
            <w:r>
              <w:rPr>
                <w:rFonts w:ascii="Times New Roman" w:cs="Times New Roman" w:eastAsia="Times New Roman" w:hAnsi="Times New Roman"/>
                <w:sz w:val="19"/>
                <w:szCs w:val="19"/>
                <w:color w:val="auto"/>
                <w:vertAlign w:val="superscript"/>
              </w:rPr>
              <w:t>(1)</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Cummings, M.D.</w:t>
            </w:r>
          </w:p>
        </w:tc>
        <w:tc>
          <w:tcPr>
            <w:tcW w:w="4080" w:type="dxa"/>
            <w:vAlign w:val="bottom"/>
            <w:shd w:val="clear" w:color="auto" w:fill="CCEEFF"/>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1,898,982</w:t>
            </w:r>
            <w:r>
              <w:rPr>
                <w:rFonts w:ascii="Times New Roman" w:cs="Times New Roman" w:eastAsia="Times New Roman" w:hAnsi="Times New Roman"/>
                <w:sz w:val="19"/>
                <w:szCs w:val="19"/>
                <w:color w:val="auto"/>
                <w:vertAlign w:val="superscript"/>
              </w:rPr>
              <w:t>(2)</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Sean Tucker, Ph.D.</w:t>
            </w:r>
          </w:p>
        </w:tc>
        <w:tc>
          <w:tcPr>
            <w:tcW w:w="4080" w:type="dxa"/>
            <w:vAlign w:val="bottom"/>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2,156,165</w:t>
            </w:r>
            <w:r>
              <w:rPr>
                <w:rFonts w:ascii="Times New Roman" w:cs="Times New Roman" w:eastAsia="Times New Roman" w:hAnsi="Times New Roman"/>
                <w:sz w:val="19"/>
                <w:szCs w:val="19"/>
                <w:color w:val="auto"/>
                <w:vertAlign w:val="superscript"/>
              </w:rPr>
              <w:t>(3)</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J. Finney, Ph.D.</w:t>
            </w:r>
          </w:p>
        </w:tc>
        <w:tc>
          <w:tcPr>
            <w:tcW w:w="4080" w:type="dxa"/>
            <w:vAlign w:val="bottom"/>
            <w:shd w:val="clear" w:color="auto" w:fill="CCEEFF"/>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1,062,885</w:t>
            </w:r>
            <w:r>
              <w:rPr>
                <w:rFonts w:ascii="Times New Roman" w:cs="Times New Roman" w:eastAsia="Times New Roman" w:hAnsi="Times New Roman"/>
                <w:sz w:val="19"/>
                <w:szCs w:val="19"/>
                <w:color w:val="auto"/>
                <w:vertAlign w:val="superscript"/>
              </w:rPr>
              <w:t>(4)</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Kevin P. Finney</w:t>
            </w:r>
          </w:p>
        </w:tc>
        <w:tc>
          <w:tcPr>
            <w:tcW w:w="4080" w:type="dxa"/>
            <w:vAlign w:val="bottom"/>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283,429</w:t>
            </w:r>
            <w:r>
              <w:rPr>
                <w:rFonts w:ascii="Times New Roman" w:cs="Times New Roman" w:eastAsia="Times New Roman" w:hAnsi="Times New Roman"/>
                <w:sz w:val="19"/>
                <w:szCs w:val="19"/>
                <w:color w:val="auto"/>
                <w:vertAlign w:val="superscript"/>
              </w:rPr>
              <w:t>(5)</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Elaine J. Heron, Ph.D.</w:t>
            </w:r>
          </w:p>
        </w:tc>
        <w:tc>
          <w:tcPr>
            <w:tcW w:w="4080" w:type="dxa"/>
            <w:vAlign w:val="bottom"/>
            <w:shd w:val="clear" w:color="auto" w:fill="CCEEFF"/>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417,324</w:t>
            </w:r>
            <w:r>
              <w:rPr>
                <w:rFonts w:ascii="Times New Roman" w:cs="Times New Roman" w:eastAsia="Times New Roman" w:hAnsi="Times New Roman"/>
                <w:sz w:val="19"/>
                <w:szCs w:val="19"/>
                <w:color w:val="auto"/>
                <w:vertAlign w:val="superscript"/>
              </w:rPr>
              <w:t>(6)</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W. Mark Watson</w:t>
            </w:r>
          </w:p>
        </w:tc>
        <w:tc>
          <w:tcPr>
            <w:tcW w:w="4080" w:type="dxa"/>
            <w:vAlign w:val="bottom"/>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447,597</w:t>
            </w:r>
            <w:r>
              <w:rPr>
                <w:rFonts w:ascii="Times New Roman" w:cs="Times New Roman" w:eastAsia="Times New Roman" w:hAnsi="Times New Roman"/>
                <w:sz w:val="19"/>
                <w:szCs w:val="19"/>
                <w:color w:val="auto"/>
                <w:vertAlign w:val="superscript"/>
              </w:rPr>
              <w:t>(7)</w:t>
            </w:r>
          </w:p>
        </w:tc>
        <w:tc>
          <w:tcPr>
            <w:tcW w:w="10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Wheadon, M.D.</w:t>
            </w:r>
          </w:p>
        </w:tc>
        <w:tc>
          <w:tcPr>
            <w:tcW w:w="4080" w:type="dxa"/>
            <w:vAlign w:val="bottom"/>
            <w:shd w:val="clear" w:color="auto" w:fill="CCEEFF"/>
          </w:tcPr>
          <w:p>
            <w:pPr>
              <w:jc w:val="right"/>
              <w:ind w:right="657"/>
              <w:spacing w:after="0" w:line="170" w:lineRule="exact"/>
              <w:rPr>
                <w:sz w:val="20"/>
                <w:szCs w:val="20"/>
                <w:color w:val="auto"/>
              </w:rPr>
            </w:pPr>
            <w:r>
              <w:rPr>
                <w:rFonts w:ascii="Times New Roman" w:cs="Times New Roman" w:eastAsia="Times New Roman" w:hAnsi="Times New Roman"/>
                <w:sz w:val="12"/>
                <w:szCs w:val="12"/>
                <w:b w:val="1"/>
                <w:bCs w:val="1"/>
                <w:color w:val="auto"/>
              </w:rPr>
              <w:t>391,698</w:t>
            </w:r>
            <w:r>
              <w:rPr>
                <w:rFonts w:ascii="Times New Roman" w:cs="Times New Roman" w:eastAsia="Times New Roman" w:hAnsi="Times New Roman"/>
                <w:sz w:val="19"/>
                <w:szCs w:val="19"/>
                <w:color w:val="auto"/>
                <w:vertAlign w:val="superscript"/>
              </w:rPr>
              <w:t>(8)</w:t>
            </w:r>
          </w:p>
        </w:tc>
        <w:tc>
          <w:tcPr>
            <w:tcW w:w="10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6140" w:type="dxa"/>
            <w:vAlign w:val="bottom"/>
          </w:tcPr>
          <w:p>
            <w:pPr>
              <w:spacing w:after="0"/>
              <w:rPr>
                <w:sz w:val="20"/>
                <w:szCs w:val="20"/>
                <w:color w:val="auto"/>
              </w:rPr>
            </w:pPr>
            <w:r>
              <w:rPr>
                <w:rFonts w:ascii="Times New Roman" w:cs="Times New Roman" w:eastAsia="Times New Roman" w:hAnsi="Times New Roman"/>
                <w:sz w:val="14"/>
                <w:szCs w:val="14"/>
                <w:color w:val="auto"/>
              </w:rPr>
              <w:t>All directors and executive officers as a group (10 individuals)</w:t>
            </w:r>
          </w:p>
        </w:tc>
        <w:tc>
          <w:tcPr>
            <w:tcW w:w="4080" w:type="dxa"/>
            <w:vAlign w:val="bottom"/>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10,277,261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1374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740" cy="6985"/>
                    </a:xfrm>
                    <a:prstGeom prst="rect">
                      <a:avLst/>
                    </a:prstGeom>
                    <a:noFill/>
                  </pic:spPr>
                </pic:pic>
              </a:graphicData>
            </a:graphic>
          </wp:anchor>
        </w:drawing>
      </w:r>
    </w:p>
    <w:p>
      <w:pPr>
        <w:spacing w:after="0" w:line="214" w:lineRule="exact"/>
        <w:rPr>
          <w:sz w:val="20"/>
          <w:szCs w:val="20"/>
          <w:color w:val="auto"/>
        </w:rPr>
      </w:pPr>
    </w:p>
    <w:p>
      <w:pPr>
        <w:ind w:left="1280" w:right="160" w:hanging="164"/>
        <w:spacing w:after="0" w:line="286" w:lineRule="auto"/>
        <w:rPr>
          <w:sz w:val="20"/>
          <w:szCs w:val="20"/>
          <w:color w:val="auto"/>
        </w:rPr>
      </w:pPr>
      <w:r>
        <w:rPr>
          <w:rFonts w:ascii="Times New Roman" w:cs="Times New Roman" w:eastAsia="Times New Roman" w:hAnsi="Times New Roman"/>
          <w:sz w:val="14"/>
          <w:szCs w:val="14"/>
          <w:color w:val="auto"/>
        </w:rPr>
        <w:t>(1)Consists of (i) 460,356 shares of common stock directly held by Mr. Lo, (ii) 100,000 shares held by The Lo Family Trust, and (iii) 1,177,333 shares issuable pursuant to stock options exercisable within 60 days of May 1, 2026.</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(2)Consists of (i) 366,691 shares of common stock held directly by Dr. Cummings, and (ii) 1,532,291 shares issuable pursuant to stock options exercisable within 60 days of May</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1, 2026.</w:t>
      </w:r>
    </w:p>
    <w:p>
      <w:pPr>
        <w:spacing w:after="0" w:line="164" w:lineRule="exact"/>
        <w:rPr>
          <w:sz w:val="20"/>
          <w:szCs w:val="20"/>
          <w:color w:val="auto"/>
        </w:rPr>
      </w:pPr>
    </w:p>
    <w:p>
      <w:pPr>
        <w:ind w:left="1280" w:right="180" w:hanging="164"/>
        <w:spacing w:after="0" w:line="286" w:lineRule="auto"/>
        <w:rPr>
          <w:sz w:val="20"/>
          <w:szCs w:val="20"/>
          <w:color w:val="auto"/>
        </w:rPr>
      </w:pPr>
      <w:r>
        <w:rPr>
          <w:rFonts w:ascii="Times New Roman" w:cs="Times New Roman" w:eastAsia="Times New Roman" w:hAnsi="Times New Roman"/>
          <w:sz w:val="14"/>
          <w:szCs w:val="14"/>
          <w:color w:val="auto"/>
        </w:rPr>
        <w:t>(3)Consists of (i) 310,811 shares held directly by Dr. Tucker, (ii) 51,465 shares held jointly by Frances Chang and Dr. Tucker, (iii) 9,060 shares held by Dr. Tucker’s spouse, and (iv) 1,784,829 shares issuable pursuant to stock options exercisable within 60 days of May 1, 2026.</w:t>
      </w:r>
    </w:p>
    <w:p>
      <w:pPr>
        <w:spacing w:after="0" w:line="125" w:lineRule="exact"/>
        <w:rPr>
          <w:sz w:val="20"/>
          <w:szCs w:val="20"/>
          <w:color w:val="auto"/>
        </w:rPr>
      </w:pPr>
    </w:p>
    <w:p>
      <w:pPr>
        <w:ind w:left="1280" w:right="100" w:hanging="164"/>
        <w:spacing w:after="0" w:line="286" w:lineRule="auto"/>
        <w:rPr>
          <w:sz w:val="20"/>
          <w:szCs w:val="20"/>
          <w:color w:val="auto"/>
        </w:rPr>
      </w:pPr>
      <w:r>
        <w:rPr>
          <w:rFonts w:ascii="Times New Roman" w:cs="Times New Roman" w:eastAsia="Times New Roman" w:hAnsi="Times New Roman"/>
          <w:sz w:val="14"/>
          <w:szCs w:val="14"/>
          <w:color w:val="auto"/>
        </w:rPr>
        <w:t>(4)Consists of (i) 686,840 shares of common stock held directly by Dr. Michael J. Finney, and (ii) 360,045 shares issuable pursuant to stock options exercisable and 16,000 shares issuable pursuant to restricted stock unit vesting within 60 days of May 1, 2026.</w:t>
      </w:r>
    </w:p>
    <w:p>
      <w:pPr>
        <w:spacing w:after="0" w:line="125" w:lineRule="exact"/>
        <w:rPr>
          <w:sz w:val="20"/>
          <w:szCs w:val="20"/>
          <w:color w:val="auto"/>
        </w:rPr>
      </w:pPr>
    </w:p>
    <w:p>
      <w:pPr>
        <w:ind w:left="1280" w:right="260" w:hanging="164"/>
        <w:spacing w:after="0" w:line="286" w:lineRule="auto"/>
        <w:rPr>
          <w:sz w:val="20"/>
          <w:szCs w:val="20"/>
          <w:color w:val="auto"/>
        </w:rPr>
      </w:pPr>
      <w:r>
        <w:rPr>
          <w:rFonts w:ascii="Times New Roman" w:cs="Times New Roman" w:eastAsia="Times New Roman" w:hAnsi="Times New Roman"/>
          <w:sz w:val="14"/>
          <w:szCs w:val="14"/>
          <w:color w:val="auto"/>
        </w:rPr>
        <w:t>(5)Consists of (i) 166,668 shares of common stock held directly by Mr. Kevin P. Finney, and (ii) 99,992 shares issuable pursuant to stock options exercisable and 16,769 shares issuable pursuant to restricted stock unit vesting within 60 days of May 1, 2026.</w:t>
      </w:r>
    </w:p>
    <w:p>
      <w:pPr>
        <w:spacing w:after="0" w:line="125" w:lineRule="exact"/>
        <w:rPr>
          <w:sz w:val="20"/>
          <w:szCs w:val="20"/>
          <w:color w:val="auto"/>
        </w:rPr>
      </w:pPr>
    </w:p>
    <w:p>
      <w:pPr>
        <w:ind w:left="1280" w:right="340" w:hanging="164"/>
        <w:spacing w:after="0" w:line="286" w:lineRule="auto"/>
        <w:rPr>
          <w:sz w:val="20"/>
          <w:szCs w:val="20"/>
          <w:color w:val="auto"/>
        </w:rPr>
      </w:pPr>
      <w:r>
        <w:rPr>
          <w:rFonts w:ascii="Times New Roman" w:cs="Times New Roman" w:eastAsia="Times New Roman" w:hAnsi="Times New Roman"/>
          <w:sz w:val="14"/>
          <w:szCs w:val="14"/>
          <w:color w:val="auto"/>
        </w:rPr>
        <w:t>(6)Consists of (i) 80,566 shares of common stock held directly by Dr. Heron, and (ii) 320,758 shares issuable pursuant to stock options exercisable and 16,000 shares issuable pursuant to restricted stock unit vesting within 60 days of May 1, 2026.</w:t>
      </w:r>
    </w:p>
    <w:p>
      <w:pPr>
        <w:spacing w:after="0" w:line="125" w:lineRule="exact"/>
        <w:rPr>
          <w:sz w:val="20"/>
          <w:szCs w:val="20"/>
          <w:color w:val="auto"/>
        </w:rPr>
      </w:pPr>
    </w:p>
    <w:p>
      <w:pPr>
        <w:ind w:left="1280" w:right="160" w:hanging="164"/>
        <w:spacing w:after="0" w:line="286" w:lineRule="auto"/>
        <w:rPr>
          <w:sz w:val="20"/>
          <w:szCs w:val="20"/>
          <w:color w:val="auto"/>
        </w:rPr>
      </w:pPr>
      <w:r>
        <w:rPr>
          <w:rFonts w:ascii="Times New Roman" w:cs="Times New Roman" w:eastAsia="Times New Roman" w:hAnsi="Times New Roman"/>
          <w:sz w:val="14"/>
          <w:szCs w:val="14"/>
          <w:color w:val="auto"/>
        </w:rPr>
        <w:t>(7)Consists of (i) 108,125 shares of common stock held directly by Mr. Watson, and (ii) 323,472 shares issuable pursuant to stock options exercisable and 16,000 shares issuable pursuant to restricted stock unit vesting within 60 days of May 1, 2026.</w:t>
      </w:r>
    </w:p>
    <w:p>
      <w:pPr>
        <w:spacing w:after="0" w:line="12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(8)Consists of (i) 30,750 shares of common stock held directly by Dr. Wheadon, and (ii) 344,948 shares issuable pursuant to stock options exercisable within 60 days of May 1,</w:t>
      </w:r>
    </w:p>
    <w:p>
      <w:pPr>
        <w:spacing w:after="0" w:line="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2026.</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CERTAIN RELATIONSHIPS AND RELATED PARTY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Related-Party Transaction Policy and Procedures</w:t>
      </w:r>
    </w:p>
    <w:p>
      <w:pPr>
        <w:spacing w:after="0" w:line="180" w:lineRule="exact"/>
        <w:rPr>
          <w:sz w:val="20"/>
          <w:szCs w:val="20"/>
          <w:color w:val="auto"/>
        </w:rPr>
      </w:pPr>
    </w:p>
    <w:p>
      <w:pPr>
        <w:ind w:right="20" w:firstLine="254"/>
        <w:spacing w:after="0" w:line="257" w:lineRule="auto"/>
        <w:rPr>
          <w:sz w:val="20"/>
          <w:szCs w:val="20"/>
          <w:color w:val="auto"/>
        </w:rPr>
      </w:pPr>
      <w:r>
        <w:rPr>
          <w:rFonts w:ascii="Times New Roman" w:cs="Times New Roman" w:eastAsia="Times New Roman" w:hAnsi="Times New Roman"/>
          <w:sz w:val="14"/>
          <w:szCs w:val="14"/>
          <w:color w:val="auto"/>
        </w:rPr>
        <w:t>We have adopted a written Related Party Transaction Policy that sets forth our policies and procedures regarding the identification, review, consideration and approval or ratification of “related party transactions.” For purposes of our policy only, a “related party transaction” is a transaction, arrangement or relationship (including indebtedness or a guarantee of indebtedness) or any series of similar transactions, arrangements or relationships in which we and any “related party” are, were or will be participants involving an amount that exceeds $120,000 and in which any “related party” has a direct or indirect material interest. Certain types of related party transactions are deemed to be pre-approved or ratified, as applicable, including: (i) the payment of compensation by us to our executive officers or directors; and (ii) a transaction where the related party’s interest arises solely from the ownership of a class of equity securities of the Company and all holders of that class of equity securities received the same benefit on a pro rata basis. A related party is any executive officer, director, nominee to become a director or more than 5% stockholder of us, including any of their immediate family members, and any entity owned or controlled by such persons. We describe below such transactions or series of similar transactions to which we have been or were a party since January 1, 2024.</w:t>
      </w:r>
    </w:p>
    <w:p>
      <w:pPr>
        <w:spacing w:after="0" w:line="147" w:lineRule="exact"/>
        <w:rPr>
          <w:sz w:val="20"/>
          <w:szCs w:val="20"/>
          <w:color w:val="auto"/>
        </w:rPr>
      </w:pPr>
    </w:p>
    <w:p>
      <w:pPr>
        <w:ind w:firstLine="254"/>
        <w:spacing w:after="0" w:line="256" w:lineRule="auto"/>
        <w:rPr>
          <w:sz w:val="20"/>
          <w:szCs w:val="20"/>
          <w:color w:val="auto"/>
        </w:rPr>
      </w:pPr>
      <w:r>
        <w:rPr>
          <w:rFonts w:ascii="Times New Roman" w:cs="Times New Roman" w:eastAsia="Times New Roman" w:hAnsi="Times New Roman"/>
          <w:sz w:val="14"/>
          <w:szCs w:val="14"/>
          <w:color w:val="auto"/>
        </w:rPr>
        <w:t>Under the policy, where a transaction has been identified as a related party transaction, management must present information regarding the proposed related party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parties, the benefits to us of the transaction and whether any alternative transactions were available. To identify related party transactions in advance, we rely on information supplied by our executive officers, directors and certain significant stockholders. In considering related party transactions, the Audit Committee takes into account the relevant available facts and circumstances including, but not limited to (a) the risks, costs and benefits to us, (b) the impact on a director’s independence in the event the related party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from the deliberations and approval. The policy requires that, in determining whether to approve, ratify or reject a related party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Certain Related-Person Transactions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Indemnity Agreements</w:t>
      </w:r>
    </w:p>
    <w:p>
      <w:pPr>
        <w:spacing w:after="0" w:line="180" w:lineRule="exact"/>
        <w:rPr>
          <w:sz w:val="20"/>
          <w:szCs w:val="20"/>
          <w:color w:val="auto"/>
        </w:rPr>
      </w:pPr>
    </w:p>
    <w:p>
      <w:pPr>
        <w:ind w:right="120" w:firstLine="254"/>
        <w:spacing w:after="0" w:line="264" w:lineRule="auto"/>
        <w:rPr>
          <w:sz w:val="20"/>
          <w:szCs w:val="20"/>
          <w:color w:val="auto"/>
        </w:rPr>
      </w:pPr>
      <w:r>
        <w:rPr>
          <w:rFonts w:ascii="Times New Roman" w:cs="Times New Roman" w:eastAsia="Times New Roman" w:hAnsi="Times New Roman"/>
          <w:sz w:val="14"/>
          <w:szCs w:val="14"/>
          <w:color w:val="auto"/>
        </w:rPr>
        <w:t>We have entered into indemnity agreements with our executive officers and directors which provide, among other things, that we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our Bylaws.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Letter Agreements</w:t>
      </w:r>
    </w:p>
    <w:p>
      <w:pPr>
        <w:spacing w:after="0" w:line="180" w:lineRule="exact"/>
        <w:rPr>
          <w:sz w:val="20"/>
          <w:szCs w:val="20"/>
          <w:color w:val="auto"/>
        </w:rPr>
      </w:pPr>
    </w:p>
    <w:p>
      <w:pPr>
        <w:ind w:right="440" w:firstLine="254"/>
        <w:spacing w:after="0" w:line="286" w:lineRule="auto"/>
        <w:rPr>
          <w:sz w:val="20"/>
          <w:szCs w:val="20"/>
          <w:color w:val="auto"/>
        </w:rPr>
      </w:pPr>
      <w:r>
        <w:rPr>
          <w:rFonts w:ascii="Times New Roman" w:cs="Times New Roman" w:eastAsia="Times New Roman" w:hAnsi="Times New Roman"/>
          <w:sz w:val="14"/>
          <w:szCs w:val="14"/>
          <w:color w:val="auto"/>
        </w:rPr>
        <w:t>We have entered into letter agreements, employment agreements and change in control arrangements with our executive officers. For more information regarding these agreements, see the “Executive Compensation” section of this prospectus.</w:t>
      </w:r>
    </w:p>
    <w:p>
      <w:pPr>
        <w:spacing w:after="0" w:line="125" w:lineRule="exact"/>
        <w:rPr>
          <w:sz w:val="20"/>
          <w:szCs w:val="20"/>
          <w:color w:val="auto"/>
        </w:rPr>
      </w:pPr>
    </w:p>
    <w:p>
      <w:pPr>
        <w:ind w:right="40" w:firstLine="254"/>
        <w:spacing w:after="0" w:line="286" w:lineRule="auto"/>
        <w:rPr>
          <w:sz w:val="20"/>
          <w:szCs w:val="20"/>
          <w:color w:val="auto"/>
        </w:rPr>
      </w:pPr>
      <w:r>
        <w:rPr>
          <w:rFonts w:ascii="Times New Roman" w:cs="Times New Roman" w:eastAsia="Times New Roman" w:hAnsi="Times New Roman"/>
          <w:sz w:val="14"/>
          <w:szCs w:val="14"/>
          <w:color w:val="auto"/>
        </w:rPr>
        <w:t>On January 31, 2024, we entered into a Separation Agreement with Mr. Floroiu, our former President and Chief Executive Officer. For a description of Mr. Floroiu’s separation arrangements, see the “Executive Compensation - Additional Compensation Arrangements” section of this prospectus.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Grants</w:t>
      </w:r>
    </w:p>
    <w:p>
      <w:pPr>
        <w:spacing w:after="0" w:line="180" w:lineRule="exact"/>
        <w:rPr>
          <w:sz w:val="20"/>
          <w:szCs w:val="20"/>
          <w:color w:val="auto"/>
        </w:rPr>
      </w:pPr>
    </w:p>
    <w:p>
      <w:pPr>
        <w:ind w:right="680" w:firstLine="254"/>
        <w:spacing w:after="0" w:line="286" w:lineRule="auto"/>
        <w:rPr>
          <w:sz w:val="20"/>
          <w:szCs w:val="20"/>
          <w:color w:val="auto"/>
        </w:rPr>
      </w:pPr>
      <w:r>
        <w:rPr>
          <w:rFonts w:ascii="Times New Roman" w:cs="Times New Roman" w:eastAsia="Times New Roman" w:hAnsi="Times New Roman"/>
          <w:sz w:val="14"/>
          <w:szCs w:val="14"/>
          <w:color w:val="auto"/>
        </w:rPr>
        <w:t>We have granted stock options to our executive officers and members of our board of directors. For a description of our executive officers’ options, see the “Executive Compensation - Outstanding Equity Awards as of December 31, 2025” section of this prospectus.</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80" w:lineRule="exact"/>
        <w:rPr>
          <w:sz w:val="20"/>
          <w:szCs w:val="20"/>
          <w:color w:val="auto"/>
        </w:rPr>
      </w:pPr>
    </w:p>
    <w:p>
      <w:pPr>
        <w:ind w:right="20" w:firstLine="283"/>
        <w:spacing w:after="0" w:line="264" w:lineRule="auto"/>
        <w:rPr>
          <w:sz w:val="20"/>
          <w:szCs w:val="20"/>
          <w:color w:val="auto"/>
        </w:rPr>
      </w:pPr>
      <w:r>
        <w:rPr>
          <w:rFonts w:ascii="Times New Roman" w:cs="Times New Roman" w:eastAsia="Times New Roman" w:hAnsi="Times New Roman"/>
          <w:sz w:val="14"/>
          <w:szCs w:val="14"/>
          <w:color w:val="auto"/>
        </w:rPr>
        <w:t>This prospectus relates to the possible resale by the selling stockholder, Lincoln Park, of additional shares of our common stock that may be issued to Lincoln Park pursuant to the Purchase Agreement. We are filing the registration statement of which this prospectus is a part pursuant to the provisions of the Registration Rights Agreement, which we entered into with Lincoln Park on April 16, 2026 concurrently with our execution of the Purchase Agreement, in which we agreed to provide certain registration rights with respect to sales by Lincoln Park of the shares of our common stock that have been and may be issued to Lincoln Park under the Purchase Agreement.</w:t>
      </w:r>
    </w:p>
    <w:p>
      <w:pPr>
        <w:spacing w:after="0" w:line="140" w:lineRule="exact"/>
        <w:rPr>
          <w:sz w:val="20"/>
          <w:szCs w:val="20"/>
          <w:color w:val="auto"/>
        </w:rPr>
      </w:pPr>
    </w:p>
    <w:p>
      <w:pPr>
        <w:ind w:right="140" w:firstLine="283"/>
        <w:spacing w:after="0" w:line="269" w:lineRule="auto"/>
        <w:rPr>
          <w:sz w:val="20"/>
          <w:szCs w:val="20"/>
          <w:color w:val="auto"/>
        </w:rPr>
      </w:pPr>
      <w:r>
        <w:rPr>
          <w:rFonts w:ascii="Times New Roman" w:cs="Times New Roman" w:eastAsia="Times New Roman" w:hAnsi="Times New Roman"/>
          <w:sz w:val="14"/>
          <w:szCs w:val="14"/>
          <w:color w:val="auto"/>
        </w:rPr>
        <w:t>Lincoln Park, as the selling stockholder, may, from time to time, offer and sell pursuant to this prospectus up to 32,914,599 shares of our common stock that we have issued or may issue to Lincoln Park. The selling stockholder may sell some, all or none of the shares of common stock. We do not know how long the selling stockholder will hold the shares of our common stock before selling them, and we currently have no agreements, arrangements or understandings with the selling stockholder regarding the sale of any of the shares of common stock. See “Plan of Distribution.”</w:t>
      </w:r>
    </w:p>
    <w:p>
      <w:pPr>
        <w:spacing w:after="0" w:line="137" w:lineRule="exact"/>
        <w:rPr>
          <w:sz w:val="20"/>
          <w:szCs w:val="20"/>
          <w:color w:val="auto"/>
        </w:rPr>
      </w:pPr>
    </w:p>
    <w:p>
      <w:pPr>
        <w:ind w:right="20" w:firstLine="283"/>
        <w:spacing w:after="0" w:line="264" w:lineRule="auto"/>
        <w:rPr>
          <w:sz w:val="20"/>
          <w:szCs w:val="20"/>
          <w:color w:val="auto"/>
        </w:rPr>
      </w:pPr>
      <w:r>
        <w:rPr>
          <w:rFonts w:ascii="Times New Roman" w:cs="Times New Roman" w:eastAsia="Times New Roman" w:hAnsi="Times New Roman"/>
          <w:sz w:val="14"/>
          <w:szCs w:val="14"/>
          <w:color w:val="auto"/>
        </w:rPr>
        <w:t>The table below sets forth, to our knowledge, information concerning the beneficial ownership of shares of our common stock by the selling stockholder as of May 1, 2026. The percentages of shares owned before and after the offering are based on shares of common stock outstanding as of May 1, 2026. The information in the table below with respect to the selling stockholder has been obtained from the selling stockholder. Other than as described under “Our Agreements With Lincoln Park,” above, neither Lincoln Park nor any of its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40" w:lineRule="exact"/>
        <w:rPr>
          <w:sz w:val="20"/>
          <w:szCs w:val="20"/>
          <w:color w:val="auto"/>
        </w:rPr>
      </w:pPr>
    </w:p>
    <w:p>
      <w:pPr>
        <w:ind w:right="220" w:firstLine="283"/>
        <w:spacing w:after="0" w:line="286" w:lineRule="auto"/>
        <w:rPr>
          <w:sz w:val="20"/>
          <w:szCs w:val="20"/>
          <w:color w:val="auto"/>
        </w:rPr>
      </w:pPr>
      <w:r>
        <w:rPr>
          <w:rFonts w:ascii="Times New Roman" w:cs="Times New Roman" w:eastAsia="Times New Roman" w:hAnsi="Times New Roman"/>
          <w:sz w:val="14"/>
          <w:szCs w:val="14"/>
          <w:color w:val="auto"/>
        </w:rPr>
        <w:t>Throughout this prospectus, when we refer to the shares of common stock being offered for resale by the selling stockholder through this prospectus, we are referring to the shares of common stock that have been and may be issued and sold by us to Lincoln Park pursuant to the Purchase Agreement, unless otherwise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700" w:type="dxa"/>
            <w:vAlign w:val="bottom"/>
            <w:gridSpan w:val="3"/>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62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1700" w:type="dxa"/>
            <w:vAlign w:val="bottom"/>
            <w:gridSpan w:val="3"/>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2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4640" w:type="dxa"/>
            <w:vAlign w:val="bottom"/>
          </w:tcPr>
          <w:p>
            <w:pPr>
              <w:spacing w:after="0"/>
              <w:rPr>
                <w:sz w:val="14"/>
                <w:szCs w:val="14"/>
                <w:color w:val="auto"/>
              </w:rPr>
            </w:pPr>
          </w:p>
        </w:tc>
        <w:tc>
          <w:tcPr>
            <w:tcW w:w="1700" w:type="dxa"/>
            <w:vAlign w:val="bottom"/>
            <w:gridSpan w:val="3"/>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Shares of</w:t>
            </w:r>
          </w:p>
        </w:tc>
        <w:tc>
          <w:tcPr>
            <w:tcW w:w="254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r>
      <w:tr>
        <w:trPr>
          <w:trHeight w:val="170"/>
        </w:trPr>
        <w:tc>
          <w:tcPr>
            <w:tcW w:w="4640" w:type="dxa"/>
            <w:vAlign w:val="bottom"/>
          </w:tcPr>
          <w:p>
            <w:pPr>
              <w:spacing w:after="0"/>
              <w:rPr>
                <w:sz w:val="14"/>
                <w:szCs w:val="14"/>
                <w:color w:val="auto"/>
              </w:rPr>
            </w:pPr>
          </w:p>
        </w:tc>
        <w:tc>
          <w:tcPr>
            <w:tcW w:w="1700" w:type="dxa"/>
            <w:vAlign w:val="bottom"/>
            <w:gridSpan w:val="3"/>
          </w:tcPr>
          <w:p>
            <w:pPr>
              <w:jc w:val="center"/>
              <w:ind w:left="689"/>
              <w:spacing w:after="0"/>
              <w:rPr>
                <w:sz w:val="20"/>
                <w:szCs w:val="20"/>
                <w:color w:val="auto"/>
              </w:rPr>
            </w:pPr>
            <w:r>
              <w:rPr>
                <w:rFonts w:ascii="Times New Roman" w:cs="Times New Roman" w:eastAsia="Times New Roman" w:hAnsi="Times New Roman"/>
                <w:sz w:val="14"/>
                <w:szCs w:val="14"/>
                <w:b w:val="1"/>
                <w:bCs w:val="1"/>
                <w:color w:val="auto"/>
              </w:rPr>
              <w:t>Owned Prior to</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 Stock to</w:t>
            </w:r>
          </w:p>
        </w:tc>
        <w:tc>
          <w:tcPr>
            <w:tcW w:w="1620" w:type="dxa"/>
            <w:vAlign w:val="bottom"/>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Owned After</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464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be Offered</w:t>
            </w:r>
          </w:p>
        </w:tc>
        <w:tc>
          <w:tcPr>
            <w:tcW w:w="1620" w:type="dxa"/>
            <w:vAlign w:val="bottom"/>
            <w:tcBorders>
              <w:bottom w:val="single" w:sz="8" w:color="auto"/>
            </w:tcBorders>
            <w:gridSpan w:val="3"/>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44"/>
        </w:trPr>
        <w:tc>
          <w:tcPr>
            <w:tcW w:w="4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Pursuant to this</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11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r>
      <w:tr>
        <w:trPr>
          <w:trHeight w:val="160"/>
        </w:trPr>
        <w:tc>
          <w:tcPr>
            <w:tcW w:w="46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2"/>
                <w:szCs w:val="12"/>
                <w:color w:val="auto"/>
              </w:rPr>
              <w:t>Lincoln Park Capital Fund, LLC</w:t>
            </w:r>
            <w:r>
              <w:rPr>
                <w:rFonts w:ascii="Times New Roman" w:cs="Times New Roman" w:eastAsia="Times New Roman" w:hAnsi="Times New Roman"/>
                <w:sz w:val="18"/>
                <w:szCs w:val="18"/>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447,067</w:t>
            </w: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32,914,599</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r>
    </w:tbl>
    <w:p>
      <w:pPr>
        <w:spacing w:after="0" w:line="155" w:lineRule="exact"/>
        <w:rPr>
          <w:sz w:val="20"/>
          <w:szCs w:val="20"/>
          <w:color w:val="auto"/>
        </w:rPr>
      </w:pPr>
    </w:p>
    <w:p>
      <w:pPr>
        <w:ind w:right="20" w:firstLine="5"/>
        <w:spacing w:after="0" w:line="269" w:lineRule="auto"/>
        <w:tabs>
          <w:tab w:leader="none" w:pos="20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Josh Scheinfeld and Jonathan Cope, the Managing Members of Lincoln Park Capital, LLC, the manager of Lincoln Park Capital Fund, LLC, are deemed to be beneficial owners of all of the shares of common stock owned by Lincoln Park Capital Fund, LLC. Messrs. Cope and Scheinfeld have shared voting and investment power over the shares being offered under this prospectus. Neither Lincoln Park Capital, LLC nor Lincoln Park Capital Fund, LLC is a licensed broker dealer or an affiliate of a licensed broker dealer.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firstLine="5"/>
        <w:spacing w:after="0" w:line="259" w:lineRule="auto"/>
        <w:tabs>
          <w:tab w:leader="none" w:pos="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Rule 13d-3(d) of the Exchange Act, we have excluded from the number of shares beneficially owned prior to this offering all the shares of common stock that we may issue and sell to Lincoln Park under the Purchase Agreement from and after the date of this prospectus that are being registered for resale under the registration statement of which this prospectus forms a part, because the issuance of such shares is solely at our discretion and is subject to certain conditions, the satisfaction of all of which are outside of Lincoln Park’s control, including the registration statement of which this prospectus forms a part becoming and remaining effective. Furthermore, under the terms of the Purchase Agreement, issuances and sales of shares of our common stock to Lincoln Park are subject to certain limitations on the amounts we may sell to Lincoln Park at any time, including the Beneficial Ownership Cap. See the description under the heading “Our Agreements with Lincoln Park” for more information about the Purchase Agreement.</w:t>
      </w:r>
    </w:p>
    <w:p>
      <w:pPr>
        <w:spacing w:after="0" w:line="144" w:lineRule="exact"/>
        <w:rPr>
          <w:rFonts w:ascii="Times New Roman" w:cs="Times New Roman" w:eastAsia="Times New Roman" w:hAnsi="Times New Roman"/>
          <w:sz w:val="14"/>
          <w:szCs w:val="14"/>
          <w:color w:val="auto"/>
        </w:rPr>
      </w:pPr>
    </w:p>
    <w:p>
      <w:pPr>
        <w:ind w:right="40" w:firstLine="5"/>
        <w:spacing w:after="0" w:line="259" w:lineRule="auto"/>
        <w:tabs>
          <w:tab w:leader="none" w:pos="20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issuance of the maximum 32,914,599 shares being registered hereby. Although the Purchase Agreement provides that we may sell up to $25 million in shares of our common stock to Lincoln Park, only 32,914,599 shares of our common stock are being offered under this prospectus that may be sold by us to Lincoln Park at our discretion from time to time over a 24-month period following the date of this prospectus. Depending on the price per share at which we sell our common stock to Lincoln Park pursuant to the Purchase Agreement, we may need to sell to Lincoln Park under the Purchase Agreement more shares of our common stock than are offered under this prospectus to receive aggregate gross proceeds equal to the $25 million total commitment of Lincoln Park under the Purchase Agreement. If we choose to do so, we must first register for resale under the Securities Act such additional shares. The number of shares ultimately offered for resale by Lincoln Park will depend upon the number of shares we elect to sell to Lincoln Park under the Purchase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represents less than 1%</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ind w:right="20" w:firstLine="283"/>
        <w:spacing w:after="0" w:line="269" w:lineRule="auto"/>
        <w:rPr>
          <w:sz w:val="20"/>
          <w:szCs w:val="20"/>
          <w:color w:val="auto"/>
        </w:rPr>
      </w:pPr>
      <w:r>
        <w:rPr>
          <w:rFonts w:ascii="Times New Roman" w:cs="Times New Roman" w:eastAsia="Times New Roman" w:hAnsi="Times New Roman"/>
          <w:sz w:val="14"/>
          <w:szCs w:val="14"/>
          <w:color w:val="auto"/>
        </w:rPr>
        <w:t>The shares of our common stock offered by this prospectus are being offered by the selling stockholder, Lincoln Park Capital Fund, LLC. 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selling stockholder may use any one or more of the following methods when selling securities:</w:t>
      </w:r>
    </w:p>
    <w:p>
      <w:pPr>
        <w:spacing w:after="0" w:line="137" w:lineRule="exact"/>
        <w:rPr>
          <w:sz w:val="20"/>
          <w:szCs w:val="20"/>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brokers’ transactions;</w:t>
      </w:r>
    </w:p>
    <w:p>
      <w:pPr>
        <w:spacing w:after="0" w:line="17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involving cross or block trades;</w:t>
      </w:r>
    </w:p>
    <w:p>
      <w:pPr>
        <w:spacing w:after="0" w:line="17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dealers, or underwriters who may act solely as agents;</w:t>
      </w:r>
    </w:p>
    <w:p>
      <w:pPr>
        <w:spacing w:after="0" w:line="17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market” into an existing market for the shares of our common stock;</w:t>
      </w:r>
    </w:p>
    <w:p>
      <w:pPr>
        <w:spacing w:after="0" w:line="17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other ways not involving market makers or established business markets, including direct sales to purchasers or sales effected through agents;</w:t>
      </w:r>
    </w:p>
    <w:p>
      <w:pPr>
        <w:spacing w:after="0" w:line="17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or</w:t>
      </w:r>
    </w:p>
    <w:p>
      <w:pPr>
        <w:spacing w:after="0" w:line="178" w:lineRule="exact"/>
        <w:rPr>
          <w:rFonts w:ascii="Times New Roman" w:cs="Times New Roman" w:eastAsia="Times New Roman" w:hAnsi="Times New Roman"/>
          <w:sz w:val="14"/>
          <w:szCs w:val="14"/>
          <w:color w:val="auto"/>
        </w:rPr>
      </w:pPr>
    </w:p>
    <w:p>
      <w:pPr>
        <w:ind w:left="80" w:hanging="75"/>
        <w:spacing w:after="0"/>
        <w:tabs>
          <w:tab w:leader="none" w:pos="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foregoing.</w:t>
      </w:r>
    </w:p>
    <w:p>
      <w:pPr>
        <w:spacing w:after="0" w:line="178" w:lineRule="exact"/>
        <w:rPr>
          <w:sz w:val="20"/>
          <w:szCs w:val="20"/>
          <w:color w:val="auto"/>
        </w:rPr>
      </w:pPr>
    </w:p>
    <w:p>
      <w:pPr>
        <w:ind w:firstLine="283"/>
        <w:spacing w:after="0" w:line="269" w:lineRule="auto"/>
        <w:rPr>
          <w:sz w:val="20"/>
          <w:szCs w:val="20"/>
          <w:color w:val="auto"/>
        </w:rPr>
      </w:pPr>
      <w:r>
        <w:rPr>
          <w:rFonts w:ascii="Times New Roman" w:cs="Times New Roman" w:eastAsia="Times New Roman" w:hAnsi="Times New Roman"/>
          <w:sz w:val="14"/>
          <w:szCs w:val="14"/>
          <w:color w:val="auto"/>
        </w:rPr>
        <w:t>In order to comply with the securities laws of certain states, if applicable, the shares of our common stock offered by this prospectus may be sold only through registered or licensed brokers or dealers. In addition, in certain states, the shares of our common stock offered by this prospectus may not be sold unless they have been registered or qualified for sale in the state or an exemption from the state’s registration or qualification requirement is available and complied with.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Lincoln Park is an “underwriter” within the meaning of Section 2(a)(11) of the Securities Act.</w:t>
      </w:r>
    </w:p>
    <w:p>
      <w:pPr>
        <w:spacing w:after="0" w:line="178" w:lineRule="exact"/>
        <w:rPr>
          <w:sz w:val="20"/>
          <w:szCs w:val="20"/>
          <w:color w:val="auto"/>
        </w:rPr>
      </w:pPr>
    </w:p>
    <w:p>
      <w:pPr>
        <w:ind w:right="40" w:firstLine="283"/>
        <w:spacing w:after="0" w:line="264" w:lineRule="auto"/>
        <w:rPr>
          <w:sz w:val="20"/>
          <w:szCs w:val="20"/>
          <w:color w:val="auto"/>
        </w:rPr>
      </w:pPr>
      <w:r>
        <w:rPr>
          <w:rFonts w:ascii="Times New Roman" w:cs="Times New Roman" w:eastAsia="Times New Roman" w:hAnsi="Times New Roman"/>
          <w:sz w:val="14"/>
          <w:szCs w:val="14"/>
          <w:color w:val="auto"/>
        </w:rPr>
        <w:t>Lincoln Park has informed us that it intends to use an unaffiliated broker-dealer to effectuate all sales, if any, of our common stock that it has acquired and may in the future acquire from us pursuant to the Purchase Agreement. Such sales will be made at prices and at terms then prevailing or at prices related to the then current market price. Each such unaffiliated broker-dealer will be an underwriter within the meaning of Section 2(a)(11) of the Securities Act. Lincoln Park has informed us that each such broker-dealer will receive commissions from Lincoln Park that will not exceed customary brokerage commissions.</w:t>
      </w:r>
    </w:p>
    <w:p>
      <w:pPr>
        <w:spacing w:after="0" w:line="140" w:lineRule="exact"/>
        <w:rPr>
          <w:sz w:val="20"/>
          <w:szCs w:val="20"/>
          <w:color w:val="auto"/>
        </w:rPr>
      </w:pPr>
    </w:p>
    <w:p>
      <w:pPr>
        <w:ind w:right="180" w:firstLine="283"/>
        <w:spacing w:after="0" w:line="264" w:lineRule="auto"/>
        <w:rPr>
          <w:sz w:val="20"/>
          <w:szCs w:val="20"/>
          <w:color w:val="auto"/>
        </w:rPr>
      </w:pPr>
      <w:r>
        <w:rPr>
          <w:rFonts w:ascii="Times New Roman" w:cs="Times New Roman" w:eastAsia="Times New Roman" w:hAnsi="Times New Roman"/>
          <w:sz w:val="14"/>
          <w:szCs w:val="14"/>
          <w:color w:val="auto"/>
        </w:rPr>
        <w:t>Brokers, dealers, underwriters or agents participating in the distribution of the shares of our common stock offered by this prospectus may receive compensation in the form of commissions, discounts, or concessions from the selling stockholder and/or the purchasers, for whom the broker-dealers may act as agent. The compensation paid to any such particular broker-dealer may be less than or in excess of customary commissions. Neither we nor Lincoln Park can presently estimate the amount of compensation that any agent will receive from the selling stockholder or from any purchasers of shares of our common stock sold by Lincoln Park.</w:t>
      </w:r>
    </w:p>
    <w:p>
      <w:pPr>
        <w:spacing w:after="0" w:line="140" w:lineRule="exact"/>
        <w:rPr>
          <w:sz w:val="20"/>
          <w:szCs w:val="20"/>
          <w:color w:val="auto"/>
        </w:rPr>
      </w:pPr>
    </w:p>
    <w:p>
      <w:pPr>
        <w:ind w:right="180" w:firstLine="283"/>
        <w:spacing w:after="0" w:line="286" w:lineRule="auto"/>
        <w:rPr>
          <w:sz w:val="20"/>
          <w:szCs w:val="20"/>
          <w:color w:val="auto"/>
        </w:rPr>
      </w:pPr>
      <w:r>
        <w:rPr>
          <w:rFonts w:ascii="Times New Roman" w:cs="Times New Roman" w:eastAsia="Times New Roman" w:hAnsi="Times New Roman"/>
          <w:sz w:val="14"/>
          <w:szCs w:val="14"/>
          <w:color w:val="auto"/>
        </w:rPr>
        <w:t>We know of no existing arrangements between Lincoln Park or any other stockholder, broker, dealer, underwriter or agent relating to the sale or distribution of the shares of our common stock offered by this prospectus.</w:t>
      </w:r>
    </w:p>
    <w:p>
      <w:pPr>
        <w:spacing w:after="0" w:line="125" w:lineRule="exact"/>
        <w:rPr>
          <w:sz w:val="20"/>
          <w:szCs w:val="20"/>
          <w:color w:val="auto"/>
        </w:rPr>
      </w:pPr>
    </w:p>
    <w:p>
      <w:pPr>
        <w:ind w:firstLine="283"/>
        <w:spacing w:after="0" w:line="264" w:lineRule="auto"/>
        <w:rPr>
          <w:sz w:val="20"/>
          <w:szCs w:val="20"/>
          <w:color w:val="auto"/>
        </w:rPr>
      </w:pPr>
      <w:r>
        <w:rPr>
          <w:rFonts w:ascii="Times New Roman" w:cs="Times New Roman" w:eastAsia="Times New Roman" w:hAnsi="Times New Roman"/>
          <w:sz w:val="14"/>
          <w:szCs w:val="14"/>
          <w:color w:val="auto"/>
        </w:rPr>
        <w:t>We may from time to time file with the SEC one or more supplements to this prospectus or amendments to the registration statement that includes this prospectus to amend, supplement or update information contained in this prospectus, including, if and when required under the Securities Act, to disclose certain information relating to a particular sale of shares of our common stock offered by this prospectus by the selling stockholder, including the names of any brokers, dealers, underwriters or agents participating in the distribution of such shares of our common stock by the selling stockholder, any compensation paid by Lincoln Park to any such brokers, dealers, underwriters or agents, and any other required information.</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right="40" w:firstLine="283"/>
        <w:spacing w:after="0" w:line="261" w:lineRule="auto"/>
        <w:rPr>
          <w:sz w:val="20"/>
          <w:szCs w:val="20"/>
          <w:color w:val="auto"/>
        </w:rPr>
      </w:pPr>
      <w:r>
        <w:rPr>
          <w:rFonts w:ascii="Times New Roman" w:cs="Times New Roman" w:eastAsia="Times New Roman" w:hAnsi="Times New Roman"/>
          <w:sz w:val="14"/>
          <w:szCs w:val="14"/>
          <w:color w:val="auto"/>
        </w:rPr>
        <w:t>We will pay the expenses incident to the registration under the Securities Act of the offer and sale of the shares of our common stock included in this prospectus by Lincoln Park. We estimate that the total expenses for the offering will be approximately $115,000. We have agreed to indemnify Lincoln Park and certain other persons against certain liabilities in connection with the offering of shares of our common stock offered by this prospectus, including liabilities arising under the Securities Act or, if such indemnity is unavailable, to contribute amounts required to be paid in respect of such liabilities. Lincoln Park has agreed to indemnify us against liabilities under the Securities Act that may arise from certain written information furnished to us by Lincoln Park specifically for use in this prospectus or, if such indemnity is unavailable, to contribute amounts required to be paid in respect of such liabilities.</w:t>
      </w:r>
    </w:p>
    <w:p>
      <w:pPr>
        <w:spacing w:after="0" w:line="142" w:lineRule="exact"/>
        <w:rPr>
          <w:sz w:val="20"/>
          <w:szCs w:val="20"/>
          <w:color w:val="auto"/>
        </w:rPr>
      </w:pPr>
    </w:p>
    <w:p>
      <w:pPr>
        <w:ind w:right="140" w:firstLine="283"/>
        <w:spacing w:after="0" w:line="264" w:lineRule="auto"/>
        <w:rPr>
          <w:sz w:val="20"/>
          <w:szCs w:val="20"/>
          <w:color w:val="auto"/>
        </w:rPr>
      </w:pPr>
      <w:r>
        <w:rPr>
          <w:rFonts w:ascii="Times New Roman" w:cs="Times New Roman" w:eastAsia="Times New Roman" w:hAnsi="Times New Roman"/>
          <w:sz w:val="14"/>
          <w:szCs w:val="14"/>
          <w:color w:val="auto"/>
        </w:rPr>
        <w:t>Lincoln Park has represented to us that at no time prior to the Purchase Agreement has Lincoln Park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Lincoln Park agreed that during the term of the Purchase Agreement, it, its agents, representatives or affiliates will not enter into or effect, directly or indirectly, any of the foregoing transactions.</w:t>
      </w:r>
    </w:p>
    <w:p>
      <w:pPr>
        <w:spacing w:after="0" w:line="140" w:lineRule="exact"/>
        <w:rPr>
          <w:sz w:val="20"/>
          <w:szCs w:val="20"/>
          <w:color w:val="auto"/>
        </w:rPr>
      </w:pPr>
    </w:p>
    <w:p>
      <w:pPr>
        <w:ind w:firstLine="283"/>
        <w:spacing w:after="0" w:line="264" w:lineRule="auto"/>
        <w:rPr>
          <w:sz w:val="20"/>
          <w:szCs w:val="20"/>
          <w:color w:val="auto"/>
        </w:rPr>
      </w:pPr>
      <w:r>
        <w:rPr>
          <w:rFonts w:ascii="Times New Roman" w:cs="Times New Roman" w:eastAsia="Times New Roman" w:hAnsi="Times New Roman"/>
          <w:sz w:val="14"/>
          <w:szCs w:val="14"/>
          <w:color w:val="auto"/>
        </w:rPr>
        <w:t>We have advised Lincoln Park that it is required to comply with Regulation M promulgated under the Exchange Act. With certain exceptions, Regulation M precludes the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This offering will terminate on the earlier of (i) termination of the Purchase Agreement or (ii) the date that all shares offered by this prospectus have been sold by Lincoln Park.</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DESCRIPTION OF OUR SECURITIES TO BE REGISTERED</w:t>
      </w:r>
    </w:p>
    <w:p>
      <w:pPr>
        <w:spacing w:after="0" w:line="180" w:lineRule="exact"/>
        <w:rPr>
          <w:sz w:val="20"/>
          <w:szCs w:val="20"/>
          <w:color w:val="auto"/>
        </w:rPr>
      </w:pPr>
    </w:p>
    <w:p>
      <w:pPr>
        <w:ind w:firstLine="254"/>
        <w:spacing w:after="0" w:line="264" w:lineRule="auto"/>
        <w:rPr>
          <w:sz w:val="20"/>
          <w:szCs w:val="20"/>
          <w:color w:val="auto"/>
        </w:rPr>
      </w:pPr>
      <w:r>
        <w:rPr>
          <w:rFonts w:ascii="Times New Roman" w:cs="Times New Roman" w:eastAsia="Times New Roman" w:hAnsi="Times New Roman"/>
          <w:sz w:val="14"/>
          <w:szCs w:val="14"/>
          <w:color w:val="auto"/>
        </w:rPr>
        <w:t>The securities to be registered on this registration statement on Form S-1 include up to an aggregate amount of 32,914,599 shares of our common stock. As of May 1, 2026, there were 241,973,011 shares of our common stock issued and outstanding, including the Commitment Shares. The authorized and unissued shares of common stock and the authorized and undesignated shares of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does not intend to seek stockholder approval for the issuance and sale of our common stock or preferred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are authorized to issue 350,000,000 shares of common stock, par value $0.0001 per share. As of the date of this prospectus, there were 241,973,011 shares of our common stock outstanding.</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is a summary of the material provisions of the common stock provided for in our Charter and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common stock is entitled to one vote for each share held of record on all matters submitted to a vote of the stockholders. However, directors are elected by a plurality of the votes cast.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the holders of a majority of the shares of common stock entitled to vote in any election of directors are able to elect all of the directors standing for election, if they so choose.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80" w:lineRule="exact"/>
        <w:rPr>
          <w:sz w:val="20"/>
          <w:szCs w:val="20"/>
          <w:color w:val="auto"/>
        </w:rPr>
      </w:pPr>
    </w:p>
    <w:p>
      <w:pPr>
        <w:ind w:right="80" w:firstLine="254"/>
        <w:spacing w:after="0" w:line="286"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the holders of common stock are entitled to receive dividends, if any, as may be declared from time to time by our board of directors out of legally available funds. We have never paid cash dividends and have no present intention to pay cash dividends.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180" w:lineRule="exact"/>
        <w:rPr>
          <w:sz w:val="20"/>
          <w:szCs w:val="20"/>
          <w:color w:val="auto"/>
        </w:rPr>
      </w:pPr>
    </w:p>
    <w:p>
      <w:pPr>
        <w:ind w:right="220" w:firstLine="254"/>
        <w:spacing w:after="0" w:line="286"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180" w:lineRule="exact"/>
        <w:rPr>
          <w:sz w:val="20"/>
          <w:szCs w:val="20"/>
          <w:color w:val="auto"/>
        </w:rPr>
      </w:pPr>
    </w:p>
    <w:p>
      <w:pPr>
        <w:ind w:right="260" w:firstLine="254"/>
        <w:spacing w:after="0" w:line="269" w:lineRule="auto"/>
        <w:rPr>
          <w:sz w:val="20"/>
          <w:szCs w:val="20"/>
          <w:color w:val="auto"/>
        </w:rPr>
      </w:pPr>
      <w:r>
        <w:rPr>
          <w:rFonts w:ascii="Times New Roman" w:cs="Times New Roman" w:eastAsia="Times New Roman" w:hAnsi="Times New Roman"/>
          <w:sz w:val="14"/>
          <w:szCs w:val="14"/>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have designated or issued, or may designate and issue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of our outstanding shares of common stock are fully paid and nonassessable.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OTCQX Market Listing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is listed on the OTCQX® Best Market under the symbol “VXRT.”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The transfer agent and registrar’s address is 6201 15th Avenue, Brooklyn, New York 11219.</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Thomspon Hine LLP, New York, New York, will pass upon the validity of the issuance of the securities to be offered by this prospectus.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right="360" w:firstLine="254"/>
        <w:spacing w:after="0" w:line="269" w:lineRule="auto"/>
        <w:rPr>
          <w:sz w:val="20"/>
          <w:szCs w:val="20"/>
          <w:color w:val="auto"/>
        </w:rPr>
      </w:pPr>
      <w:r>
        <w:rPr>
          <w:rFonts w:ascii="Times New Roman" w:cs="Times New Roman" w:eastAsia="Times New Roman" w:hAnsi="Times New Roman"/>
          <w:sz w:val="14"/>
          <w:szCs w:val="14"/>
          <w:color w:val="auto"/>
        </w:rPr>
        <w:t>The 2025 and 2024 audited annual consolidated financial statements of Vaxart, Inc. as of and for each of the years in the two-year period ended December 31, 2025, incorporated in this prospectus and elsewhere in the registration statement, have been incorporated in reliance upon the report of WithumSmith+Brown, PC, independent registered public accounting firm, upon the authority of said firm as experts in accounting and auditing.</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right="40" w:firstLine="254"/>
        <w:spacing w:after="0" w:line="259" w:lineRule="auto"/>
        <w:rPr>
          <w:sz w:val="20"/>
          <w:szCs w:val="20"/>
          <w:color w:val="auto"/>
        </w:rPr>
      </w:pPr>
      <w:r>
        <w:rPr>
          <w:rFonts w:ascii="Times New Roman" w:cs="Times New Roman" w:eastAsia="Times New Roman" w:hAnsi="Times New Roman"/>
          <w:sz w:val="14"/>
          <w:szCs w:val="14"/>
          <w:color w:val="auto"/>
        </w:rPr>
        <w:t>We have filed a registration statement on Form S-1 with respect to the shares of common stock offered by this prospectus with the SEC in accordance with the Securities Act and the rules and regulations enacted under its authority. This prospectus, which constitutes a part of the registration statement, does not contain all of the information included in the registration statement and its exhibits and schedules. Any statement made in this prospectus concerning the contents of any contract, agreement or other document is only a summary of the actual contract, agreement or other document. If we have filed or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 For further information regarding us and the shares of common stock offered by this prospectus, we refer you to the full registration statement, including its exhibits and schedules, filed under the Securities Act.</w:t>
      </w:r>
    </w:p>
    <w:p>
      <w:pPr>
        <w:spacing w:after="0" w:line="145" w:lineRule="exact"/>
        <w:rPr>
          <w:sz w:val="20"/>
          <w:szCs w:val="20"/>
          <w:color w:val="auto"/>
        </w:rPr>
      </w:pPr>
    </w:p>
    <w:p>
      <w:pPr>
        <w:ind w:right="260" w:firstLine="283"/>
        <w:spacing w:after="0" w:line="286" w:lineRule="auto"/>
        <w:rPr>
          <w:sz w:val="20"/>
          <w:szCs w:val="20"/>
          <w:color w:val="auto"/>
        </w:rPr>
      </w:pPr>
      <w:r>
        <w:rPr>
          <w:rFonts w:ascii="Times New Roman" w:cs="Times New Roman" w:eastAsia="Times New Roman" w:hAnsi="Times New Roman"/>
          <w:sz w:val="14"/>
          <w:szCs w:val="14"/>
          <w:color w:val="auto"/>
        </w:rPr>
        <w:t>The SEC maintains a website at http://www.sec.gov that contains reports, proxy and information statements and other information regarding issuers that file electronically with the SEC. Our registration statement, of which this prospectus constitutes a part, can be downloaded from the SEC’s website.</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 xml:space="preserve">We also file annual, quarterly and current reports, proxy statements and other information with the SEC. You can read our SEC filings on the SEC’s website at </w:t>
      </w:r>
      <w:r>
        <w:rPr>
          <w:rFonts w:ascii="Times New Roman" w:cs="Times New Roman" w:eastAsia="Times New Roman" w:hAnsi="Times New Roman"/>
          <w:sz w:val="14"/>
          <w:szCs w:val="14"/>
          <w:u w:val="single" w:color="auto"/>
          <w:color w:val="auto"/>
        </w:rPr>
        <w:t>http://www.sec.gov</w:t>
      </w:r>
      <w:r>
        <w:rPr>
          <w:rFonts w:ascii="Times New Roman" w:cs="Times New Roman" w:eastAsia="Times New Roman" w:hAnsi="Times New Roman"/>
          <w:sz w:val="14"/>
          <w:szCs w:val="14"/>
          <w:color w:val="auto"/>
        </w:rPr>
        <w:t>.</w:t>
      </w:r>
    </w:p>
    <w:p>
      <w:pPr>
        <w:spacing w:after="0" w:line="178" w:lineRule="exact"/>
        <w:rPr>
          <w:sz w:val="20"/>
          <w:szCs w:val="20"/>
          <w:color w:val="auto"/>
        </w:rPr>
      </w:pPr>
    </w:p>
    <w:p>
      <w:pPr>
        <w:ind w:firstLine="283"/>
        <w:spacing w:after="0" w:line="264" w:lineRule="auto"/>
        <w:rPr>
          <w:sz w:val="20"/>
          <w:szCs w:val="20"/>
          <w:color w:val="auto"/>
        </w:rPr>
      </w:pPr>
      <w:r>
        <w:rPr>
          <w:rFonts w:ascii="Times New Roman" w:cs="Times New Roman" w:eastAsia="Times New Roman" w:hAnsi="Times New Roman"/>
          <w:sz w:val="14"/>
          <w:szCs w:val="14"/>
          <w:color w:val="auto"/>
        </w:rPr>
        <w:t>Our website address is http://www.vaxart.com. There we make available free of charge, on or through the investor relations section of our website, annual reports on Form 10-K, quarterly reports on Form 10-Q, current reports on Form 8-K and amendments to those reports filed pursuant to Section 13(a) or 15(d) of the Exchange Act as soon as reasonably practicable after we electronically file such material with the SEC. The information contained on, or that can be accessed through, our website is not a part of this prospectus, and our reference to the address for our website is intended to be an inactive textual reference only.</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61"/>
        </w:trPr>
        <w:tc>
          <w:tcPr>
            <w:tcW w:w="1100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72"/>
        </w:trPr>
        <w:tc>
          <w:tcPr>
            <w:tcW w:w="100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340" w:type="dxa"/>
            <w:vAlign w:val="bottom"/>
            <w:gridSpan w:val="9"/>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9"/>
        </w:trPr>
        <w:tc>
          <w:tcPr>
            <w:tcW w:w="110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Three Months ended March 31, 2026 and 2025 (Unaudited)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8"/>
        </w:trPr>
        <w:tc>
          <w:tcPr>
            <w:tcW w:w="49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Condensed Consolidated Balance Sheets as of March 31, 2026 and December 31, 2025</w:t>
            </w:r>
          </w:p>
        </w:tc>
        <w:tc>
          <w:tcPr>
            <w:tcW w:w="60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4"/>
                <w:szCs w:val="14"/>
                <w:b w:val="1"/>
                <w:bCs w:val="1"/>
                <w:color w:val="0000EE"/>
                <w:w w:val="88"/>
              </w:rPr>
              <w:t>F-2</w:t>
            </w:r>
          </w:p>
        </w:tc>
      </w:tr>
      <w:tr>
        <w:trPr>
          <w:trHeight w:val="150"/>
        </w:trPr>
        <w:tc>
          <w:tcPr>
            <w:tcW w:w="1100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Condensed Consolidated Statements of Operations and Comprehensive Income (Loss) for the Three Months Ended March 31, 2026 and 2025</w:t>
            </w:r>
          </w:p>
        </w:tc>
        <w:tc>
          <w:tcPr>
            <w:tcW w:w="80" w:type="dxa"/>
            <w:vAlign w:val="bottom"/>
          </w:tcPr>
          <w:p>
            <w:pPr>
              <w:spacing w:after="0"/>
              <w:rPr>
                <w:sz w:val="13"/>
                <w:szCs w:val="13"/>
                <w:color w:val="auto"/>
              </w:rPr>
            </w:pPr>
          </w:p>
        </w:tc>
        <w:tc>
          <w:tcPr>
            <w:tcW w:w="2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88"/>
              </w:rPr>
              <w:t>F-3</w:t>
            </w:r>
          </w:p>
        </w:tc>
      </w:tr>
      <w:tr>
        <w:trPr>
          <w:trHeight w:val="150"/>
        </w:trPr>
        <w:tc>
          <w:tcPr>
            <w:tcW w:w="6580" w:type="dxa"/>
            <w:vAlign w:val="bottom"/>
            <w:tcBorders>
              <w:top w:val="single" w:sz="8" w:color="0000EE"/>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Condensed Consolidated Statements of Stockholders’ Equity for the Three Months Ended March 31, 2026 and 2025</w:t>
            </w:r>
          </w:p>
        </w:tc>
        <w:tc>
          <w:tcPr>
            <w:tcW w:w="1440" w:type="dxa"/>
            <w:vAlign w:val="bottom"/>
            <w:tcBorders>
              <w:top w:val="single" w:sz="8" w:color="0000EE"/>
            </w:tcBorders>
            <w:gridSpan w:val="2"/>
          </w:tcPr>
          <w:p>
            <w:pPr>
              <w:spacing w:after="0"/>
              <w:rPr>
                <w:sz w:val="13"/>
                <w:szCs w:val="13"/>
                <w:color w:val="auto"/>
              </w:rPr>
            </w:pPr>
          </w:p>
        </w:tc>
        <w:tc>
          <w:tcPr>
            <w:tcW w:w="2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0000EE"/>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88"/>
              </w:rPr>
              <w:t>F-4</w:t>
            </w:r>
          </w:p>
        </w:tc>
      </w:tr>
      <w:tr>
        <w:trPr>
          <w:trHeight w:val="150"/>
        </w:trPr>
        <w:tc>
          <w:tcPr>
            <w:tcW w:w="1100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Condensed Consolidated Statements of Cash Flows for the Three Months Ended March 31, 2026 and 2025</w:t>
            </w:r>
          </w:p>
        </w:tc>
        <w:tc>
          <w:tcPr>
            <w:tcW w:w="80" w:type="dxa"/>
            <w:vAlign w:val="bottom"/>
          </w:tcPr>
          <w:p>
            <w:pPr>
              <w:spacing w:after="0"/>
              <w:rPr>
                <w:sz w:val="13"/>
                <w:szCs w:val="13"/>
                <w:color w:val="auto"/>
              </w:rPr>
            </w:pPr>
          </w:p>
        </w:tc>
        <w:tc>
          <w:tcPr>
            <w:tcW w:w="2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88"/>
              </w:rPr>
              <w:t>F-6</w:t>
            </w:r>
          </w:p>
        </w:tc>
      </w:tr>
      <w:tr>
        <w:trPr>
          <w:trHeight w:val="150"/>
        </w:trPr>
        <w:tc>
          <w:tcPr>
            <w:tcW w:w="3860" w:type="dxa"/>
            <w:vAlign w:val="bottom"/>
            <w:tcBorders>
              <w:top w:val="single" w:sz="8" w:color="0000EE"/>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Notes to Condensed Consolidated Financial Statements (Unaudited)</w:t>
            </w:r>
          </w:p>
        </w:tc>
        <w:tc>
          <w:tcPr>
            <w:tcW w:w="2180" w:type="dxa"/>
            <w:vAlign w:val="bottom"/>
            <w:tcBorders>
              <w:top w:val="single" w:sz="8" w:color="0000EE"/>
            </w:tcBorders>
            <w:gridSpan w:val="4"/>
          </w:tcPr>
          <w:p>
            <w:pPr>
              <w:spacing w:after="0"/>
              <w:rPr>
                <w:sz w:val="13"/>
                <w:szCs w:val="13"/>
                <w:color w:val="auto"/>
              </w:rPr>
            </w:pPr>
          </w:p>
        </w:tc>
        <w:tc>
          <w:tcPr>
            <w:tcW w:w="4960" w:type="dxa"/>
            <w:vAlign w:val="bottom"/>
            <w:gridSpan w:val="4"/>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0000EE"/>
              <w:bottom w:val="single" w:sz="8" w:color="0000EE"/>
            </w:tcBorders>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88"/>
              </w:rPr>
              <w:t>F-7</w:t>
            </w:r>
          </w:p>
        </w:tc>
      </w:tr>
      <w:tr>
        <w:trPr>
          <w:trHeight w:val="711"/>
        </w:trPr>
        <w:tc>
          <w:tcPr>
            <w:tcW w:w="1100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 the Years ended December 31, 2025 and 2024 (Audited)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08"/>
        </w:trPr>
        <w:tc>
          <w:tcPr>
            <w:tcW w:w="49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4"/>
                <w:szCs w:val="14"/>
                <w:color w:val="0000EE"/>
              </w:rPr>
              <w:t>Report of WithumSmith+Brown, PC - Independent Registered Public Accounting Firm</w:t>
            </w:r>
          </w:p>
        </w:tc>
        <w:tc>
          <w:tcPr>
            <w:tcW w:w="6060" w:type="dxa"/>
            <w:vAlign w:val="bottom"/>
            <w:gridSpan w:val="7"/>
          </w:tcPr>
          <w:p>
            <w:pPr>
              <w:spacing w:after="0"/>
              <w:rPr>
                <w:sz w:val="24"/>
                <w:szCs w:val="24"/>
                <w:color w:val="auto"/>
              </w:rPr>
            </w:pPr>
          </w:p>
        </w:tc>
        <w:tc>
          <w:tcPr>
            <w:tcW w:w="2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0000EE"/>
                <w:w w:val="95"/>
              </w:rPr>
              <w:t>F-28</w:t>
            </w:r>
          </w:p>
        </w:tc>
      </w:tr>
      <w:tr>
        <w:trPr>
          <w:trHeight w:val="150"/>
        </w:trPr>
        <w:tc>
          <w:tcPr>
            <w:tcW w:w="366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Consolidated Balance Sheets as of December 31, 2025 and 2024</w:t>
            </w:r>
          </w:p>
        </w:tc>
        <w:tc>
          <w:tcPr>
            <w:tcW w:w="7340" w:type="dxa"/>
            <w:vAlign w:val="bottom"/>
            <w:gridSpan w:val="9"/>
          </w:tcPr>
          <w:p>
            <w:pPr>
              <w:spacing w:after="0"/>
              <w:rPr>
                <w:sz w:val="13"/>
                <w:szCs w:val="13"/>
                <w:color w:val="auto"/>
              </w:rPr>
            </w:pPr>
          </w:p>
        </w:tc>
        <w:tc>
          <w:tcPr>
            <w:tcW w:w="280" w:type="dxa"/>
            <w:vAlign w:val="bottom"/>
            <w:tcBorders>
              <w:bottom w:val="single" w:sz="8" w:color="0000EE"/>
            </w:tcBorders>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95"/>
              </w:rPr>
              <w:t>F-31</w:t>
            </w:r>
          </w:p>
        </w:tc>
      </w:tr>
      <w:tr>
        <w:trPr>
          <w:trHeight w:val="150"/>
        </w:trPr>
        <w:tc>
          <w:tcPr>
            <w:tcW w:w="1100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Consolidated Statements of Operations and Comprehensive Income (Loss) for the Years ended December 31, 2025 and 2024</w:t>
            </w:r>
          </w:p>
        </w:tc>
        <w:tc>
          <w:tcPr>
            <w:tcW w:w="2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95"/>
              </w:rPr>
              <w:t>F-32</w:t>
            </w:r>
          </w:p>
        </w:tc>
      </w:tr>
      <w:tr>
        <w:trPr>
          <w:trHeight w:val="150"/>
        </w:trPr>
        <w:tc>
          <w:tcPr>
            <w:tcW w:w="5620" w:type="dxa"/>
            <w:vAlign w:val="bottom"/>
            <w:tcBorders>
              <w:top w:val="single" w:sz="8" w:color="0000EE"/>
              <w:bottom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Consolidated Statements of Stockholders’ Equity for the Years ended December 31, 2025 and 2024</w:t>
            </w:r>
          </w:p>
        </w:tc>
        <w:tc>
          <w:tcPr>
            <w:tcW w:w="1440" w:type="dxa"/>
            <w:vAlign w:val="bottom"/>
            <w:tcBorders>
              <w:top w:val="single" w:sz="8" w:color="0000EE"/>
            </w:tcBorders>
            <w:gridSpan w:val="3"/>
          </w:tcPr>
          <w:p>
            <w:pPr>
              <w:spacing w:after="0"/>
              <w:rPr>
                <w:sz w:val="13"/>
                <w:szCs w:val="13"/>
                <w:color w:val="auto"/>
              </w:rPr>
            </w:pPr>
          </w:p>
        </w:tc>
        <w:tc>
          <w:tcPr>
            <w:tcW w:w="3940" w:type="dxa"/>
            <w:vAlign w:val="bottom"/>
            <w:gridSpan w:val="2"/>
          </w:tcPr>
          <w:p>
            <w:pPr>
              <w:spacing w:after="0"/>
              <w:rPr>
                <w:sz w:val="13"/>
                <w:szCs w:val="13"/>
                <w:color w:val="auto"/>
              </w:rPr>
            </w:pPr>
          </w:p>
        </w:tc>
        <w:tc>
          <w:tcPr>
            <w:tcW w:w="280" w:type="dxa"/>
            <w:vAlign w:val="bottom"/>
            <w:tcBorders>
              <w:top w:val="single" w:sz="8" w:color="0000EE"/>
              <w:bottom w:val="single" w:sz="8" w:color="0000EE"/>
            </w:tcBorders>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95"/>
              </w:rPr>
              <w:t>F-33</w:t>
            </w:r>
          </w:p>
        </w:tc>
      </w:tr>
      <w:tr>
        <w:trPr>
          <w:trHeight w:val="150"/>
        </w:trPr>
        <w:tc>
          <w:tcPr>
            <w:tcW w:w="510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Consolidated Statements of Cash Flows for the Years ended December 31, 2025 and 2024</w:t>
            </w:r>
          </w:p>
        </w:tc>
        <w:tc>
          <w:tcPr>
            <w:tcW w:w="5900" w:type="dxa"/>
            <w:vAlign w:val="bottom"/>
            <w:gridSpan w:val="6"/>
          </w:tcPr>
          <w:p>
            <w:pPr>
              <w:spacing w:after="0"/>
              <w:rPr>
                <w:sz w:val="13"/>
                <w:szCs w:val="13"/>
                <w:color w:val="auto"/>
              </w:rPr>
            </w:pPr>
          </w:p>
        </w:tc>
        <w:tc>
          <w:tcPr>
            <w:tcW w:w="280" w:type="dxa"/>
            <w:vAlign w:val="bottom"/>
            <w:tcBorders>
              <w:bottom w:val="single" w:sz="8" w:color="0000EE"/>
            </w:tcBorders>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95"/>
              </w:rPr>
              <w:t>F-34</w:t>
            </w:r>
          </w:p>
        </w:tc>
      </w:tr>
      <w:tr>
        <w:trPr>
          <w:trHeight w:val="150"/>
        </w:trPr>
        <w:tc>
          <w:tcPr>
            <w:tcW w:w="11000" w:type="dxa"/>
            <w:vAlign w:val="bottom"/>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Notes to the Consolidated Financial Statements</w:t>
            </w:r>
          </w:p>
        </w:tc>
        <w:tc>
          <w:tcPr>
            <w:tcW w:w="280" w:type="dxa"/>
            <w:vAlign w:val="bottom"/>
            <w:gridSpan w:val="2"/>
          </w:tcPr>
          <w:p>
            <w:pPr>
              <w:jc w:val="right"/>
              <w:spacing w:after="0" w:line="150" w:lineRule="exact"/>
              <w:rPr>
                <w:sz w:val="20"/>
                <w:szCs w:val="20"/>
                <w:color w:val="auto"/>
              </w:rPr>
            </w:pPr>
            <w:r>
              <w:rPr>
                <w:rFonts w:ascii="Times New Roman" w:cs="Times New Roman" w:eastAsia="Times New Roman" w:hAnsi="Times New Roman"/>
                <w:sz w:val="14"/>
                <w:szCs w:val="14"/>
                <w:b w:val="1"/>
                <w:bCs w:val="1"/>
                <w:color w:val="0000EE"/>
                <w:w w:val="95"/>
              </w:rPr>
              <w:t>F-36</w:t>
            </w:r>
          </w:p>
        </w:tc>
      </w:tr>
      <w:tr>
        <w:trPr>
          <w:trHeight w:val="351"/>
        </w:trPr>
        <w:tc>
          <w:tcPr>
            <w:tcW w:w="100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00" w:type="dxa"/>
            <w:vAlign w:val="bottom"/>
            <w:gridSpan w:val="6"/>
          </w:tcPr>
          <w:p>
            <w:pPr>
              <w:jc w:val="center"/>
              <w:ind w:right="4820"/>
              <w:spacing w:after="0"/>
              <w:rPr>
                <w:sz w:val="20"/>
                <w:szCs w:val="20"/>
                <w:color w:val="auto"/>
              </w:rPr>
            </w:pPr>
            <w:r>
              <w:rPr>
                <w:rFonts w:ascii="Times New Roman" w:cs="Times New Roman" w:eastAsia="Times New Roman" w:hAnsi="Times New Roman"/>
                <w:sz w:val="14"/>
                <w:szCs w:val="14"/>
                <w:color w:val="auto"/>
              </w:rPr>
              <w:t>F-1</w:t>
            </w: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86"/>
        </w:trPr>
        <w:tc>
          <w:tcPr>
            <w:tcW w:w="10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2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6" w:right="31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541"/>
        </w:trPr>
        <w:tc>
          <w:tcPr>
            <w:tcW w:w="10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w w:val="99"/>
              </w:rPr>
              <w:t>VAXART, INC. AND SUBSIDIARIES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3"/>
        </w:trPr>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0"/>
        </w:trPr>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4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6"/>
        </w:trPr>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40" w:type="dxa"/>
            <w:vAlign w:val="bottom"/>
          </w:tcPr>
          <w:p>
            <w:pPr>
              <w:jc w:val="center"/>
              <w:ind w:left="100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39"/>
        </w:trPr>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24"/>
                <w:szCs w:val="24"/>
                <w:color w:val="auto"/>
              </w:rPr>
            </w:pPr>
          </w:p>
        </w:tc>
        <w:tc>
          <w:tcPr>
            <w:tcW w:w="144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80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50,746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53,814</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9,993</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7,139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14,564</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Unbilled receivable from government contracts</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50,435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36,781</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13,108</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20,971</w:t>
            </w:r>
          </w:p>
        </w:tc>
      </w:tr>
      <w:tr>
        <w:trPr>
          <w:trHeight w:val="160"/>
        </w:trPr>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131,704</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136,123</w:t>
            </w:r>
          </w:p>
        </w:tc>
      </w:tr>
      <w:tr>
        <w:trPr>
          <w:trHeight w:val="160"/>
        </w:trPr>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4,827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5,433</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clinical services, long-term</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25,218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25,218</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Right-of-use assets, net</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10,642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11,432</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2,826</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4,508</w:t>
            </w:r>
          </w:p>
        </w:tc>
      </w:tr>
      <w:tr>
        <w:trPr>
          <w:trHeight w:val="170"/>
        </w:trPr>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539</w:t>
            </w:r>
          </w:p>
        </w:tc>
      </w:tr>
      <w:tr>
        <w:trPr>
          <w:trHeight w:val="160"/>
        </w:trPr>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210"/>
        </w:trPr>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180,055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186,079</w:t>
            </w:r>
          </w:p>
        </w:tc>
      </w:tr>
      <w:tr>
        <w:trPr>
          <w:trHeight w:val="141"/>
        </w:trPr>
        <w:tc>
          <w:tcPr>
            <w:tcW w:w="10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44"/>
        </w:trPr>
        <w:tc>
          <w:tcPr>
            <w:tcW w:w="8020" w:type="dxa"/>
            <w:vAlign w:val="bottom"/>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75"/>
        </w:trPr>
        <w:tc>
          <w:tcPr>
            <w:tcW w:w="2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5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24,185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21,496</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 government revenue</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68</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collaboration revenue</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11,716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12,952</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accrued current liabilities</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36,526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47,879</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2,978</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liability related to sale of future royalties</w:t>
            </w: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1,862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1,381</w:t>
            </w:r>
          </w:p>
        </w:tc>
      </w:tr>
      <w:tr>
        <w:trPr>
          <w:trHeight w:val="160"/>
        </w:trPr>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76,842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86,754</w:t>
            </w:r>
          </w:p>
        </w:tc>
      </w:tr>
      <w:tr>
        <w:trPr>
          <w:trHeight w:val="160"/>
        </w:trPr>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5,438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6,007</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Deferred collaboration revenue, net of current portion</w:t>
            </w:r>
          </w:p>
        </w:tc>
        <w:tc>
          <w:tcPr>
            <w:tcW w:w="160" w:type="dxa"/>
            <w:vAlign w:val="bottom"/>
          </w:tcPr>
          <w:p>
            <w:pPr>
              <w:spacing w:after="0"/>
              <w:rPr>
                <w:sz w:val="14"/>
                <w:szCs w:val="14"/>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2,024</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Liability related to sale of future royalties, net of current portion</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2,679</w:t>
            </w:r>
          </w:p>
        </w:tc>
      </w:tr>
      <w:tr>
        <w:trPr>
          <w:trHeight w:val="170"/>
        </w:trPr>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841</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817</w:t>
            </w:r>
          </w:p>
        </w:tc>
      </w:tr>
      <w:tr>
        <w:trPr>
          <w:trHeight w:val="160"/>
        </w:trPr>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85,938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98,281</w:t>
            </w:r>
          </w:p>
        </w:tc>
      </w:tr>
      <w:tr>
        <w:trPr>
          <w:trHeight w:val="160"/>
        </w:trPr>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10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5"/>
        </w:trPr>
        <w:tc>
          <w:tcPr>
            <w:tcW w:w="80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Preferred stock: $0.0001 par value; 5,000,000 shares authorized; none issued and outstanding as of March 31, 2026 and December 31,</w:t>
            </w: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84"/>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180" w:type="dxa"/>
            <w:vAlign w:val="bottom"/>
            <w:shd w:val="clear" w:color="auto" w:fill="CCEEFF"/>
          </w:tcPr>
          <w:p>
            <w:pPr>
              <w:spacing w:after="0"/>
              <w:rPr>
                <w:sz w:val="16"/>
                <w:szCs w:val="16"/>
                <w:color w:val="auto"/>
              </w:rPr>
            </w:pPr>
          </w:p>
        </w:tc>
        <w:tc>
          <w:tcPr>
            <w:tcW w:w="5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80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auto"/>
              </w:rPr>
              <w:t>Common stock: $0.0001 par value; 350,000,000 shares authorized as of March 31, 2026 and December 31, 2025; 242,169,130 shares</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issued and 241,414,053 shares outstanding as of March 31, 2026 and 240,742,681 shares issued and 240,494,594 shares outstanding as of</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4"/>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December 31, 2025</w:t>
            </w:r>
          </w:p>
        </w:tc>
        <w:tc>
          <w:tcPr>
            <w:tcW w:w="160" w:type="dxa"/>
            <w:vAlign w:val="bottom"/>
          </w:tcPr>
          <w:p>
            <w:pPr>
              <w:spacing w:after="0"/>
              <w:rPr>
                <w:sz w:val="16"/>
                <w:szCs w:val="16"/>
                <w:color w:val="auto"/>
              </w:rPr>
            </w:pPr>
          </w:p>
        </w:tc>
        <w:tc>
          <w:tcPr>
            <w:tcW w:w="14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549,613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548,131</w:t>
            </w: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Treasury stock at cost, 755,077 shares as of March 31, 2026 and 248,087 shares as of December 31, 2025</w:t>
            </w:r>
          </w:p>
        </w:tc>
        <w:tc>
          <w:tcPr>
            <w:tcW w:w="1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r>
      <w:tr>
        <w:trPr>
          <w:trHeight w:val="170"/>
        </w:trPr>
        <w:tc>
          <w:tcPr>
            <w:tcW w:w="8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(455,016)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(460,195)</w:t>
            </w:r>
          </w:p>
        </w:tc>
      </w:tr>
      <w:tr>
        <w:trPr>
          <w:trHeight w:val="170"/>
        </w:trPr>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0"/>
        </w:trPr>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80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94,117</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87,798</w:t>
            </w:r>
          </w:p>
        </w:tc>
      </w:tr>
      <w:tr>
        <w:trPr>
          <w:trHeight w:val="160"/>
        </w:trPr>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70"/>
        </w:trPr>
        <w:tc>
          <w:tcPr>
            <w:tcW w:w="8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180,055</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186,079</w:t>
            </w:r>
          </w:p>
        </w:tc>
      </w:tr>
      <w:tr>
        <w:trPr>
          <w:trHeight w:val="20"/>
        </w:trPr>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11"/>
        </w:trPr>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540" w:type="dxa"/>
            <w:vAlign w:val="bottom"/>
            <w:gridSpan w:val="4"/>
          </w:tcPr>
          <w:p>
            <w:pPr>
              <w:jc w:val="center"/>
              <w:ind w:right="62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9"/>
        </w:trPr>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tcPr>
          <w:p>
            <w:pPr>
              <w:jc w:val="center"/>
              <w:ind w:left="1009"/>
              <w:spacing w:after="0"/>
              <w:rPr>
                <w:sz w:val="20"/>
                <w:szCs w:val="20"/>
                <w:color w:val="auto"/>
              </w:rPr>
            </w:pPr>
            <w:r>
              <w:rPr>
                <w:rFonts w:ascii="Times New Roman" w:cs="Times New Roman" w:eastAsia="Times New Roman" w:hAnsi="Times New Roman"/>
                <w:sz w:val="14"/>
                <w:szCs w:val="14"/>
                <w:color w:val="auto"/>
              </w:rPr>
              <w:t>F-2</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6"/>
        </w:trPr>
        <w:tc>
          <w:tcPr>
            <w:tcW w:w="100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6" w:right="3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0"/>
        </w:trPr>
        <w:tc>
          <w:tcPr>
            <w:tcW w:w="80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royalty revenue related to sale of future royalties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1,579</w:t>
            </w: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from government contracts</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36,370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19,297</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Collaboration revenue</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2,815</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39,227</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20,876</w:t>
            </w:r>
          </w:p>
        </w:tc>
      </w:tr>
      <w:tr>
        <w:trPr>
          <w:trHeight w:val="160"/>
        </w:trPr>
        <w:tc>
          <w:tcPr>
            <w:tcW w:w="8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29,413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30,744</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4,641</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5,067</w:t>
            </w:r>
          </w:p>
        </w:tc>
      </w:tr>
      <w:tr>
        <w:trPr>
          <w:trHeight w:val="160"/>
        </w:trPr>
        <w:tc>
          <w:tcPr>
            <w:tcW w:w="8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34,054</w:t>
            </w: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35,811</w:t>
            </w:r>
          </w:p>
        </w:tc>
      </w:tr>
      <w:tr>
        <w:trPr>
          <w:trHeight w:val="160"/>
        </w:trPr>
        <w:tc>
          <w:tcPr>
            <w:tcW w:w="8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0"/>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income (loss)</w:t>
            </w:r>
          </w:p>
        </w:tc>
        <w:tc>
          <w:tcPr>
            <w:tcW w:w="340" w:type="dxa"/>
            <w:vAlign w:val="bottom"/>
          </w:tcPr>
          <w:p>
            <w:pPr>
              <w:spacing w:after="0"/>
              <w:rPr>
                <w:sz w:val="14"/>
                <w:szCs w:val="14"/>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5,173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(14,935)</w:t>
            </w:r>
          </w:p>
        </w:tc>
      </w:tr>
      <w:tr>
        <w:trPr>
          <w:trHeight w:val="170"/>
        </w:trPr>
        <w:tc>
          <w:tcPr>
            <w:tcW w:w="80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437</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tc>
        <w:tc>
          <w:tcPr>
            <w:tcW w:w="3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r>
      <w:tr>
        <w:trPr>
          <w:trHeight w:val="1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expense, net</w:t>
            </w: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0"/>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7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(15,496)</w:t>
            </w:r>
          </w:p>
        </w:tc>
      </w:tr>
      <w:tr>
        <w:trPr>
          <w:trHeight w:val="170"/>
        </w:trPr>
        <w:tc>
          <w:tcPr>
            <w:tcW w:w="8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0"/>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w:t>
            </w:r>
          </w:p>
        </w:tc>
      </w:tr>
      <w:tr>
        <w:trPr>
          <w:trHeight w:val="160"/>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1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5,179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(15,591)</w:t>
            </w:r>
          </w:p>
        </w:tc>
      </w:tr>
      <w:tr>
        <w:trPr>
          <w:trHeight w:val="141"/>
        </w:trPr>
        <w:tc>
          <w:tcPr>
            <w:tcW w:w="80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0.02</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0.02</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r>
      <w:tr>
        <w:trPr>
          <w:trHeight w:val="141"/>
        </w:trPr>
        <w:tc>
          <w:tcPr>
            <w:tcW w:w="80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used to compute net income (loss) per share:</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Pr>
          <w:p>
            <w:pPr>
              <w:spacing w:after="0"/>
              <w:rPr>
                <w:sz w:val="14"/>
                <w:szCs w:val="14"/>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240,649,773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227,923,636</w:t>
            </w:r>
          </w:p>
        </w:tc>
      </w:tr>
      <w:tr>
        <w:trPr>
          <w:trHeight w:val="21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242,184,524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227,923,636</w:t>
            </w:r>
          </w:p>
        </w:tc>
      </w:tr>
      <w:tr>
        <w:trPr>
          <w:trHeight w:val="141"/>
        </w:trPr>
        <w:tc>
          <w:tcPr>
            <w:tcW w:w="8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5,179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w:t>
            </w:r>
          </w:p>
        </w:tc>
      </w:tr>
      <w:tr>
        <w:trPr>
          <w:trHeight w:val="17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available-for-sale investments, net of tax</w:t>
            </w: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5,175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(15,602)</w:t>
            </w:r>
          </w:p>
        </w:tc>
      </w:tr>
      <w:tr>
        <w:trPr>
          <w:trHeight w:val="20"/>
        </w:trPr>
        <w:tc>
          <w:tcPr>
            <w:tcW w:w="8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10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740" w:type="dxa"/>
            <w:vAlign w:val="bottom"/>
          </w:tcPr>
          <w:p>
            <w:pPr>
              <w:spacing w:after="0"/>
              <w:rPr>
                <w:sz w:val="14"/>
                <w:szCs w:val="14"/>
                <w:color w:val="auto"/>
              </w:rPr>
            </w:pPr>
          </w:p>
        </w:tc>
        <w:tc>
          <w:tcPr>
            <w:tcW w:w="1780" w:type="dxa"/>
            <w:vAlign w:val="bottom"/>
            <w:gridSpan w:val="4"/>
            <w:vMerge w:val="restart"/>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1660" w:type="dxa"/>
            <w:vAlign w:val="bottom"/>
            <w:gridSpan w:val="4"/>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96"/>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8"/>
        </w:trPr>
        <w:tc>
          <w:tcPr>
            <w:tcW w:w="3740" w:type="dxa"/>
            <w:vAlign w:val="bottom"/>
          </w:tcPr>
          <w:p>
            <w:pPr>
              <w:spacing w:after="0"/>
              <w:rPr>
                <w:sz w:val="14"/>
                <w:szCs w:val="14"/>
                <w:color w:val="auto"/>
              </w:rPr>
            </w:pPr>
          </w:p>
        </w:tc>
        <w:tc>
          <w:tcPr>
            <w:tcW w:w="178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4"/>
                <w:szCs w:val="14"/>
                <w:color w:val="auto"/>
              </w:rPr>
            </w:pPr>
          </w:p>
        </w:tc>
        <w:tc>
          <w:tcPr>
            <w:tcW w:w="880" w:type="dxa"/>
            <w:vAlign w:val="bottom"/>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940" w:type="dxa"/>
            <w:vAlign w:val="bottom"/>
            <w:gridSpan w:val="2"/>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50"/>
        </w:trPr>
        <w:tc>
          <w:tcPr>
            <w:tcW w:w="3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8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7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line="147"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line="147"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16"/>
              <w:spacing w:after="0" w:line="147"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6"/>
              <w:spacing w:after="0" w:line="147"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as of December 31, 2025</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240,742,681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(248,087)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548,131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(460,195)</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87,798</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Release of common stock for vested restricted stock units</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1,426,449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 of common stock to satisfy tax withholding</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(506,990)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1,482</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loss on available-for-sale investments</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9"/>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88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5,179</w:t>
            </w: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5,179</w:t>
            </w:r>
          </w:p>
        </w:tc>
        <w:tc>
          <w:tcPr>
            <w:tcW w:w="0" w:type="dxa"/>
            <w:vAlign w:val="bottom"/>
          </w:tcPr>
          <w:p>
            <w:pPr>
              <w:spacing w:after="0"/>
              <w:rPr>
                <w:sz w:val="1"/>
                <w:szCs w:val="1"/>
                <w:color w:val="auto"/>
              </w:rPr>
            </w:pPr>
          </w:p>
        </w:tc>
      </w:tr>
      <w:tr>
        <w:trPr>
          <w:trHeight w:val="150"/>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as of March 31, 2026</w:t>
            </w:r>
          </w:p>
        </w:tc>
        <w:tc>
          <w:tcPr>
            <w:tcW w:w="8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rPr>
              <w:t>242,169,130</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(755,077)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549,613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(455,016)</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94,117</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3280" w:type="dxa"/>
            <w:vAlign w:val="bottom"/>
          </w:tcPr>
          <w:p>
            <w:pPr>
              <w:spacing w:after="0"/>
              <w:rPr>
                <w:sz w:val="11"/>
                <w:szCs w:val="11"/>
                <w:color w:val="auto"/>
              </w:rPr>
            </w:pPr>
          </w:p>
        </w:tc>
        <w:tc>
          <w:tcPr>
            <w:tcW w:w="1660" w:type="dxa"/>
            <w:vAlign w:val="bottom"/>
            <w:gridSpan w:val="3"/>
            <w:vMerge w:val="restart"/>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4"/>
            <w:vMerge w:val="restart"/>
          </w:tcPr>
          <w:p>
            <w:pPr>
              <w:jc w:val="right"/>
              <w:ind w:right="604"/>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280" w:type="dxa"/>
            <w:vAlign w:val="bottom"/>
          </w:tcPr>
          <w:p>
            <w:pPr>
              <w:spacing w:after="0"/>
              <w:rPr>
                <w:sz w:val="10"/>
                <w:szCs w:val="10"/>
                <w:color w:val="auto"/>
              </w:rPr>
            </w:pPr>
          </w:p>
        </w:tc>
        <w:tc>
          <w:tcPr>
            <w:tcW w:w="166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84"/>
              <w:spacing w:after="0" w:line="125"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jc w:val="right"/>
              <w:ind w:right="124"/>
              <w:spacing w:after="0" w:line="12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880" w:type="dxa"/>
            <w:vAlign w:val="bottom"/>
            <w:gridSpan w:val="2"/>
          </w:tcPr>
          <w:p>
            <w:pPr>
              <w:jc w:val="center"/>
              <w:ind w:right="64"/>
              <w:spacing w:after="0" w:line="12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7"/>
        </w:trPr>
        <w:tc>
          <w:tcPr>
            <w:tcW w:w="3280" w:type="dxa"/>
            <w:vAlign w:val="bottom"/>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920" w:type="dxa"/>
            <w:vAlign w:val="bottom"/>
            <w:tcBorders>
              <w:bottom w:val="single" w:sz="8" w:color="auto"/>
            </w:tcBorders>
          </w:tcPr>
          <w:p>
            <w:pPr>
              <w:jc w:val="right"/>
              <w:ind w:right="304"/>
              <w:spacing w:after="0" w:line="107"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6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1"/>
                <w:szCs w:val="11"/>
                <w:b w:val="1"/>
                <w:bCs w:val="1"/>
                <w:color w:val="auto"/>
              </w:rPr>
              <w:t>Amount</w:t>
            </w: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Borders>
              <w:bottom w:val="single" w:sz="8" w:color="auto"/>
            </w:tcBorders>
          </w:tcPr>
          <w:p>
            <w:pPr>
              <w:jc w:val="right"/>
              <w:ind w:right="284"/>
              <w:spacing w:after="0" w:line="107"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ind w:right="264"/>
              <w:spacing w:after="0" w:line="107"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ind w:right="284"/>
              <w:spacing w:after="0" w:line="107"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284"/>
              <w:spacing w:after="0" w:line="107"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124"/>
              <w:spacing w:after="0" w:line="107" w:lineRule="exact"/>
              <w:rPr>
                <w:sz w:val="20"/>
                <w:szCs w:val="20"/>
                <w:color w:val="auto"/>
              </w:rPr>
            </w:pPr>
            <w:r>
              <w:rPr>
                <w:rFonts w:ascii="Times New Roman" w:cs="Times New Roman" w:eastAsia="Times New Roman" w:hAnsi="Times New Roman"/>
                <w:sz w:val="11"/>
                <w:szCs w:val="11"/>
                <w:b w:val="1"/>
                <w:bCs w:val="1"/>
                <w:color w:val="auto"/>
              </w:rPr>
              <w:t>(Loss) Gain</w:t>
            </w: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center"/>
              <w:ind w:right="104"/>
              <w:spacing w:after="0" w:line="107"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Balances as of December 31, 2024</w:t>
            </w:r>
          </w:p>
        </w:tc>
        <w:tc>
          <w:tcPr>
            <w:tcW w:w="92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228,203,822</w:t>
            </w:r>
          </w:p>
        </w:tc>
        <w:tc>
          <w:tcPr>
            <w:tcW w:w="740" w:type="dxa"/>
            <w:vAlign w:val="bottom"/>
            <w:gridSpan w:val="2"/>
            <w:shd w:val="clear" w:color="auto" w:fill="CCEEFF"/>
          </w:tcPr>
          <w:p>
            <w:pPr>
              <w:jc w:val="right"/>
              <w:ind w:right="524"/>
              <w:spacing w:after="0" w:line="117"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23</w:t>
            </w:r>
          </w:p>
        </w:tc>
        <w:tc>
          <w:tcPr>
            <w:tcW w:w="1020" w:type="dxa"/>
            <w:vAlign w:val="bottom"/>
            <w:gridSpan w:val="2"/>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(429,547)</w:t>
            </w:r>
          </w:p>
        </w:tc>
        <w:tc>
          <w:tcPr>
            <w:tcW w:w="260" w:type="dxa"/>
            <w:vAlign w:val="bottom"/>
            <w:gridSpan w:val="2"/>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(350)</w:t>
            </w:r>
          </w:p>
        </w:tc>
        <w:tc>
          <w:tcPr>
            <w:tcW w:w="220" w:type="dxa"/>
            <w:vAlign w:val="bottom"/>
            <w:gridSpan w:val="2"/>
            <w:shd w:val="clear" w:color="auto" w:fill="CCEEFF"/>
          </w:tcPr>
          <w:p>
            <w:pPr>
              <w:jc w:val="right"/>
              <w:ind w:right="37"/>
              <w:spacing w:after="0" w:line="117"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535,770</w:t>
            </w:r>
          </w:p>
        </w:tc>
        <w:tc>
          <w:tcPr>
            <w:tcW w:w="18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(476,522)</w:t>
            </w:r>
          </w:p>
        </w:tc>
        <w:tc>
          <w:tcPr>
            <w:tcW w:w="160" w:type="dxa"/>
            <w:vAlign w:val="bottom"/>
            <w:gridSpan w:val="2"/>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58,925</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Issuance of common stock upon exercise of stock options</w:t>
            </w:r>
          </w:p>
        </w:tc>
        <w:tc>
          <w:tcPr>
            <w:tcW w:w="92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3,625</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Release of common stock for vested restricted stock units</w:t>
            </w:r>
          </w:p>
        </w:tc>
        <w:tc>
          <w:tcPr>
            <w:tcW w:w="92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718,282</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Repurchase of common stock to satisfy tax withholding</w:t>
            </w:r>
          </w:p>
        </w:tc>
        <w:tc>
          <w:tcPr>
            <w:tcW w:w="92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(273,229)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(167)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
              <w:spacing w:after="0" w:line="117" w:lineRule="exact"/>
              <w:rPr>
                <w:sz w:val="20"/>
                <w:szCs w:val="20"/>
                <w:color w:val="auto"/>
              </w:rPr>
            </w:pPr>
            <w:r>
              <w:rPr>
                <w:rFonts w:ascii="Times New Roman" w:cs="Times New Roman" w:eastAsia="Times New Roman" w:hAnsi="Times New Roman"/>
                <w:sz w:val="11"/>
                <w:szCs w:val="11"/>
                <w:color w:val="auto"/>
              </w:rPr>
              <w:t>(167)</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Stock-based compensation</w:t>
            </w:r>
          </w:p>
        </w:tc>
        <w:tc>
          <w:tcPr>
            <w:tcW w:w="92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2,459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2,459</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Unrealized loss on available-for-sale investments</w:t>
            </w:r>
          </w:p>
        </w:tc>
        <w:tc>
          <w:tcPr>
            <w:tcW w:w="92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4"/>
              <w:spacing w:after="0" w:line="117" w:lineRule="exact"/>
              <w:rPr>
                <w:sz w:val="20"/>
                <w:szCs w:val="20"/>
                <w:color w:val="auto"/>
              </w:rPr>
            </w:pP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117"/>
        </w:trPr>
        <w:tc>
          <w:tcPr>
            <w:tcW w:w="3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280" w:type="dxa"/>
            <w:vAlign w:val="bottom"/>
            <w:tcBorders>
              <w:bottom w:val="single" w:sz="8" w:color="CCEEFF"/>
            </w:tcBorders>
            <w:shd w:val="clear" w:color="auto" w:fill="CCEEFF"/>
          </w:tcPr>
          <w:p>
            <w:pPr>
              <w:ind w:left="140"/>
              <w:spacing w:after="0" w:line="117" w:lineRule="exact"/>
              <w:rPr>
                <w:sz w:val="20"/>
                <w:szCs w:val="20"/>
                <w:color w:val="auto"/>
              </w:rPr>
            </w:pPr>
            <w:r>
              <w:rPr>
                <w:rFonts w:ascii="Times New Roman" w:cs="Times New Roman" w:eastAsia="Times New Roman" w:hAnsi="Times New Roman"/>
                <w:sz w:val="11"/>
                <w:szCs w:val="11"/>
                <w:color w:val="auto"/>
              </w:rPr>
              <w:t>Net loss</w:t>
            </w:r>
          </w:p>
        </w:tc>
        <w:tc>
          <w:tcPr>
            <w:tcW w:w="920" w:type="dxa"/>
            <w:vAlign w:val="bottom"/>
            <w:tcBorders>
              <w:bottom w:val="single" w:sz="8" w:color="auto"/>
            </w:tcBorders>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6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ind w:right="24"/>
              <w:spacing w:after="0" w:line="117" w:lineRule="exact"/>
              <w:rPr>
                <w:sz w:val="20"/>
                <w:szCs w:val="20"/>
                <w:color w:val="auto"/>
              </w:rPr>
            </w:pPr>
            <w:r>
              <w:rPr>
                <w:rFonts w:ascii="Times New Roman" w:cs="Times New Roman" w:eastAsia="Times New Roman" w:hAnsi="Times New Roman"/>
                <w:sz w:val="11"/>
                <w:szCs w:val="11"/>
                <w:color w:val="auto"/>
              </w:rPr>
              <w:t>(15,591)</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44"/>
              <w:spacing w:after="0" w:line="117"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4"/>
              <w:spacing w:after="0" w:line="117" w:lineRule="exact"/>
              <w:rPr>
                <w:sz w:val="20"/>
                <w:szCs w:val="20"/>
                <w:color w:val="auto"/>
              </w:rPr>
            </w:pPr>
            <w:r>
              <w:rPr>
                <w:rFonts w:ascii="Times New Roman" w:cs="Times New Roman" w:eastAsia="Times New Roman" w:hAnsi="Times New Roman"/>
                <w:sz w:val="11"/>
                <w:szCs w:val="11"/>
                <w:color w:val="auto"/>
              </w:rPr>
              <w:t>(15,591)</w:t>
            </w:r>
          </w:p>
        </w:tc>
        <w:tc>
          <w:tcPr>
            <w:tcW w:w="0" w:type="dxa"/>
            <w:vAlign w:val="bottom"/>
          </w:tcPr>
          <w:p>
            <w:pPr>
              <w:spacing w:after="0"/>
              <w:rPr>
                <w:sz w:val="1"/>
                <w:szCs w:val="1"/>
                <w:color w:val="auto"/>
              </w:rPr>
            </w:pPr>
          </w:p>
        </w:tc>
      </w:tr>
      <w:tr>
        <w:trPr>
          <w:trHeight w:val="107"/>
        </w:trPr>
        <w:tc>
          <w:tcPr>
            <w:tcW w:w="3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280" w:type="dxa"/>
            <w:vAlign w:val="bottom"/>
            <w:tcBorders>
              <w:bottom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color w:val="auto"/>
              </w:rPr>
              <w:t>Balances as of March 31, 2025</w:t>
            </w:r>
          </w:p>
        </w:tc>
        <w:tc>
          <w:tcPr>
            <w:tcW w:w="920" w:type="dxa"/>
            <w:vAlign w:val="bottom"/>
            <w:tcBorders>
              <w:bottom w:val="single" w:sz="8" w:color="auto"/>
            </w:tcBorders>
            <w:shd w:val="clear" w:color="auto" w:fill="CCEEFF"/>
          </w:tcPr>
          <w:p>
            <w:pPr>
              <w:jc w:val="right"/>
              <w:ind w:right="64"/>
              <w:spacing w:after="0" w:line="97" w:lineRule="exact"/>
              <w:rPr>
                <w:sz w:val="20"/>
                <w:szCs w:val="20"/>
                <w:color w:val="auto"/>
              </w:rPr>
            </w:pPr>
            <w:r>
              <w:rPr>
                <w:rFonts w:ascii="Times New Roman" w:cs="Times New Roman" w:eastAsia="Times New Roman" w:hAnsi="Times New Roman"/>
                <w:sz w:val="11"/>
                <w:szCs w:val="11"/>
                <w:color w:val="auto"/>
              </w:rPr>
              <w:t>228,925,729</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24"/>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bottom w:val="single" w:sz="8" w:color="auto"/>
            </w:tcBorders>
            <w:shd w:val="clear" w:color="auto" w:fill="CCEEFF"/>
          </w:tcPr>
          <w:p>
            <w:pPr>
              <w:jc w:val="right"/>
              <w:ind w:right="64"/>
              <w:spacing w:after="0" w:line="97" w:lineRule="exact"/>
              <w:rPr>
                <w:sz w:val="20"/>
                <w:szCs w:val="20"/>
                <w:color w:val="auto"/>
              </w:rPr>
            </w:pPr>
            <w:r>
              <w:rPr>
                <w:rFonts w:ascii="Times New Roman" w:cs="Times New Roman" w:eastAsia="Times New Roman" w:hAnsi="Times New Roman"/>
                <w:sz w:val="11"/>
                <w:szCs w:val="11"/>
                <w:color w:val="auto"/>
              </w:rPr>
              <w:t>23</w:t>
            </w: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(702,776)</w:t>
            </w: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(517)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ind w:right="64"/>
              <w:spacing w:after="0" w:line="97" w:lineRule="exact"/>
              <w:rPr>
                <w:sz w:val="20"/>
                <w:szCs w:val="20"/>
                <w:color w:val="auto"/>
              </w:rPr>
            </w:pPr>
            <w:r>
              <w:rPr>
                <w:rFonts w:ascii="Times New Roman" w:cs="Times New Roman" w:eastAsia="Times New Roman" w:hAnsi="Times New Roman"/>
                <w:sz w:val="11"/>
                <w:szCs w:val="11"/>
                <w:color w:val="auto"/>
              </w:rPr>
              <w:t>538,232</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(492,113)</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24"/>
              <w:spacing w:after="0" w:line="97" w:lineRule="exact"/>
              <w:rPr>
                <w:sz w:val="20"/>
                <w:szCs w:val="20"/>
                <w:color w:val="auto"/>
              </w:rPr>
            </w:pPr>
            <w:r>
              <w:rPr>
                <w:rFonts w:ascii="Times New Roman" w:cs="Times New Roman" w:eastAsia="Times New Roman" w:hAnsi="Times New Roman"/>
                <w:sz w:val="11"/>
                <w:szCs w:val="11"/>
                <w:color w:val="auto"/>
              </w:rPr>
              <w:t>(7)</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ind w:right="44"/>
              <w:spacing w:after="0" w:line="97" w:lineRule="exact"/>
              <w:rPr>
                <w:sz w:val="20"/>
                <w:szCs w:val="20"/>
                <w:color w:val="auto"/>
              </w:rPr>
            </w:pPr>
            <w:r>
              <w:rPr>
                <w:rFonts w:ascii="Times New Roman" w:cs="Times New Roman" w:eastAsia="Times New Roman" w:hAnsi="Times New Roman"/>
                <w:sz w:val="11"/>
                <w:szCs w:val="11"/>
                <w:color w:val="auto"/>
              </w:rPr>
              <w:t>45,618</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00" w:type="dxa"/>
            <w:vAlign w:val="bottom"/>
            <w:tcBorders>
              <w:top w:val="single" w:sz="8" w:color="0000EE"/>
            </w:tcBorders>
          </w:tcPr>
          <w:p>
            <w:pPr>
              <w:spacing w:after="0"/>
              <w:rPr>
                <w:sz w:val="24"/>
                <w:szCs w:val="24"/>
                <w:color w:val="auto"/>
              </w:rPr>
            </w:pPr>
          </w:p>
        </w:tc>
        <w:tc>
          <w:tcPr>
            <w:tcW w:w="7020" w:type="dxa"/>
            <w:vAlign w:val="bottom"/>
          </w:tcPr>
          <w:p>
            <w:pPr>
              <w:jc w:val="center"/>
              <w:ind w:left="2209"/>
              <w:spacing w:after="0"/>
              <w:rPr>
                <w:sz w:val="20"/>
                <w:szCs w:val="20"/>
                <w:color w:val="auto"/>
              </w:rPr>
            </w:pPr>
            <w:r>
              <w:rPr>
                <w:rFonts w:ascii="Times New Roman" w:cs="Times New Roman" w:eastAsia="Times New Roman" w:hAnsi="Times New Roman"/>
                <w:sz w:val="14"/>
                <w:szCs w:val="14"/>
                <w:b w:val="1"/>
                <w:bCs w:val="1"/>
                <w:color w:val="auto"/>
                <w:w w:val="99"/>
              </w:rPr>
              <w:t>VAXART,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40" w:type="dxa"/>
            <w:vAlign w:val="bottom"/>
          </w:tcPr>
          <w:p>
            <w:pPr>
              <w:spacing w:after="0"/>
              <w:rPr>
                <w:sz w:val="16"/>
                <w:szCs w:val="16"/>
                <w:color w:val="auto"/>
              </w:rPr>
            </w:pPr>
          </w:p>
        </w:tc>
        <w:tc>
          <w:tcPr>
            <w:tcW w:w="2920" w:type="dxa"/>
            <w:vAlign w:val="bottom"/>
            <w:gridSpan w:val="6"/>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5,179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(15,591)</w:t>
            </w: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sale of property and equipment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accretion of discounts on investments</w:t>
            </w:r>
          </w:p>
        </w:tc>
        <w:tc>
          <w:tcPr>
            <w:tcW w:w="34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tc>
        <w:tc>
          <w:tcPr>
            <w:tcW w:w="3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revenue related to sale of future royalties</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(3,021)</w:t>
            </w:r>
          </w:p>
        </w:tc>
        <w:tc>
          <w:tcPr>
            <w:tcW w:w="0" w:type="dxa"/>
            <w:vAlign w:val="bottom"/>
          </w:tcPr>
          <w:p>
            <w:pPr>
              <w:spacing w:after="0"/>
              <w:rPr>
                <w:sz w:val="1"/>
                <w:szCs w:val="1"/>
                <w:color w:val="auto"/>
              </w:rPr>
            </w:pP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7,425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Unbilled receivable from government contracts</w:t>
            </w:r>
          </w:p>
        </w:tc>
        <w:tc>
          <w:tcPr>
            <w:tcW w:w="34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(13,654)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(8,414)</w:t>
            </w: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7,889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0"/>
        </w:trPr>
        <w:tc>
          <w:tcPr>
            <w:tcW w:w="8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government revenue</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0"/>
        </w:trPr>
        <w:tc>
          <w:tcPr>
            <w:tcW w:w="8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Deferred collaboration revenue</w:t>
            </w:r>
          </w:p>
        </w:tc>
        <w:tc>
          <w:tcPr>
            <w:tcW w:w="34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(11,443)</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(2,054)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(9,599)</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investments</w:t>
            </w:r>
          </w:p>
        </w:tc>
        <w:tc>
          <w:tcPr>
            <w:tcW w:w="34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(10,231)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(7,338)</w:t>
            </w: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maturities of investments</w:t>
            </w: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20,700</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60"/>
              <w:spacing w:after="0" w:line="12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13,232</w:t>
            </w:r>
          </w:p>
        </w:tc>
        <w:tc>
          <w:tcPr>
            <w:tcW w:w="0" w:type="dxa"/>
            <w:vAlign w:val="bottom"/>
          </w:tcPr>
          <w:p>
            <w:pPr>
              <w:spacing w:after="0"/>
              <w:rPr>
                <w:sz w:val="1"/>
                <w:szCs w:val="1"/>
                <w:color w:val="auto"/>
              </w:rPr>
            </w:pPr>
          </w:p>
        </w:tc>
      </w:tr>
      <w:tr>
        <w:trPr>
          <w:trHeight w:val="53"/>
        </w:trPr>
        <w:tc>
          <w:tcPr>
            <w:tcW w:w="8020" w:type="dxa"/>
            <w:vAlign w:val="bottom"/>
            <w:tcBorders>
              <w:bottom w:val="single" w:sz="8" w:color="CCEEFF"/>
            </w:tcBorders>
            <w:gridSpan w:val="2"/>
            <w:vMerge w:val="continue"/>
            <w:shd w:val="clear" w:color="auto" w:fill="CCEEFF"/>
          </w:tcPr>
          <w:p>
            <w:pPr>
              <w:spacing w:after="0"/>
              <w:rPr>
                <w:sz w:val="4"/>
                <w:szCs w:val="4"/>
                <w:color w:val="auto"/>
              </w:rPr>
            </w:pPr>
          </w:p>
        </w:tc>
        <w:tc>
          <w:tcPr>
            <w:tcW w:w="340" w:type="dxa"/>
            <w:vAlign w:val="bottom"/>
            <w:tcBorders>
              <w:bottom w:val="single" w:sz="8" w:color="auto"/>
            </w:tcBorders>
            <w:shd w:val="clear" w:color="auto" w:fill="CCEEFF"/>
          </w:tcPr>
          <w:p>
            <w:pPr>
              <w:spacing w:after="0"/>
              <w:rPr>
                <w:sz w:val="4"/>
                <w:szCs w:val="4"/>
                <w:color w:val="auto"/>
              </w:rPr>
            </w:pPr>
          </w:p>
        </w:tc>
        <w:tc>
          <w:tcPr>
            <w:tcW w:w="1240" w:type="dxa"/>
            <w:vAlign w:val="bottom"/>
            <w:tcBorders>
              <w:bottom w:val="single" w:sz="8" w:color="auto"/>
            </w:tcBorders>
            <w:gridSpan w:val="2"/>
            <w:shd w:val="clear" w:color="auto" w:fill="CCEEFF"/>
          </w:tcPr>
          <w:p>
            <w:pPr>
              <w:jc w:val="right"/>
              <w:ind w:right="100"/>
              <w:spacing w:after="0" w:line="53" w:lineRule="exact"/>
              <w:rPr>
                <w:sz w:val="20"/>
                <w:szCs w:val="20"/>
                <w:color w:val="auto"/>
              </w:rPr>
            </w:pPr>
            <w:r>
              <w:rPr>
                <w:rFonts w:ascii="Times New Roman" w:cs="Times New Roman" w:eastAsia="Times New Roman" w:hAnsi="Times New Roman"/>
                <w:sz w:val="6"/>
                <w:szCs w:val="6"/>
                <w:color w:val="auto"/>
              </w:rPr>
              <w:t>(676</w:t>
            </w:r>
          </w:p>
        </w:tc>
        <w:tc>
          <w:tcPr>
            <w:tcW w:w="1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shd w:val="clear" w:color="auto" w:fill="CCEEFF"/>
          </w:tcPr>
          <w:p>
            <w:pPr>
              <w:spacing w:after="0"/>
              <w:rPr>
                <w:sz w:val="4"/>
                <w:szCs w:val="4"/>
                <w:color w:val="auto"/>
              </w:rPr>
            </w:pPr>
          </w:p>
        </w:tc>
        <w:tc>
          <w:tcPr>
            <w:tcW w:w="1220" w:type="dxa"/>
            <w:vAlign w:val="bottom"/>
            <w:tcBorders>
              <w:bottom w:val="single" w:sz="8" w:color="auto"/>
            </w:tcBorders>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from issuance of common stock upon exercise of stock options</w:t>
            </w:r>
          </w:p>
        </w:tc>
        <w:tc>
          <w:tcPr>
            <w:tcW w:w="3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acquired to settle employee tax withholding liabilities</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60"/>
        </w:trPr>
        <w:tc>
          <w:tcPr>
            <w:tcW w:w="1000" w:type="dxa"/>
            <w:vAlign w:val="bottom"/>
            <w:tcBorders>
              <w:top w:val="single" w:sz="8" w:color="CCEEFF"/>
            </w:tcBorders>
          </w:tcPr>
          <w:p>
            <w:pPr>
              <w:spacing w:after="0"/>
              <w:rPr>
                <w:sz w:val="13"/>
                <w:szCs w:val="13"/>
                <w:color w:val="auto"/>
              </w:rPr>
            </w:pPr>
          </w:p>
        </w:tc>
        <w:tc>
          <w:tcPr>
            <w:tcW w:w="70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802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60"/>
              <w:spacing w:after="0" w:line="12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60"/>
              <w:spacing w:after="0" w:line="12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3"/>
        </w:trPr>
        <w:tc>
          <w:tcPr>
            <w:tcW w:w="8020" w:type="dxa"/>
            <w:vAlign w:val="bottom"/>
            <w:tcBorders>
              <w:bottom w:val="single" w:sz="8" w:color="CCEEFF"/>
            </w:tcBorders>
            <w:gridSpan w:val="2"/>
            <w:vMerge w:val="continue"/>
            <w:shd w:val="clear" w:color="auto" w:fill="CCEEFF"/>
          </w:tcPr>
          <w:p>
            <w:pPr>
              <w:spacing w:after="0"/>
              <w:rPr>
                <w:sz w:val="4"/>
                <w:szCs w:val="4"/>
                <w:color w:val="auto"/>
              </w:rPr>
            </w:pPr>
          </w:p>
        </w:tc>
        <w:tc>
          <w:tcPr>
            <w:tcW w:w="340" w:type="dxa"/>
            <w:vAlign w:val="bottom"/>
            <w:tcBorders>
              <w:bottom w:val="single" w:sz="8" w:color="auto"/>
            </w:tcBorders>
            <w:shd w:val="clear" w:color="auto" w:fill="CCEEFF"/>
          </w:tcPr>
          <w:p>
            <w:pPr>
              <w:spacing w:after="0"/>
              <w:rPr>
                <w:sz w:val="4"/>
                <w:szCs w:val="4"/>
                <w:color w:val="auto"/>
              </w:rPr>
            </w:pPr>
          </w:p>
        </w:tc>
        <w:tc>
          <w:tcPr>
            <w:tcW w:w="1240" w:type="dxa"/>
            <w:vAlign w:val="bottom"/>
            <w:tcBorders>
              <w:bottom w:val="single" w:sz="8" w:color="auto"/>
            </w:tcBorders>
            <w:gridSpan w:val="2"/>
            <w:shd w:val="clear" w:color="auto" w:fill="CCEEFF"/>
          </w:tcPr>
          <w:p>
            <w:pPr>
              <w:jc w:val="right"/>
              <w:ind w:right="100"/>
              <w:spacing w:after="0" w:line="53" w:lineRule="exact"/>
              <w:rPr>
                <w:sz w:val="20"/>
                <w:szCs w:val="20"/>
                <w:color w:val="auto"/>
              </w:rPr>
            </w:pPr>
            <w:r>
              <w:rPr>
                <w:rFonts w:ascii="Times New Roman" w:cs="Times New Roman" w:eastAsia="Times New Roman" w:hAnsi="Times New Roman"/>
                <w:sz w:val="6"/>
                <w:szCs w:val="6"/>
                <w:color w:val="auto"/>
              </w:rPr>
              <w:t>(338</w:t>
            </w:r>
          </w:p>
        </w:tc>
        <w:tc>
          <w:tcPr>
            <w:tcW w:w="1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shd w:val="clear" w:color="auto" w:fill="CCEEFF"/>
          </w:tcPr>
          <w:p>
            <w:pPr>
              <w:spacing w:after="0"/>
              <w:rPr>
                <w:sz w:val="4"/>
                <w:szCs w:val="4"/>
                <w:color w:val="auto"/>
              </w:rPr>
            </w:pPr>
          </w:p>
        </w:tc>
        <w:tc>
          <w:tcPr>
            <w:tcW w:w="1220" w:type="dxa"/>
            <w:vAlign w:val="bottom"/>
            <w:tcBorders>
              <w:bottom w:val="single" w:sz="8" w:color="auto"/>
            </w:tcBorders>
            <w:gridSpan w:val="2"/>
            <w:shd w:val="clear" w:color="auto" w:fill="CCEEFF"/>
          </w:tcPr>
          <w:p>
            <w:pPr>
              <w:jc w:val="right"/>
              <w:ind w:right="100"/>
              <w:spacing w:after="0" w:line="53" w:lineRule="exact"/>
              <w:rPr>
                <w:sz w:val="20"/>
                <w:szCs w:val="20"/>
                <w:color w:val="auto"/>
              </w:rPr>
            </w:pPr>
            <w:r>
              <w:rPr>
                <w:rFonts w:ascii="Times New Roman" w:cs="Times New Roman" w:eastAsia="Times New Roman" w:hAnsi="Times New Roman"/>
                <w:sz w:val="6"/>
                <w:szCs w:val="6"/>
                <w:color w:val="auto"/>
              </w:rPr>
              <w:t>(164</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(3,068)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0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the period</w:t>
            </w: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53,814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25,229</w:t>
            </w:r>
          </w:p>
        </w:tc>
        <w:tc>
          <w:tcPr>
            <w:tcW w:w="0" w:type="dxa"/>
            <w:vAlign w:val="bottom"/>
          </w:tcPr>
          <w:p>
            <w:pPr>
              <w:spacing w:after="0"/>
              <w:rPr>
                <w:sz w:val="1"/>
                <w:szCs w:val="1"/>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the period</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50,746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28,698</w:t>
            </w:r>
          </w:p>
        </w:tc>
        <w:tc>
          <w:tcPr>
            <w:tcW w:w="0" w:type="dxa"/>
            <w:vAlign w:val="bottom"/>
          </w:tcPr>
          <w:p>
            <w:pPr>
              <w:spacing w:after="0"/>
              <w:rPr>
                <w:sz w:val="1"/>
                <w:szCs w:val="1"/>
                <w:color w:val="auto"/>
              </w:rPr>
            </w:pPr>
          </w:p>
        </w:tc>
      </w:tr>
      <w:tr>
        <w:trPr>
          <w:trHeight w:val="321"/>
        </w:trPr>
        <w:tc>
          <w:tcPr>
            <w:tcW w:w="80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activity:</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 of property and equipment included in accounts payable and accrued expenses</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Organization and Nature of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Vaxart Biosciences, Inc. was originally incorporated in California in March 2004, under the name West Coast Biologicals, Inc. The Company changed its name to Vaxart, Inc. (“Private Vaxart”) in July 2007, and reincorporated in the state of Delaware. In February 2018, 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$50.0 million. The shares were sold pursuant to an effective registration statement on Form S-3 (Registration Statement No. 333-270671) (the “2023 Shelf Registration Statement”), as previously filed with the U.S. Securities and Exchange Commission (the “SEC”), and a prospectus supplement, dated March 21, 2025, with the SEC in connection with the offer and sale of the shares under the March 2025 ATM. The 2023 Shelf Registration Statement has since expired and on April 30, 2026, the Company’s registration statement on Form S-3 (Registration Statement No. 333-295086) (the “2026 Shelf Registration Statement”) was declared effective. Pursuant to the 2026 Shelf Registration Statement and prospectus supplement dated May 4, 2026, the Company may continue to make sales under the March 2025 ATM. The Company will pay the Managers a placement fee of up to 3% of the gross sale price from each sale of shares under the March 2025 ATM.</w:t>
      </w:r>
    </w:p>
    <w:p>
      <w:pPr>
        <w:spacing w:after="0" w:line="14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4"/>
          <w:szCs w:val="14"/>
          <w:color w:val="auto"/>
        </w:rPr>
        <w:t>Effective July 8, 2025, Nasdaq suspended trading in our common stock and the Company was formally delisted from Nasdaq. Our common stock has been quoted on the OTCQX under the ticker symbol “VXRT” since the stock was suspended from trading on Nasdaq on July 8, 2025. The National Securities Markets Improvement Act of 1996 prevents or preempts the states from regulating the sale of certain securities, which are referred to as “covered securities.” As Nasdaq has officially delisted our securities, our securities are not covered securities since OTCQX-traded securities are not considered covered securities, and we will need to follow each state’s blue sky laws for offers and sales of our securities made to residents of that state. This state-level regulation introduces additional compliance requirements for brokers to consider when trading in our securities and complicates the use of our ATM facility.</w:t>
      </w:r>
    </w:p>
    <w:p>
      <w:pPr>
        <w:spacing w:after="0" w:line="14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color w:val="auto"/>
        </w:rPr>
        <w:t>In April 2026, the Company entered into a purchase agreement (the “April 2026 ELOC”) and a registration rights agreement with Lincoln Park Capital Fund, LLC (“LPC”), pursuant to which LPC committed to purchase up to $25.0 million (the “Commitment Amount”) of the Company’s common stock, subject to certain limitations and conditions. The Company has the right, but not the obligation, to sell shares to LPC, and LPC is obligated to make purchases as directed by the Company, subject to the conditions set forth in the agreement. See Note 13 for further details.</w:t>
      </w:r>
    </w:p>
    <w:p>
      <w:pPr>
        <w:spacing w:after="0" w:line="13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4"/>
          <w:szCs w:val="14"/>
          <w:color w:val="auto"/>
        </w:rPr>
        <w:t>The Company’s principal operations are based in South San Francisco, California, and it operates in one reportable segment, which is the discovery and development of oral recombinant protein vaccines, based on its proprietary oral vaccine platform.</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7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Basis of Presentation, Liquidity and Going Concern </w:t>
      </w:r>
      <w:r>
        <w:rPr>
          <w:rFonts w:ascii="Times New Roman" w:cs="Times New Roman" w:eastAsia="Times New Roman" w:hAnsi="Times New Roman"/>
          <w:sz w:val="14"/>
          <w:szCs w:val="14"/>
          <w:color w:val="auto"/>
        </w:rPr>
        <w:t>– The accompanying unaudited condensed consolidated financial statements have been prepared in accordance with accounting principles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generally accepted in the United States of America (“U.S. GAAP”) and pursuant to the accounting and disclosure rules and regulations of the SEC assuming the Company will continue as a going concern.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is a clinical-stage biotechnology company with no product sales. The Company’s primary source of financing is from the sale and issuance of common stock as well as funding</w:t>
      </w:r>
    </w:p>
    <w:p>
      <w:pPr>
        <w:spacing w:after="0" w:line="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from the Biomedical Advanced Research and Development Authority (“HHS BARDA”), a division of the Administration for Strategic Preparedness and Response (“ASPR”) within the United States (“U.S.”) Department of Health and Human Services. In the past, the Company has also financed its operations through the issuance of secured debt securities and preferred stock, proceeds from the exercise of warrants, and payments under collaboration and license agreements. As of March 31, 2026, the Company had cash, cash equivalents and short-term investments of $61.0 million. The Company’s cash, cash equivalents and investments are sufficient to fund the Company’s planned operations for at least the period of 12 months from the date the unaudited condensed consolidated financial statements are issued.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The Company will be dependent upon raising additional capital through placement of its common stock, notes or other securities, borrowings, or entering into a partnership with a strategic party in order to implement its business plan. There can be no assurance that the Company will be successful in raising additional capital.</w:t>
      </w:r>
    </w:p>
    <w:p>
      <w:pPr>
        <w:spacing w:after="0" w:line="125"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4"/>
          <w:szCs w:val="14"/>
          <w:color w:val="auto"/>
        </w:rPr>
        <w:t>Based on management’s current plan, the Company expects to have enough cash runway into the second quarter of 2027. The accompanying unaudited condensed consolidated financial statements have been prepared assuming that the Company will continue as a going concern, which contemplates the realization of assets and the settlement of liabilities and commitments in the normal course of business.</w:t>
      </w:r>
    </w:p>
    <w:p>
      <w:pPr>
        <w:spacing w:after="0" w:line="1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The condensed consolidated balance sheet as of December 31, 2025, included in this document, was derived from audited financial statements, but does not include all disclosures required by U.S. GAAP. Certain information and footnote disclosures normally included in consolidated financial statements have been condensed or omitted pursuant to these rules and regulations. These unaudited condensed consolidated financial statements should be read in conjunction with the Company’s audited financial statements and footnotes related thereto for the year ended December 31, 2025, included in the Company’s Annual Report on Form 10-K filed with the SEC on March 13, 2026 (the “Annual Report”). Unless noted below, there have been no material changes to the Company’s significant accounting policies described in </w:t>
      </w:r>
      <w:r>
        <w:rPr>
          <w:rFonts w:ascii="Times New Roman" w:cs="Times New Roman" w:eastAsia="Times New Roman" w:hAnsi="Times New Roman"/>
          <w:sz w:val="14"/>
          <w:szCs w:val="14"/>
          <w:u w:val="single" w:color="auto"/>
          <w:color w:val="0000EE"/>
        </w:rPr>
        <w:t>Note 2</w:t>
      </w:r>
      <w:r>
        <w:rPr>
          <w:rFonts w:ascii="Times New Roman" w:cs="Times New Roman" w:eastAsia="Times New Roman" w:hAnsi="Times New Roman"/>
          <w:sz w:val="14"/>
          <w:szCs w:val="14"/>
          <w:color w:val="auto"/>
        </w:rPr>
        <w:t xml:space="preserve"> to the condensed consolidated financial statements included in the Annual Report. In the opinion of management, the unaudited condensed consolidated financial statements include all adjustments (consisting only of normal recurring adjustments) necessary to present fairly the Company’s financial position and the results of its operations and cash flows. The results of operations for such interim periods are not necessarily indicative of the results to be expected for the full year or any future periods.</w:t>
      </w:r>
    </w:p>
    <w:p>
      <w:pPr>
        <w:spacing w:after="0" w:line="143"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Basis of Consolidation </w:t>
      </w:r>
      <w:r>
        <w:rPr>
          <w:rFonts w:ascii="Times New Roman" w:cs="Times New Roman" w:eastAsia="Times New Roman" w:hAnsi="Times New Roman"/>
          <w:sz w:val="14"/>
          <w:szCs w:val="14"/>
          <w:color w:val="auto"/>
        </w:rPr>
        <w:t>– The unaudited condensed consolidated financial statements include the financial statements of Vaxart, Inc. and its subsidiaries. All significant transactions and balances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between Vaxart, Inc. and its subsidiaries have been eliminated in consolidation.</w:t>
      </w:r>
    </w:p>
    <w:p>
      <w:pPr>
        <w:spacing w:after="0" w:line="121"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 The preparation of financial statements in conformity with U.S. GAAP requires the Company to make estimates and assumptions that affect the reported amounts of assets,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liabilities, revenues and expenses and disclosure of contingent assets and liabilities in the condensed consolidated financial statements and accompanying notes. Actual results and outcomes could differ from these estimates and assumptions.</w:t>
      </w:r>
    </w:p>
    <w:p>
      <w:pPr>
        <w:spacing w:after="0" w:line="13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Concentration of Credit Risk </w:t>
      </w:r>
      <w:r>
        <w:rPr>
          <w:rFonts w:ascii="Times New Roman" w:cs="Times New Roman" w:eastAsia="Times New Roman" w:hAnsi="Times New Roman"/>
          <w:sz w:val="14"/>
          <w:szCs w:val="14"/>
          <w:color w:val="auto"/>
        </w:rPr>
        <w:t>– Financial instruments that potentially subject the Company to significant concentrations of credit risk consist principally of cash, cash equivalents, available-for-sale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spacing w:after="0" w:line="13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from Government Contracts</w:t>
      </w:r>
    </w:p>
    <w:p>
      <w:pPr>
        <w:spacing w:after="0" w:line="180"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spacing w:after="0" w:line="13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to the Company under cost reimbursable contracts are provisional payments subject to adjustment upon annual audit by the government. The Company believes that revenue for</w:t>
      </w:r>
    </w:p>
    <w:p>
      <w:pPr>
        <w:spacing w:after="0" w:line="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color w:val="auto"/>
        </w:rPr>
        <w:t>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from the 2025 License and Collaboration Agreement</w:t>
      </w:r>
    </w:p>
    <w:p>
      <w:pPr>
        <w:spacing w:after="0" w:line="180" w:lineRule="exact"/>
        <w:rPr>
          <w:sz w:val="20"/>
          <w:szCs w:val="20"/>
          <w:color w:val="auto"/>
        </w:rPr>
      </w:pPr>
    </w:p>
    <w:p>
      <w:pPr>
        <w:jc w:val="both"/>
        <w:ind w:right="220"/>
        <w:spacing w:after="0" w:line="269" w:lineRule="auto"/>
        <w:rPr>
          <w:sz w:val="20"/>
          <w:szCs w:val="20"/>
          <w:color w:val="auto"/>
        </w:rPr>
      </w:pPr>
      <w:r>
        <w:rPr>
          <w:rFonts w:ascii="Times New Roman" w:cs="Times New Roman" w:eastAsia="Times New Roman" w:hAnsi="Times New Roman"/>
          <w:sz w:val="14"/>
          <w:szCs w:val="14"/>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3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3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40"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4"/>
          <w:szCs w:val="14"/>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40"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4"/>
          <w:szCs w:val="14"/>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In July 2025, the FASB issued ASU 2025-05, Measurement of Credit Losses for Accounts Receivable and Contract Assets, which introduces a practical expedient and an accounting policy election for certain entities in estimating expected credit losses for current accounts receivable and current contract assets arising from transactions within the scope of ASC 606, Revenue from Contracts with Customers. The Company adopted ASU 2025-05 effective January 1, 2026 on a prospective basis and elected the practical expedient. The adoption did not have a material effect on the Company's consolidated financial statements.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 Not Yet Adopted</w:t>
      </w:r>
    </w:p>
    <w:p>
      <w:pPr>
        <w:spacing w:after="0" w:line="17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Reporting Comprehensive Income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Expenses</w:t>
      </w:r>
      <w:r>
        <w:rPr>
          <w:rFonts w:ascii="Times New Roman" w:cs="Times New Roman" w:eastAsia="Times New Roman" w:hAnsi="Times New Roman"/>
          <w:sz w:val="14"/>
          <w:szCs w:val="14"/>
          <w:color w:val="auto"/>
        </w:rPr>
        <w:t>, which requires new disclosures to disaggregate prescribed natural expenses underlying any income statement caption. ASU 2024-03 is effective for annual reporting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beginning after December 15, 2026, and interim reporting periods beginning after December 15, 2027, with early adoption permitted. The Company is currently assessing the impact ASU 2024-03 will have on the consolidated financial statement disclosures.</w:t>
      </w:r>
    </w:p>
    <w:p>
      <w:pPr>
        <w:spacing w:after="0" w:line="139"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In December 2025, the FASB issued ASU 2025-10, Accounting for Government Grants Received by Business Entities, which adds guidance to ASC 832 on the recognition, measurement, and presentation of government grants received by business entities. ASU 2025-10 is effective for the Company in annual periods beginning after December 15, 2028, including interim periods within those fiscal years, with early adoption permitted. The guidance can be applied on a modified prospective, modified retrospective, or full retrospective basis. The Company is currently assessing the impact of ASU 2025-10 on its consolidated financial statements and disclosures.</w:t>
      </w:r>
    </w:p>
    <w:p>
      <w:pPr>
        <w:spacing w:after="0" w:line="13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 Narrow-Scope Improvements,</w:t>
      </w:r>
      <w:r>
        <w:rPr>
          <w:rFonts w:ascii="Times New Roman" w:cs="Times New Roman" w:eastAsia="Times New Roman" w:hAnsi="Times New Roman"/>
          <w:sz w:val="14"/>
          <w:szCs w:val="14"/>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assessing the impact ASU 2025-11 will have on the consolidated financial statement disclosures.</w:t>
      </w:r>
    </w:p>
    <w:p>
      <w:pPr>
        <w:spacing w:after="0" w:line="13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2025-12, </w:t>
      </w:r>
      <w:r>
        <w:rPr>
          <w:rFonts w:ascii="Times New Roman" w:cs="Times New Roman" w:eastAsia="Times New Roman" w:hAnsi="Times New Roman"/>
          <w:sz w:val="14"/>
          <w:szCs w:val="14"/>
          <w:i w:val="1"/>
          <w:iCs w:val="1"/>
          <w:color w:val="auto"/>
        </w:rPr>
        <w:t>Codification Improvements</w:t>
      </w:r>
      <w:r>
        <w:rPr>
          <w:rFonts w:ascii="Times New Roman" w:cs="Times New Roman" w:eastAsia="Times New Roman" w:hAnsi="Times New Roman"/>
          <w:sz w:val="14"/>
          <w:szCs w:val="14"/>
          <w:color w:val="auto"/>
        </w:rPr>
        <w:t>, which updates the Codification for a broad range of topics arising from technical corrections, unintended application of the Codification, clarifications, and other minor improvements. This ASU is effective for annual reporting periods beginning after December 15, 2026, and interim periods within those annual reporting periods, with early adoption permitted on an issue-by-issue basis. ASU 2025-12 is not expected to have a material effect on the Company's consolidated financial statements.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Fair Value of Financial Instruments</w:t>
      </w:r>
    </w:p>
    <w:p>
      <w:pPr>
        <w:spacing w:after="0" w:line="18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4"/>
          <w:szCs w:val="14"/>
          <w:color w:val="auto"/>
        </w:rPr>
        <w:t>Fair value accounting is applied for all financial assets and liabilities and nonfinancial assets and liabilities that are recognized or disclosed at fair value in the condensed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spacing w:after="0" w:line="1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Assets and liabilities recorded at fair value on a recurring basis in the condensed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three-level hierarchy for the inputs to valuation techniques is briefly summarized as follows: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Inputs are unadjusted, quoted prices in active markets for identical assets or liabilities at the measurement date;</w:t>
      </w:r>
    </w:p>
    <w:p>
      <w:pPr>
        <w:spacing w:after="0" w:line="178" w:lineRule="exact"/>
        <w:rPr>
          <w:sz w:val="20"/>
          <w:szCs w:val="20"/>
          <w:color w:val="auto"/>
        </w:rPr>
      </w:pPr>
    </w:p>
    <w:p>
      <w:pPr>
        <w:ind w:left="1020" w:right="80" w:hanging="508"/>
        <w:spacing w:after="0" w:line="286" w:lineRule="auto"/>
        <w:rPr>
          <w:sz w:val="20"/>
          <w:szCs w:val="20"/>
          <w:color w:val="auto"/>
        </w:rPr>
      </w:pPr>
      <w:r>
        <w:rPr>
          <w:rFonts w:ascii="Times New Roman" w:cs="Times New Roman" w:eastAsia="Times New Roman" w:hAnsi="Times New Roman"/>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Unobservable inputs that are significant to the measurement of the fair value of the assets or liabilities that are supported by little or no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fair value of the Company’s financial assets that are measured on a recurring basis as of March 31, 2026 and December 31, 2025 (in thousands):</w:t>
      </w:r>
    </w:p>
    <w:p>
      <w:pPr>
        <w:spacing w:after="0" w:line="187"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33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7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98"/>
              </w:rPr>
              <w:t>44,121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44,121</w:t>
            </w:r>
          </w:p>
        </w:tc>
      </w:tr>
      <w:tr>
        <w:trPr>
          <w:trHeight w:val="17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88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4"/>
                <w:szCs w:val="14"/>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4,188</w:t>
            </w: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w:t>
            </w:r>
          </w:p>
        </w:tc>
        <w:tc>
          <w:tcPr>
            <w:tcW w:w="8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8,876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8,876</w:t>
            </w:r>
          </w:p>
        </w:tc>
      </w:tr>
      <w:tr>
        <w:trPr>
          <w:trHeight w:val="171"/>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8"/>
              </w:rPr>
              <w:t>44,121</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98"/>
              </w:rPr>
              <w:t>13,064</w:t>
            </w:r>
          </w:p>
        </w:tc>
        <w:tc>
          <w:tcPr>
            <w:tcW w:w="10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57,185</w:t>
            </w:r>
          </w:p>
        </w:tc>
      </w:tr>
      <w:tr>
        <w:trPr>
          <w:trHeight w:val="20"/>
        </w:trPr>
        <w:tc>
          <w:tcPr>
            <w:tcW w:w="3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Financial assets:</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46,164</w:t>
            </w:r>
          </w:p>
        </w:tc>
        <w:tc>
          <w:tcPr>
            <w:tcW w:w="980" w:type="dxa"/>
            <w:vAlign w:val="bottom"/>
            <w:gridSpan w:val="2"/>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46,164</w:t>
            </w:r>
          </w:p>
        </w:tc>
      </w:tr>
      <w:tr>
        <w:trPr>
          <w:trHeight w:val="17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8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14,060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14,060</w:t>
            </w:r>
          </w:p>
        </w:tc>
      </w:tr>
      <w:tr>
        <w:trPr>
          <w:trHeight w:val="20"/>
        </w:trPr>
        <w:tc>
          <w:tcPr>
            <w:tcW w:w="3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46,164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8"/>
              </w:rPr>
              <w:t>14,060</w:t>
            </w:r>
          </w:p>
        </w:tc>
        <w:tc>
          <w:tcPr>
            <w:tcW w:w="108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60,224</w:t>
            </w:r>
          </w:p>
        </w:tc>
      </w:tr>
      <w:tr>
        <w:trPr>
          <w:trHeight w:val="20"/>
        </w:trPr>
        <w:tc>
          <w:tcPr>
            <w:tcW w:w="33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held no financial liabilities measured on a recurring basis as of March 31, 2026 or December 31, 2025.</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Balance Sheet Components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Cash, Cash Equivalents and Short-Term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cash equivalents and investments consisted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Short-Term</w:t>
            </w:r>
          </w:p>
        </w:tc>
      </w:tr>
      <w:tr>
        <w:trPr>
          <w:trHeight w:val="160"/>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40" w:type="dxa"/>
            <w:vAlign w:val="bottom"/>
          </w:tcPr>
          <w:p>
            <w:pPr>
              <w:spacing w:after="0"/>
              <w:rPr>
                <w:sz w:val="13"/>
                <w:szCs w:val="13"/>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88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Investments</w:t>
            </w:r>
          </w:p>
        </w:tc>
      </w:tr>
      <w:tr>
        <w:trPr>
          <w:trHeight w:val="16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Cash at banks</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3,837</w:t>
            </w:r>
          </w:p>
        </w:tc>
        <w:tc>
          <w:tcPr>
            <w:tcW w:w="100" w:type="dxa"/>
            <w:vAlign w:val="bottom"/>
          </w:tcPr>
          <w:p>
            <w:pPr>
              <w:spacing w:after="0"/>
              <w:rPr>
                <w:sz w:val="14"/>
                <w:szCs w:val="1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3,837</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44,121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44,121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44,121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1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4,190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2,788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1,400</w:t>
            </w:r>
          </w:p>
        </w:tc>
      </w:tr>
      <w:tr>
        <w:trPr>
          <w:trHeight w:val="170"/>
        </w:trPr>
        <w:tc>
          <w:tcPr>
            <w:tcW w:w="3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8,881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8,876</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8,876</w:t>
            </w:r>
          </w:p>
        </w:tc>
      </w:tr>
      <w:tr>
        <w:trPr>
          <w:trHeight w:val="160"/>
        </w:trPr>
        <w:tc>
          <w:tcPr>
            <w:tcW w:w="3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61,029</w:t>
            </w:r>
          </w:p>
        </w:tc>
        <w:tc>
          <w:tcPr>
            <w:tcW w:w="100" w:type="dxa"/>
            <w:vAlign w:val="bottom"/>
          </w:tcPr>
          <w:p>
            <w:pPr>
              <w:spacing w:after="0"/>
              <w:rPr>
                <w:sz w:val="13"/>
                <w:szCs w:val="13"/>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61,022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50,746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10,276</w:t>
            </w: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F- 11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6"/>
        </w:trPr>
        <w:tc>
          <w:tcPr>
            <w:tcW w:w="3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at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Money market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Treasury securities</w:t>
      </w:r>
    </w:p>
    <w:p>
      <w:pPr>
        <w:spacing w:after="0" w:line="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Cash and Cash</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Short-Term</w:t>
            </w:r>
          </w:p>
        </w:tc>
      </w:tr>
      <w:tr>
        <w:trPr>
          <w:trHeight w:val="160"/>
        </w:trPr>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Investments</w:t>
            </w:r>
          </w:p>
        </w:tc>
      </w:tr>
      <w:tr>
        <w:trPr>
          <w:trHeight w:val="315"/>
        </w:trPr>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3,583</w:t>
            </w:r>
          </w:p>
        </w:tc>
        <w:tc>
          <w:tcPr>
            <w:tcW w:w="100" w:type="dxa"/>
            <w:vAlign w:val="bottom"/>
          </w:tcPr>
          <w:p>
            <w:pPr>
              <w:spacing w:after="0"/>
              <w:rPr>
                <w:sz w:val="24"/>
                <w:szCs w:val="24"/>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757"/>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46,164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46,164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46,164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14,063</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14,060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9,993</w:t>
            </w:r>
          </w:p>
        </w:tc>
      </w:tr>
      <w:tr>
        <w:trPr>
          <w:trHeight w:val="161"/>
        </w:trPr>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63,810</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63,807</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53,814</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9,993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-2078990</wp:posOffset>
            </wp:positionH>
            <wp:positionV relativeFrom="paragraph">
              <wp:posOffset>-564515</wp:posOffset>
            </wp:positionV>
            <wp:extent cx="7161530" cy="1079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-349250</wp:posOffset>
            </wp:positionV>
            <wp:extent cx="7161530" cy="1079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-2078990</wp:posOffset>
            </wp:positionH>
            <wp:positionV relativeFrom="paragraph">
              <wp:posOffset>-127000</wp:posOffset>
            </wp:positionV>
            <wp:extent cx="7161530" cy="1276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12763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2560" w:space="720"/>
            <w:col w:w="8000"/>
          </w:cols>
          <w:pgMar w:left="300" w:top="125" w:right="319" w:bottom="1440" w:gutter="0" w:footer="0" w:header="0"/>
        </w:sectPr>
      </w:pPr>
    </w:p>
    <w:p>
      <w:pPr>
        <w:ind w:right="80"/>
        <w:spacing w:after="0" w:line="269" w:lineRule="auto"/>
        <w:rPr>
          <w:sz w:val="20"/>
          <w:szCs w:val="20"/>
          <w:color w:val="auto"/>
        </w:rPr>
      </w:pPr>
      <w:r>
        <w:rPr>
          <w:rFonts w:ascii="Times New Roman" w:cs="Times New Roman" w:eastAsia="Times New Roman" w:hAnsi="Times New Roman"/>
          <w:sz w:val="14"/>
          <w:szCs w:val="14"/>
          <w:color w:val="auto"/>
        </w:rPr>
        <w:t>As of March 31, 2026 and December 31, 2025, all investments were available-for-sale debt securities with remaining maturities of 12 months or less. As of March 31, 2026 and December 31, 2025, the Company held 9 and 4 securities, respectively, in an unrealized loss position for 12 months or less. Interest receivable as of March 31, 2026 and December 31, 2025, was $0.1 million and $0.2 million, respectively, and is recorded as a component of prepaid expenses and other current assets on the condensed consolidated balance sheets.</w:t>
      </w:r>
    </w:p>
    <w:p>
      <w:pPr>
        <w:spacing w:after="0" w:line="13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has the ability, if necessary, to liquidate any of its cash equivalents and marketable securities to meet its liquidity needs.</w:t>
      </w:r>
    </w:p>
    <w:p>
      <w:pPr>
        <w:spacing w:after="0" w:line="140"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14"/>
          <w:szCs w:val="14"/>
          <w:color w:val="auto"/>
        </w:rPr>
        <w:t>As of March 31, 2026 and December 31, 2025, there were no material declines in the market value of the Company’s available-for-sale investments due to credit-related factors. The Company does not intend to sell the investments, and it is not more likely than not that the Company will be required to sell the investments before recovery of their amortized cost basis. As of March 31, 2026 and December 31, 2025, no allowance for credit losses was recorded and the Company did not recognize any impairment losses related to investments.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Accounts Receivable</w:t>
      </w:r>
    </w:p>
    <w:p>
      <w:pPr>
        <w:spacing w:after="0" w:line="180"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4"/>
          <w:szCs w:val="14"/>
          <w:color w:val="auto"/>
        </w:rPr>
        <w:t xml:space="preserve">As of March 31, 2026, accounts receivable consisted of $7.1 million of government contract receivable from the 2024 ATI-RRPV Contract. As of December 31, 2025, accounts receivable of $14.6 million consisted of $14.2 million of government contract receivables from HHS BARDA and $0.3 million royalty receivable. See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The Company has provided no allowance for credit losses as of March 31, 2026 and December 31, 2025 based on historical collection experience, customer creditworthiness, the age of accounts receivable balances, regulatory changes and current economic conditions and trends that may affect a customer’s ability to pay.</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Unbilled Receivable from Government Contracts</w:t>
      </w:r>
    </w:p>
    <w:p>
      <w:pPr>
        <w:spacing w:after="0" w:line="18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4"/>
          <w:szCs w:val="14"/>
          <w:color w:val="auto"/>
        </w:rPr>
        <w:t xml:space="preserve">Unbilled receivable, which was earned and not yet billed, consists of government contracts from HHS BARDA of $50.4 million and $36.8 million as of March 31, 2026 and December 31, 2025, respectively, as detailed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Prepaid Expenses and Other Current Assets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0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clinical and manufacturing expenses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10,869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18,920</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w:t>
            </w:r>
          </w:p>
        </w:tc>
        <w:tc>
          <w:tcPr>
            <w:tcW w:w="20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w:t>
            </w: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rent</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539</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prepaid</w:t>
            </w:r>
          </w:p>
        </w:tc>
        <w:tc>
          <w:tcPr>
            <w:tcW w:w="20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677</w:t>
            </w:r>
          </w:p>
        </w:tc>
      </w:tr>
      <w:tr>
        <w:trPr>
          <w:trHeight w:val="170"/>
        </w:trPr>
        <w:tc>
          <w:tcPr>
            <w:tcW w:w="1120" w:type="dxa"/>
            <w:vAlign w:val="bottom"/>
          </w:tcPr>
          <w:p>
            <w:pPr>
              <w:spacing w:after="0"/>
              <w:rPr>
                <w:sz w:val="14"/>
                <w:szCs w:val="14"/>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20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667</w:t>
            </w:r>
          </w:p>
        </w:tc>
      </w:tr>
      <w:tr>
        <w:trPr>
          <w:trHeight w:val="160"/>
        </w:trPr>
        <w:tc>
          <w:tcPr>
            <w:tcW w:w="1120" w:type="dxa"/>
            <w:vAlign w:val="bottom"/>
          </w:tcPr>
          <w:p>
            <w:pPr>
              <w:spacing w:after="0"/>
              <w:rPr>
                <w:sz w:val="13"/>
                <w:szCs w:val="1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13,108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20,971</w:t>
            </w: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As of March 31, 2026 there was a significant concentration by one contract research organization (“CRO”), which represented 83% of the Company’s total prepaid expenses balance. As of December 31, 2025, there was a significant concentration by one CRO, which represented 90% of the Company’s total prepaid expenses balance.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  Property and Equipment, Net</w:t>
            </w: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39"/>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 (in thousands):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0"/>
        </w:trPr>
        <w:tc>
          <w:tcPr>
            <w:tcW w:w="11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1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13,963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14,005</w:t>
            </w:r>
          </w:p>
        </w:tc>
      </w:tr>
      <w:tr>
        <w:trPr>
          <w:trHeight w:val="170"/>
        </w:trPr>
        <w:tc>
          <w:tcPr>
            <w:tcW w:w="1120" w:type="dxa"/>
            <w:vAlign w:val="bottom"/>
          </w:tcPr>
          <w:p>
            <w:pPr>
              <w:spacing w:after="0"/>
              <w:rPr>
                <w:sz w:val="14"/>
                <w:szCs w:val="1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and computer equipment</w:t>
            </w:r>
          </w:p>
        </w:tc>
        <w:tc>
          <w:tcPr>
            <w:tcW w:w="180" w:type="dxa"/>
            <w:vAlign w:val="bottom"/>
          </w:tcPr>
          <w:p>
            <w:pPr>
              <w:spacing w:after="0"/>
              <w:rPr>
                <w:sz w:val="14"/>
                <w:szCs w:val="14"/>
                <w:color w:val="auto"/>
              </w:rPr>
            </w:pPr>
          </w:p>
        </w:tc>
        <w:tc>
          <w:tcPr>
            <w:tcW w:w="14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1,158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1,142</w:t>
            </w:r>
          </w:p>
        </w:tc>
      </w:tr>
      <w:tr>
        <w:trPr>
          <w:trHeight w:val="170"/>
        </w:trPr>
        <w:tc>
          <w:tcPr>
            <w:tcW w:w="1120" w:type="dxa"/>
            <w:vAlign w:val="bottom"/>
          </w:tcPr>
          <w:p>
            <w:pPr>
              <w:spacing w:after="0"/>
              <w:rPr>
                <w:sz w:val="14"/>
                <w:szCs w:val="14"/>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3,929</w:t>
            </w:r>
          </w:p>
        </w:tc>
      </w:tr>
      <w:tr>
        <w:trPr>
          <w:trHeight w:val="170"/>
        </w:trPr>
        <w:tc>
          <w:tcPr>
            <w:tcW w:w="1120" w:type="dxa"/>
            <w:vAlign w:val="bottom"/>
          </w:tcPr>
          <w:p>
            <w:pPr>
              <w:spacing w:after="0"/>
              <w:rPr>
                <w:sz w:val="14"/>
                <w:szCs w:val="1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158</w:t>
            </w:r>
          </w:p>
        </w:tc>
      </w:tr>
      <w:tr>
        <w:trPr>
          <w:trHeight w:val="160"/>
        </w:trPr>
        <w:tc>
          <w:tcPr>
            <w:tcW w:w="1120" w:type="dxa"/>
            <w:vAlign w:val="bottom"/>
          </w:tcPr>
          <w:p>
            <w:pPr>
              <w:spacing w:after="0"/>
              <w:rPr>
                <w:sz w:val="13"/>
                <w:szCs w:val="13"/>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8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19,385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19,234</w:t>
            </w:r>
          </w:p>
        </w:tc>
      </w:tr>
      <w:tr>
        <w:trPr>
          <w:trHeight w:val="170"/>
        </w:trPr>
        <w:tc>
          <w:tcPr>
            <w:tcW w:w="1120" w:type="dxa"/>
            <w:vAlign w:val="bottom"/>
          </w:tcPr>
          <w:p>
            <w:pPr>
              <w:spacing w:after="0"/>
              <w:rPr>
                <w:sz w:val="14"/>
                <w:szCs w:val="1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(14,558)</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(13,801)</w:t>
            </w:r>
          </w:p>
        </w:tc>
      </w:tr>
      <w:tr>
        <w:trPr>
          <w:trHeight w:val="232"/>
        </w:trPr>
        <w:tc>
          <w:tcPr>
            <w:tcW w:w="112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4,827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5,433</w:t>
            </w:r>
          </w:p>
        </w:tc>
      </w:tr>
    </w:tbl>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Depreciation expense was $0.9 million for each of the three months ended March 31, 2026 and 2025. There were no impairments of the Company’s property and equipment recorded in the three months ended March 31, 2026 and 2025.</w:t>
      </w:r>
    </w:p>
    <w:p>
      <w:pPr>
        <w:spacing w:after="0" w:line="123"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i w:val="1"/>
          <w:iCs w:val="1"/>
          <w:color w:val="auto"/>
        </w:rPr>
        <w:t>(f)</w:t>
      </w:r>
      <w:r>
        <w:rPr>
          <w:sz w:val="20"/>
          <w:szCs w:val="20"/>
          <w:color w:val="auto"/>
        </w:rPr>
        <w:tab/>
      </w:r>
      <w:r>
        <w:rPr>
          <w:rFonts w:ascii="Times New Roman" w:cs="Times New Roman" w:eastAsia="Times New Roman" w:hAnsi="Times New Roman"/>
          <w:sz w:val="13"/>
          <w:szCs w:val="13"/>
          <w:b w:val="1"/>
          <w:bCs w:val="1"/>
          <w:i w:val="1"/>
          <w:iCs w:val="1"/>
          <w:color w:val="auto"/>
        </w:rPr>
        <w:t>Prepaid Clinical Services, Long-Term</w:t>
      </w:r>
    </w:p>
    <w:p>
      <w:pPr>
        <w:spacing w:after="0" w:line="18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Prepaid clinical services, long-term was $25.2 million as of March 31, 2026 and December 31, 2025. The long-term prepaid clinical services represent amounts the Company has paid to a single CRO as a vendor deposit that will be utilized in more than one year.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 Right-of-Use Assets,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Right-of-use assets, net comprises facilities of $10.6 million and $11.4 million as of March 31, 2026 and December 31, 2025,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(h) Intangible Assets, Net</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Intangible assets are comprised of developed technology and intellectual property. Intangible assets are carried at cost less accumulated amortization. As of March 31, 2026, developed technology and intellectual property had remaining lives of 3.6 years and 1.8 years, respectively. As of March 31, 2026, there have been no indicators of impairment.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assets consist of the following (in thousands):</w:t>
            </w: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33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5,000</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Intellectual property</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80</w:t>
            </w: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cost</w:t>
            </w: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5,080</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(2,437)</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w:t>
            </w:r>
          </w:p>
        </w:tc>
      </w:tr>
      <w:tr>
        <w:trPr>
          <w:trHeight w:val="200"/>
        </w:trPr>
        <w:tc>
          <w:tcPr>
            <w:tcW w:w="1120" w:type="dxa"/>
            <w:vAlign w:val="bottom"/>
          </w:tcPr>
          <w:p>
            <w:pPr>
              <w:spacing w:after="0"/>
              <w:rPr>
                <w:sz w:val="17"/>
                <w:szCs w:val="17"/>
                <w:color w:val="auto"/>
              </w:rPr>
            </w:pPr>
          </w:p>
        </w:tc>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2,643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2,826</w:t>
            </w:r>
          </w:p>
        </w:tc>
      </w:tr>
      <w:tr>
        <w:trPr>
          <w:trHeight w:val="311"/>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Intangible asset amortization expense was $0.2 million for each of the three months ended March 31, 2026 and 2025.</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9"/>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of March 31, 2026, the estimated future amortization expense by year is as follows (in thousands):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0"/>
        </w:trPr>
        <w:tc>
          <w:tcPr>
            <w:tcW w:w="112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 (nine months remaining)</w:t>
            </w: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549</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731</w:t>
            </w: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727</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636</w:t>
            </w:r>
          </w:p>
        </w:tc>
      </w:tr>
      <w:tr>
        <w:trPr>
          <w:trHeight w:val="200"/>
        </w:trPr>
        <w:tc>
          <w:tcPr>
            <w:tcW w:w="1120" w:type="dxa"/>
            <w:vAlign w:val="bottom"/>
          </w:tcPr>
          <w:p>
            <w:pPr>
              <w:spacing w:after="0"/>
              <w:rPr>
                <w:sz w:val="17"/>
                <w:szCs w:val="17"/>
                <w:color w:val="auto"/>
              </w:rPr>
            </w:pPr>
          </w:p>
        </w:tc>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2,643</w:t>
            </w:r>
          </w:p>
        </w:tc>
      </w:tr>
    </w:tbl>
    <w:p>
      <w:pPr>
        <w:spacing w:after="0" w:line="153"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i w:val="1"/>
          <w:iCs w:val="1"/>
          <w:color w:val="auto"/>
        </w:rPr>
        <w:t>(i)</w:t>
      </w:r>
      <w:r>
        <w:rPr>
          <w:sz w:val="20"/>
          <w:szCs w:val="20"/>
          <w:color w:val="auto"/>
        </w:rPr>
        <w:tab/>
      </w:r>
      <w:r>
        <w:rPr>
          <w:rFonts w:ascii="Times New Roman" w:cs="Times New Roman" w:eastAsia="Times New Roman" w:hAnsi="Times New Roman"/>
          <w:sz w:val="13"/>
          <w:szCs w:val="13"/>
          <w:b w:val="1"/>
          <w:bCs w:val="1"/>
          <w:i w:val="1"/>
          <w:iCs w:val="1"/>
          <w:color w:val="auto"/>
        </w:rPr>
        <w:t>Goodwill</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4"/>
          <w:szCs w:val="14"/>
          <w:color w:val="auto"/>
        </w:rPr>
        <w:t>Goodwill, which represents the excess of the purchase price over the fair value of assets acquired, was $4.5 million as of March 31, 2026 and December 31, 2025. As of March 31, 2026, there have been no indicators of impairment.</w:t>
      </w:r>
    </w:p>
    <w:p>
      <w:pPr>
        <w:spacing w:after="0" w:line="123"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i w:val="1"/>
          <w:iCs w:val="1"/>
          <w:color w:val="auto"/>
        </w:rPr>
        <w:t>(j)</w:t>
        <w:tab/>
        <w:t>Accounts Payable</w:t>
      </w:r>
    </w:p>
    <w:p>
      <w:pPr>
        <w:spacing w:after="0" w:line="18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Accounts payable were $24.2 million and $21.5 million as of March 31, 2026 and December 31, 2025, respectively. As of March 31, 2026, there was a significant concentration by one CRO and one analytical testing vendor, which represented 95% of the Company’s total accounts payable balance. As of December 31, 2025, there was a significant concentration by one CRO and one analytical testing vendor, which represented 94% of the Company’s total accounts payable balance.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(k) Deferred Government Revenue</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4"/>
          <w:szCs w:val="14"/>
          <w:color w:val="auto"/>
        </w:rPr>
        <w:t>Deferred government revenue represents amounts received from HHS BARDA contracts where the earnings process is not yet complete. The Company will recognize deferred government revenue once the earnings process is complete, in accordance with its revenue recognition policies.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represents the Company's deferred government revenue (in thousands):</w:t>
            </w: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3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300" w:type="dxa"/>
            <w:vAlign w:val="bottom"/>
            <w:shd w:val="clear" w:color="auto" w:fill="CCEEFF"/>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65,400</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recognized</w:t>
            </w:r>
          </w:p>
        </w:tc>
        <w:tc>
          <w:tcPr>
            <w:tcW w:w="13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(65,513)</w:t>
            </w: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collected or invoiced</w:t>
            </w:r>
          </w:p>
        </w:tc>
        <w:tc>
          <w:tcPr>
            <w:tcW w:w="13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181</w:t>
            </w:r>
          </w:p>
        </w:tc>
      </w:tr>
      <w:tr>
        <w:trPr>
          <w:trHeight w:val="20"/>
        </w:trPr>
        <w:tc>
          <w:tcPr>
            <w:tcW w:w="11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300" w:type="dxa"/>
            <w:vAlign w:val="bottom"/>
          </w:tcPr>
          <w:p>
            <w:pPr>
              <w:jc w:val="right"/>
              <w:ind w:right="114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w:t>
            </w: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 xml:space="preserve">Amounts collected or invoiced during the three months ended March 31, 2026 and year ended December 31, 2025, primarily relate to amounts received on the 2024 ATI-RRPV Contract (as defined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 but for which revenue cannot yet be recognized due to contractual milestones not being achieved.</w:t>
      </w:r>
    </w:p>
    <w:p>
      <w:pPr>
        <w:spacing w:after="0" w:line="123"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4"/>
          <w:szCs w:val="14"/>
          <w:b w:val="1"/>
          <w:bCs w:val="1"/>
          <w:i w:val="1"/>
          <w:iCs w:val="1"/>
          <w:color w:val="auto"/>
        </w:rPr>
        <w:t>(l)</w:t>
        <w:tab/>
        <w:t>Deferred Collaboration Revenue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 xml:space="preserve">Deferred collaboration revenue represents amounts received from the 2025 License and Collaboration Agreement with Dynavax Technologies Corporation, a Sanofi company ("Dynavax"), entered into in November 2025 (as defined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 where the earnings process is not yet complete. The Company will recognize deferred collaboration revenue once the earnings process is complete, in accordance with its revenue recognition policies.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represents the Company's deferred collaboration revenue (in thousands):</w:t>
            </w: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14,976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recognized for collaboration</w:t>
            </w:r>
          </w:p>
        </w:tc>
        <w:tc>
          <w:tcPr>
            <w:tcW w:w="200" w:type="dxa"/>
            <w:vAlign w:val="bottom"/>
          </w:tcPr>
          <w:p>
            <w:pPr>
              <w:spacing w:after="0"/>
              <w:rPr>
                <w:sz w:val="14"/>
                <w:szCs w:val="14"/>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(2,815)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collected or invoiced</w:t>
            </w:r>
          </w:p>
        </w:tc>
        <w:tc>
          <w:tcPr>
            <w:tcW w:w="200" w:type="dxa"/>
            <w:vAlign w:val="bottom"/>
            <w:shd w:val="clear" w:color="auto" w:fill="CCEEFF"/>
          </w:tcPr>
          <w:p>
            <w:pPr>
              <w:spacing w:after="0"/>
              <w:rPr>
                <w:sz w:val="14"/>
                <w:szCs w:val="14"/>
                <w:color w:val="auto"/>
              </w:rPr>
            </w:pP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17,084</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deferred collaboration revenue</w:t>
            </w:r>
          </w:p>
        </w:tc>
        <w:tc>
          <w:tcPr>
            <w:tcW w:w="2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14,976</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portion</w:t>
            </w: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(11,716)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(12,952)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Long-term portion</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445</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 Other Accrued Current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accrued current liabilities consist of the following (in thousands):</w:t>
            </w: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2,259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4,244</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clinical and manufacturing expenses</w:t>
            </w:r>
          </w:p>
        </w:tc>
        <w:tc>
          <w:tcPr>
            <w:tcW w:w="200" w:type="dxa"/>
            <w:vAlign w:val="bottom"/>
          </w:tcPr>
          <w:p>
            <w:pPr>
              <w:spacing w:after="0"/>
              <w:rPr>
                <w:sz w:val="14"/>
                <w:szCs w:val="14"/>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32,728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42,455</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20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552</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 current portion</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36,526</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47,879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4"/>
          <w:szCs w:val="14"/>
          <w:color w:val="auto"/>
        </w:rPr>
        <w:t>As of March 31, 2026 and December 31, 2025, there was a significant concentration by one CRO, which represented 83% and 79% of the Company’s total other accrued liabilities balances, respectively.</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40"/>
          </w:cols>
          <w:pgMar w:left="300" w:top="12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Royalty Revenue Related to Sale of Future Royalties</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The Company generates royalty revenue from the sale of Inavir in Japan, pursuant to a collaboration and license agreement that Aviragen entered into with Daiichi Sankyo Company, Limited (“Daiichi Sankyo”) in 2009. In September 2010, 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Company's royalty revenue will cease with the expiration of the last patent related to Inavir in August 2036. The Company’s royalty revenue is seasonal, in line with the flu season, so the majority of the Company’s royalty revenue and non-cash royalty revenue related to the sale of future royalties are earned in the first and fourth fiscal quarters. The royalty revenue related to Inavir recognized for the three months ended March 31, 2026 and 2025 was zero. The non-cash royalty revenue related to the sale of future royalties was $42,000 and $1.6 million for the three months ended March 31, 2026 and 2025, respectively. Both royalty revenue and the non-cash royalty revenue related to the sale of future royalties are subject to a 5% withholding tax in Japan, for which $2,000 and $79,000 was included in income tax expense for the three months ended March 31, 2026 and 2025, respectively, further detailed in </w:t>
      </w:r>
      <w:r>
        <w:rPr>
          <w:rFonts w:ascii="Times New Roman" w:cs="Times New Roman" w:eastAsia="Times New Roman" w:hAnsi="Times New Roman"/>
          <w:sz w:val="14"/>
          <w:szCs w:val="14"/>
          <w:u w:val="single" w:color="auto"/>
          <w:color w:val="0000EE"/>
        </w:rPr>
        <w:t>Note 6</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Government Contracts</w:t>
      </w:r>
    </w:p>
    <w:p>
      <w:pPr>
        <w:spacing w:after="0" w:line="18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recognized revenue from government contracts with HHS BARDA of $36.4 million and $19.3 million for the three months ended March 31, 2026 and 2025, respectively, consisting of revenue from the 2024 ASPR-BARDA Contract (as defined below) and the 2024 ATI-RRPV Contract (as defined below) described in more detail below. Unbilled receivable from government contracts consists of government revenue from HHS BARDA, which was earned and not yet billed. As of March 31, 2026 and December 31, 2025, the amount of unbilled receivable was $50.4 million and $36.8 million, respectively, and deferred revenue was $23,000 and $68,000,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ATI-RRPV Contract</w:t>
      </w:r>
    </w:p>
    <w:p>
      <w:pPr>
        <w:spacing w:after="0" w:line="17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In June 2024, the Company entered into an agreement (as modified or amended from time to time the “2024 ATI-RRPV Contract”) with Advanced Technology International (“ATI”), the Rapid Response Partnership Vehicle’s Consortium Management Firm funded by HHS BARDA, which was modified in the second half of 2024 to increase funding and provide for the manufacturing of a vaccine candidate targeting the KP.2 strain and acquire an approved mRNA vaccine targeting the KP.2 strain. Pursuant to the 2024 ATI-RRPV Contract, the Company was authorized to receive overall funding of up to $460.7 million to conduct a Phase 2b comparative study evaluating the Company’s oral pill COVID-19 vaccine candidate against an mRNA vaccine comparator approved by the U.S. Food and Drug Administration (“FDA”). Funding has been released pursuant to authorized milestones delineated in a series of contract modifications. Pursuant to Modification No. 6 to the 2024 ATI-RRPV Contract, dated March 10, 2026 (the most recent contract modification), the total amount of funding available for payment under the 2024 ATI-RRPV Contract is approximately $316.0 million, including $67.9 million of firm fixed price amounts and the remaining amount for reimbursement of costs incurred in trial preparation and execution activities. The Company anticipates a further modification to the 2024 ATI-RRPV Contract that will reflect the reduced scope of work and corresponding reduction in funding that resulted from previously issued stop work orders that halted enrollment and therefore reduced the size of the study.</w:t>
      </w:r>
    </w:p>
    <w:p>
      <w:pPr>
        <w:spacing w:after="0" w:line="14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The Company accounts for the 2024 ATI-RRPV Contract under Accounting Standards Codification 958-605 (“ASC 958-605”) and recognizes revenue as the firm fixed-price milestone is earned and allowable cost-plus-fixed-fees are incurred. Reimbursable costs under the 2024 ATI-RRPV Contract primarily include direct labor, subcontract costs, materials, travel, and approved overhead and indirect costs. The 2024 ATI-RRPV Contract contains terms and conditions that are customary for contracts with HHS BARDA of this nature, including the U.S. government having the right to terminate the contract for convenience or to terminate for default if the Company fails to meet its obligations as set forth in the statement of work. Revenue from government contracts recognized on the 2024 ATI-RRPV Contract was $36.4 million, comprised entirely of the cost-plus-fixed-fee, for the three months ended March 31, 2026, and $19.3 million, comprising cost-plus-fixed-fee</w:t>
      </w:r>
    </w:p>
    <w:p>
      <w:pPr>
        <w:spacing w:after="0" w:line="257" w:lineRule="auto"/>
        <w:rPr>
          <w:sz w:val="20"/>
          <w:szCs w:val="20"/>
          <w:color w:val="auto"/>
        </w:rPr>
      </w:pPr>
      <w:r>
        <w:rPr>
          <w:rFonts w:ascii="Times New Roman" w:cs="Times New Roman" w:eastAsia="Times New Roman" w:hAnsi="Times New Roman"/>
          <w:sz w:val="14"/>
          <w:szCs w:val="14"/>
          <w:color w:val="auto"/>
        </w:rPr>
        <w:t>of $18.5 million and firm fixed-price milestone of $0.8 million for the three months ended March 31, 2025, based on costs incurred and the achievement of firm fixed-price milestones under the 2024 ATI-RRPV Contract. Deferred government revenue represents amounts that have been received from HHS BARDA and the earnings process is not yet complete. Deferred government revenue in current liabilities was $23,000 and $68,000 as of March 31, 2026 and December 31, 2025, respectively. The remaining deferred government revenue as of March 31, 2026, will be recognized as revenue once the earnings process is complete.</w:t>
      </w:r>
    </w:p>
    <w:p>
      <w:pPr>
        <w:spacing w:after="0" w:line="1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believes that if the 2024 ATI-RRPV Contract were to be terminated prior to completion of the Phase 2b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not yet audited will be recorded in amounts that are expected to be realized upon final audit and settlement. When the final determination of the allowable costs for any year has been made, revenue and billings may be adjusted accordingly in the period that the adjustment becomes known.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ASPR-BARDA Contract</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 January 2024, the Company was awarded a contract (as modified or amended, the “2024 ASPR-BARDA Contract”) by HHS BARDA with a base and all options value of $9.3 million. Under the 2024 ASPR-BARDA Contract, the Company received an award to support clinical trial planning activities for a Phase 2b clinical trial that would compare the Company’s XBB vaccine candidate to an mRNA comparator to evaluate efficacy for symptomatic and asymptomatic disease, systemic and mucosal immune induction, and adverse events. The 2024 ASPR-BARDA Contract originally had a period of performance term that was set to expire in July 2024, but the Company entered into an amendment in July 2024 that extended the period of performance expiration date into October 2024. The Company accounts for the 2024 ASPR-BARDA Contract under ASC 958-605 and recognizes revenue as donor-imposed conditions are met. Revenue from government contracts recognized on the 2024 ASPR-BARDA Contract was zero for each of the three months ended March 31, 2026 and 2025. Deferred government revenue represents amounts that have been received from HHS BARDA and the earnings process is not yet complete. Deferred government revenue in current liabilities was zero as of March 31, 2026 and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License and Collaboration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November 4, 2025, the Company entered into the 2025 License and Collaboration Agreement with Dynavax relating to the Company’s investigational oral vaccine candidate for COVID-19 based on its proprietary oral delivery platform (the “Vaccine Candidate”). Pursuant to the 2025 License and Collaboration Agreement, the Company granted Dynavax an exclusive, worldwide license to develop and commercialize the Company’s oral pill Vaccine Candidate for SARS-CoV-2, SARS coronavirus, or MERS coronavirus, including COVID-19 and all variants thereof. Under the terms of the 2025 License and Collaboration Agreement, Dynavax paid the Company an upfront license fee of $25.0 million and purchased $5.0 million of the Company’s common stock pursuant to the 2025 Securities Purchase Agreement. The 2025 License and Collaboration Agreement provides that the Company continue to develop the Vaccine Candidate by conducting and completing its ongoing Phase 2b clinical trial and delivering the end-of-Phase 2 data package, performing its obligations under the 2024 ATI-RRPV agreement and conducting additional development and manufacturing activities related to the Vaccine Candidate.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February 10, 2026, Sanofi completed its acquisition of Dynavax. As a result of the consummation of the merger, Dynavax became an indirect wholly owned subsidiary of Sanofi.</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completion of the Company’s ongoing Phase 2b clinical trial and a planned end-of-Phase 2 meeting with the FDA, per the 2025 License and Collaboration Agreement, Dynavax has the right to elect, in its sole discretion, to assume responsibility for the continued development of the Vaccine Candidate. If Dynavax elects to assume responsibility for such continued development of the Vaccine Candidate, then Dynavax has agreed to pay the Company an additional fee of $50.0 million. If Dynavax does not elect to assume responsibility for such continued development of the Vaccine Candidate, then the 2025 License and Collaboration Agreement will terminate pursuant to its terms.</w:t>
      </w:r>
    </w:p>
    <w:p>
      <w:pPr>
        <w:spacing w:after="0" w:line="140" w:lineRule="exact"/>
        <w:rPr>
          <w:sz w:val="20"/>
          <w:szCs w:val="20"/>
          <w:color w:val="auto"/>
        </w:rPr>
      </w:pPr>
    </w:p>
    <w:p>
      <w:pPr>
        <w:jc w:val="both"/>
        <w:ind w:right="460"/>
        <w:spacing w:after="0" w:line="269" w:lineRule="auto"/>
        <w:rPr>
          <w:sz w:val="20"/>
          <w:szCs w:val="20"/>
          <w:color w:val="auto"/>
        </w:rPr>
      </w:pPr>
      <w:r>
        <w:rPr>
          <w:rFonts w:ascii="Times New Roman" w:cs="Times New Roman" w:eastAsia="Times New Roman" w:hAnsi="Times New Roman"/>
          <w:sz w:val="14"/>
          <w:szCs w:val="14"/>
          <w:color w:val="auto"/>
        </w:rPr>
        <w:t>The Company determined that the 2025 License and Collaboration Agreement represented a contract with a customer and should be accounted for in accordance with ASC 606. The Company identified two performance obligations, (i) the exclusive license, together with the related transfer and manufacturing technology transfer (the “License Performance Obligation”), and (ii) the development program activities through delivery of the EOP2 Data Package, including participation in joint governance committees (the “Development Performance Obligation”).</w:t>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identified $25.8 million of total transaction price at inception, consisting of a non-refundable upfront payment of $25.0 million and the premium of approximately $0.8 million associated with Dynavax’s concurrent $5.0 million equity investment in the Company, which represented consideration in excess of the fair value of the common stock issued. The fixed consideration of $25.8 million was allocated to the two performance obligations on a relative standalone selling price basis. Revenue allocated to the License Performance Obligation was recognized at a point in time in the fourth quarter of 2025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2025 License and Collaboration Agreement also includes potential additional consideration in the form of evaluation fees, a $50.0 million election payment, regulatory and commercial milestone payments, and royalties on future product sales. Such amounts represent variable consideration and are included in the transaction price only to the extent that it is probable that a significant reversal of cumulative revenue recognized will not occur. Sales-based milestones and royalties will be recognized as revenue when the underlying sales occur in accordance with the sales- or usage-based royalty exception in ASC 606.</w:t>
      </w:r>
    </w:p>
    <w:p>
      <w:pPr>
        <w:spacing w:after="0" w:line="14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For the three months ended March 31, 2026 and 2025, the Company recognized collaboration revenue of $2.8 million and zero, respectively, from the 2025 License and Collaboration Agreement. As of March 31, 2026, the amount of deferred collaboration revenue was $12.2 million, of which $11.7 million was classified as current and $0.4 million as non-current. The remaining deferred collaboration revenue will be recognized as revenue once the earnings process is complete.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Liabilities Related to Sale of Future Royalties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 April 2016, Aviragen entered into a Royalty Interest Acquisition Agreement (the “RIAA”) with HealthCare Royalty Partners III, L.P. (“HCRP”). Under the RIAA, HCRP made a $20.0 million cash payment to Aviragen in consideration for acquiring certain royalty rights (“Royalty Rights”) related to the approved product Inavir in the Japanese market. The Royalty Rights were obtained pursuant to the collaboration and license agreements (the “License Agreement”) and a commercialization agreement that the Company entered into with Daiichi Sankyo. Per the terms of the RIAA, during the first royalty interest period of April 1, 2016 through March 31, 2025, HCRP is entitled to the first $3.0 million and any cumulative remaining shortfall amount plus 15% of the next $1.0 million in royalties earned in each year commencing on April 1, with any excess revenue being retained by the Company. Further, during the second royalty interest period beginning April 1, 2025 and ending on December 24, 2029, HCRP is entitled to the first $2.7 million and any cumulative remaining shortfall amount, plus 15% of the next $1.0 million in royalties, with any excess revenue being retained by the Company. A shortfall occurs when, during an annual period ending on March 31, for the first royalty interest period of April 1, 2016 through March 31, 2025, the Company’s royalty payments fall below $3.0 million; and $2.7 million for the second royalty interest period of April 1, 2025 and ending on December 24, 2029, excluding the period of April 1, 2028 through December 24, 2029. In the event there shall remain any cumulative remaining shortfall amount as of December 24, 2029, any royalties received from Daiichi Sankyo subsequently by the Company would be payable to HCRP until the cumulative remaining shortfall amount has been paid.</w:t>
      </w:r>
    </w:p>
    <w:p>
      <w:pPr>
        <w:spacing w:after="0" w:line="31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For avoidance of doubt, the RIAA states, in the event there is a remaining cumulative remaining shortfall amount as of December 24, 2029, the Company shall not be obligated to pay HCRP any royalty payment beyond what the Company is paid from Daiichi Sankyo. The cumulative remaining shortfall amount is the aggregate amount of the remaining shortfall for each annual period, which was $6.7 million and $4.4 million as of March 31, 2026 and December 31, 2025,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Under the relevant accounting guidance, due to a limit on the amount of royalties that HCRP can earn under the RIAA, this transaction was accounted for as a liability that is being amortized using the effective interest method over the life of the arrangement. The Company has no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not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not retain HCRP’s share of the royalties, it will continue to record non-cash revenue related to those royalties until the amount of the associated liability, including the related interest, is fully amortized.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shows the activity within the liability account during the three months ended March 31, 2026 (in thousands):</w:t>
            </w: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0"/>
        </w:trPr>
        <w:tc>
          <w:tcPr>
            <w:tcW w:w="9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liability related to sale of future royalties, start of period</w:t>
            </w: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4,060</w:t>
            </w:r>
          </w:p>
        </w:tc>
      </w:tr>
      <w:tr>
        <w:trPr>
          <w:trHeight w:val="170"/>
        </w:trPr>
        <w:tc>
          <w:tcPr>
            <w:tcW w:w="9720" w:type="dxa"/>
            <w:vAlign w:val="bottom"/>
          </w:tcPr>
          <w:p>
            <w:pPr>
              <w:spacing w:after="0"/>
              <w:rPr>
                <w:sz w:val="20"/>
                <w:szCs w:val="20"/>
                <w:color w:val="auto"/>
              </w:rPr>
            </w:pPr>
            <w:r>
              <w:rPr>
                <w:rFonts w:ascii="Times New Roman" w:cs="Times New Roman" w:eastAsia="Times New Roman" w:hAnsi="Times New Roman"/>
                <w:sz w:val="14"/>
                <w:szCs w:val="14"/>
                <w:color w:val="auto"/>
              </w:rPr>
              <w:t>Non-cash royalty revenue paid to HCRP</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70"/>
        </w:trPr>
        <w:tc>
          <w:tcPr>
            <w:tcW w:w="9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Non-cash interest expense recognized</w:t>
            </w:r>
          </w:p>
        </w:tc>
        <w:tc>
          <w:tcPr>
            <w:tcW w:w="5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505</w:t>
            </w:r>
          </w:p>
        </w:tc>
      </w:tr>
      <w:tr>
        <w:trPr>
          <w:trHeight w:val="160"/>
        </w:trPr>
        <w:tc>
          <w:tcPr>
            <w:tcW w:w="9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liability related to sale of future royalties, end of period</w:t>
            </w:r>
          </w:p>
        </w:tc>
        <w:tc>
          <w:tcPr>
            <w:tcW w:w="580" w:type="dxa"/>
            <w:vAlign w:val="bottom"/>
          </w:tcPr>
          <w:p>
            <w:pPr>
              <w:spacing w:after="0"/>
              <w:rPr>
                <w:sz w:val="13"/>
                <w:szCs w:val="13"/>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4,234</w:t>
            </w:r>
          </w:p>
        </w:tc>
      </w:tr>
      <w:tr>
        <w:trPr>
          <w:trHeight w:val="180"/>
        </w:trPr>
        <w:tc>
          <w:tcPr>
            <w:tcW w:w="9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r>
      <w:tr>
        <w:trPr>
          <w:trHeight w:val="192"/>
        </w:trPr>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Long-term portion</w:t>
            </w: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2,372</w:t>
            </w:r>
          </w:p>
        </w:tc>
      </w:tr>
      <w:tr>
        <w:trPr>
          <w:trHeight w:val="20"/>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Leases</w:t>
      </w:r>
    </w:p>
    <w:p>
      <w:pPr>
        <w:spacing w:after="0" w:line="1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4"/>
          <w:szCs w:val="14"/>
          <w:color w:val="auto"/>
        </w:rPr>
        <w:t>The Company has obtained the right of use for office and manufacturing facilities under five operating lease agreements with initial terms exceeding one year. The lease term at the commencement date is determined by considering whether renewal options and termination options are reasonably assured of exercise.</w:t>
      </w:r>
    </w:p>
    <w:p>
      <w:pPr>
        <w:spacing w:after="0" w:line="1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4"/>
          <w:szCs w:val="14"/>
          <w:color w:val="auto"/>
        </w:rPr>
        <w:t>As of March 31, 2026, the weighted average discount rate for operating leases with initial terms of more than one year was 10.1% and the weighted average remaining term of these leases was 2.9 years. Discount rates were determined using the Company’s marginal rate of borrowing at the time each lease was executed or extended.</w:t>
      </w:r>
    </w:p>
    <w:p>
      <w:pPr>
        <w:spacing w:after="0" w:line="1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4"/>
          <w:szCs w:val="14"/>
          <w:color w:val="auto"/>
        </w:rPr>
        <w:t>The following table summarizes the Company’s undiscounted cash payment obligations for its operating lease liabilities with initial terms of more than 12 months as of March 31, 2026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5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7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 (nine months remaining)</w:t>
            </w:r>
          </w:p>
        </w:tc>
        <w:tc>
          <w:tcPr>
            <w:tcW w:w="6040" w:type="dxa"/>
            <w:vAlign w:val="bottom"/>
            <w:gridSpan w:val="2"/>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2,425</w:t>
            </w:r>
          </w:p>
        </w:tc>
      </w:tr>
      <w:tr>
        <w:trPr>
          <w:trHeight w:val="170"/>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5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2,947</w:t>
            </w:r>
          </w:p>
        </w:tc>
      </w:tr>
      <w:tr>
        <w:trPr>
          <w:trHeight w:val="17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54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3,050</w:t>
            </w:r>
          </w:p>
        </w:tc>
      </w:tr>
      <w:tr>
        <w:trPr>
          <w:trHeight w:val="170"/>
        </w:trPr>
        <w:tc>
          <w:tcPr>
            <w:tcW w:w="4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5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760</w:t>
            </w:r>
          </w:p>
        </w:tc>
      </w:tr>
      <w:tr>
        <w:trPr>
          <w:trHeight w:val="160"/>
        </w:trPr>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Undiscounted total</w:t>
            </w:r>
          </w:p>
        </w:tc>
        <w:tc>
          <w:tcPr>
            <w:tcW w:w="5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9,182</w:t>
            </w:r>
          </w:p>
        </w:tc>
      </w:tr>
      <w:tr>
        <w:trPr>
          <w:trHeight w:val="170"/>
        </w:trPr>
        <w:tc>
          <w:tcPr>
            <w:tcW w:w="42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Less: imputed interest</w:t>
            </w:r>
          </w:p>
        </w:tc>
        <w:tc>
          <w:tcPr>
            <w:tcW w:w="5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(1,214)</w:t>
            </w:r>
          </w:p>
        </w:tc>
      </w:tr>
      <w:tr>
        <w:trPr>
          <w:trHeight w:val="16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Present value of future minimum payments</w:t>
            </w:r>
          </w:p>
        </w:tc>
        <w:tc>
          <w:tcPr>
            <w:tcW w:w="54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7,968</w:t>
            </w:r>
          </w:p>
        </w:tc>
      </w:tr>
      <w:tr>
        <w:trPr>
          <w:trHeight w:val="170"/>
        </w:trPr>
        <w:tc>
          <w:tcPr>
            <w:tcW w:w="4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5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(2,530)</w:t>
            </w:r>
          </w:p>
        </w:tc>
      </w:tr>
      <w:tr>
        <w:trPr>
          <w:trHeight w:val="160"/>
        </w:trPr>
        <w:tc>
          <w:tcPr>
            <w:tcW w:w="42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tc>
        <w:tc>
          <w:tcPr>
            <w:tcW w:w="54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5,438</w:t>
            </w:r>
          </w:p>
        </w:tc>
      </w:tr>
      <w:tr>
        <w:trPr>
          <w:trHeight w:val="20"/>
        </w:trPr>
        <w:tc>
          <w:tcPr>
            <w:tcW w:w="42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4260" w:type="dxa"/>
            <w:vAlign w:val="bottom"/>
          </w:tcPr>
          <w:p>
            <w:pPr>
              <w:spacing w:after="0"/>
              <w:rPr>
                <w:sz w:val="24"/>
                <w:szCs w:val="24"/>
                <w:color w:val="auto"/>
              </w:rPr>
            </w:pPr>
          </w:p>
        </w:tc>
        <w:tc>
          <w:tcPr>
            <w:tcW w:w="6040" w:type="dxa"/>
            <w:vAlign w:val="bottom"/>
            <w:gridSpan w:val="2"/>
          </w:tcPr>
          <w:p>
            <w:pPr>
              <w:jc w:val="right"/>
              <w:ind w:right="4444"/>
              <w:spacing w:after="0"/>
              <w:rPr>
                <w:sz w:val="20"/>
                <w:szCs w:val="20"/>
                <w:color w:val="auto"/>
              </w:rPr>
            </w:pPr>
            <w:r>
              <w:rPr>
                <w:rFonts w:ascii="Times New Roman" w:cs="Times New Roman" w:eastAsia="Times New Roman" w:hAnsi="Times New Roman"/>
                <w:sz w:val="14"/>
                <w:szCs w:val="14"/>
                <w:color w:val="auto"/>
              </w:rPr>
              <w:t>F- 19</w:t>
            </w:r>
          </w:p>
        </w:tc>
        <w:tc>
          <w:tcPr>
            <w:tcW w:w="980" w:type="dxa"/>
            <w:vAlign w:val="bottom"/>
          </w:tcPr>
          <w:p>
            <w:pPr>
              <w:spacing w:after="0"/>
              <w:rPr>
                <w:sz w:val="24"/>
                <w:szCs w:val="24"/>
                <w:color w:val="auto"/>
              </w:rPr>
            </w:pPr>
          </w:p>
        </w:tc>
      </w:tr>
      <w:tr>
        <w:trPr>
          <w:trHeight w:val="86"/>
        </w:trPr>
        <w:tc>
          <w:tcPr>
            <w:tcW w:w="4260" w:type="dxa"/>
            <w:vAlign w:val="bottom"/>
            <w:tcBorders>
              <w:bottom w:val="single" w:sz="8" w:color="auto"/>
            </w:tcBorders>
          </w:tcPr>
          <w:p>
            <w:pPr>
              <w:spacing w:after="0"/>
              <w:rPr>
                <w:sz w:val="7"/>
                <w:szCs w:val="7"/>
                <w:color w:val="auto"/>
              </w:rPr>
            </w:pPr>
          </w:p>
        </w:tc>
        <w:tc>
          <w:tcPr>
            <w:tcW w:w="54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4"/>
          <w:szCs w:val="14"/>
          <w:color w:val="auto"/>
        </w:rPr>
        <w:t>The Company is also required to pay for operating expenses related to the leased space, including common area maintenance, taxes and insurance. The operating expenses are incurred separately and were not included in the present value of lease payments. Operating lease expenses for the three months ended March 31, 2026 and 2025 are summarized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60"/>
        </w:trPr>
        <w:tc>
          <w:tcPr>
            <w:tcW w:w="600" w:type="dxa"/>
            <w:vAlign w:val="bottom"/>
            <w:tcBorders>
              <w:bottom w:val="single" w:sz="8" w:color="CCEEFF"/>
            </w:tcBorders>
          </w:tcPr>
          <w:p>
            <w:pPr>
              <w:spacing w:after="0"/>
              <w:rPr>
                <w:sz w:val="13"/>
                <w:szCs w:val="13"/>
                <w:color w:val="auto"/>
              </w:rPr>
            </w:pPr>
          </w:p>
        </w:tc>
        <w:tc>
          <w:tcPr>
            <w:tcW w:w="742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r>
      <w:tr>
        <w:trPr>
          <w:trHeight w:val="140"/>
        </w:trPr>
        <w:tc>
          <w:tcPr>
            <w:tcW w:w="6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w w:val="98"/>
              </w:rPr>
              <w:t>Lease cost</w:t>
            </w:r>
          </w:p>
        </w:tc>
        <w:tc>
          <w:tcPr>
            <w:tcW w:w="74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r>
      <w:tr>
        <w:trPr>
          <w:trHeight w:val="170"/>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020" w:type="dxa"/>
            <w:vAlign w:val="bottom"/>
          </w:tcPr>
          <w:p>
            <w:pPr>
              <w:jc w:val="right"/>
              <w:ind w:right="89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998</w:t>
            </w:r>
          </w:p>
        </w:tc>
        <w:tc>
          <w:tcPr>
            <w:tcW w:w="120" w:type="dxa"/>
            <w:vAlign w:val="bottom"/>
          </w:tcPr>
          <w:p>
            <w:pPr>
              <w:spacing w:after="0"/>
              <w:rPr>
                <w:sz w:val="14"/>
                <w:szCs w:val="14"/>
                <w:color w:val="auto"/>
              </w:rPr>
            </w:pPr>
          </w:p>
        </w:tc>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1,553</w:t>
            </w: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r>
      <w:tr>
        <w:trPr>
          <w:trHeight w:val="170"/>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102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365</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280</w:t>
            </w: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10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0"/>
        </w:trPr>
        <w:tc>
          <w:tcPr>
            <w:tcW w:w="8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 lease cost</w:t>
            </w:r>
          </w:p>
        </w:tc>
        <w:tc>
          <w:tcPr>
            <w:tcW w:w="102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1,375</w:t>
            </w:r>
          </w:p>
        </w:tc>
        <w:tc>
          <w:tcPr>
            <w:tcW w:w="120" w:type="dxa"/>
            <w:vAlign w:val="bottom"/>
          </w:tcPr>
          <w:p>
            <w:pPr>
              <w:spacing w:after="0"/>
              <w:rPr>
                <w:sz w:val="13"/>
                <w:szCs w:val="13"/>
                <w:color w:val="auto"/>
              </w:rPr>
            </w:pPr>
          </w:p>
        </w:tc>
        <w:tc>
          <w:tcPr>
            <w:tcW w:w="100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1,824</w:t>
            </w:r>
          </w:p>
        </w:tc>
      </w:tr>
      <w:tr>
        <w:trPr>
          <w:trHeight w:val="20"/>
        </w:trPr>
        <w:tc>
          <w:tcPr>
            <w:tcW w:w="60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Commitments and Contingencies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Purchase Commitments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March 31, 2026, the Company had approximately $19.3 million of non-cancelable purchase commitments, principally for clinical services which are expected to be paid within the next</w:t>
      </w:r>
    </w:p>
    <w:p>
      <w:pPr>
        <w:spacing w:after="0" w:line="2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4"/>
          <w:szCs w:val="14"/>
          <w:color w:val="auto"/>
        </w:rPr>
        <w:t>year. Approximately $18.2 million of non-cancelable purchase commitments are attributable to a third-party vendor that provides clinical services, that is reimbursable at approximately $19.6 million under a cost-plus-fixed-fees arrangement in the ATI-RRPV Contract.</w:t>
      </w:r>
    </w:p>
    <w:p>
      <w:pPr>
        <w:spacing w:after="0" w:line="13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Indemnifications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The Company currently has directors’ and officers’ insurance.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Litigation</w:t>
      </w:r>
    </w:p>
    <w:p>
      <w:pPr>
        <w:spacing w:after="0" w:line="180"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From time to time the Company may 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not material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August and September 2020, two substantially similar securities class actions were filed in the U.S. District Court for the Northern District of California. The first action, titled </w:t>
      </w:r>
      <w:r>
        <w:rPr>
          <w:rFonts w:ascii="Times New Roman" w:cs="Times New Roman" w:eastAsia="Times New Roman" w:hAnsi="Times New Roman"/>
          <w:sz w:val="14"/>
          <w:szCs w:val="14"/>
          <w:i w:val="1"/>
          <w:iCs w:val="1"/>
          <w:u w:val="single" w:color="auto"/>
          <w:color w:val="auto"/>
        </w:rPr>
        <w:t>Himmelberg 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Vaxart, Inc. et 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filed on August 24, 2020. The second action, titled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Hovhannisyan v. Vaxart, Inc. et 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filed on September 1, 2020 (together, the “Putative Class Action”). By Order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17, 2020, the two actions were deemed related. On December 9, 2020, the court appointed lead plaintiffs and lead plaintiffs’ counsel.</w:t>
      </w:r>
    </w:p>
    <w:p>
      <w:pPr>
        <w:spacing w:after="0" w:line="16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On January 29, 2021, lead plaintiffs filed their consolidated amended complaint. On May 14, 2021, the court granted lead plaintiffs’ request to amend the consolidated amended complaint and denied defendants’ motions to dismiss as moot. On June 10, 2021, lead plaintiffs filed a first amended consolidated complaint, and on August 9, 2021, lead plaintiffs filed a corrected first amended consolidated complaint. The first amended consolidated complaint, as corrected, named certain of Vaxart’s current and former executive officers and directors, as well as Armistice Capital, LLC (“Armistice”), as defendants. It claimed three violations of federal civil securities laws; violation of Section 10(b) of the Exchange Act and SEC Rule 10b-5, as against the Company and all individual defendants; violation of Section 20(a) of the Exchange Act, as against Armistice and all individual defendants; and violation of Section 20A of the Exchange Act against Armistice. The first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first amended consolidated complaint sought certification as a class action for similarly situated shareholders and sought, among other things, an unspecified amount of damages and attorneys’ fees and costs. On July 8, 2021, all defendants moved to dismiss the first amended consolidated complaint. By Order dated December 22, 2021, the court granted the motion to dismiss by Armistice with leave to amend and otherwise denied the motions to dismiss. On July 27, 2022, 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$2.0 million to be paid by the Company and the remainder to be paid by the Company’s insurers. On November 2, 2022, the Company paid the $2.0 million settlement amount with respect to the Putative Class Action pursuant to the terms of the settlement agreement reached in that case. On November 14, 2022, lead plaintiffs filed a second amended consolidated class action complaint that purported to include new allegations to support claims against Armistice. By Orders dated January 25, 2023, the court approved the Partial Settlement and entered judgment dismissing with prejudice all claims asserted in the Putative Class Action against the Settling Defendants. A jury trial on the claims asserted against Armistice commenced on April 14, 2026 and concluded on April 28, 2026 with a verdict entered in favor of Armistice and concluding that Armistice had not engaged in either a scheme to inflate the price of Vaxart’s stock or insider trading in connection with its sales of Vaxart’s stock in June 2020; post-verdict proceedings before the District Court are ongoing and the time for lead plaintiffs to lodge an appeal has not yet expired.</w:t>
      </w:r>
    </w:p>
    <w:p>
      <w:pPr>
        <w:spacing w:after="0" w:line="15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On October 23, 2020, a complaint was filed in the U.S. District Court for the Southern District of New York, entitled </w:t>
      </w:r>
      <w:r>
        <w:rPr>
          <w:rFonts w:ascii="Times New Roman" w:cs="Times New Roman" w:eastAsia="Times New Roman" w:hAnsi="Times New Roman"/>
          <w:sz w:val="14"/>
          <w:szCs w:val="14"/>
          <w:i w:val="1"/>
          <w:iCs w:val="1"/>
          <w:u w:val="single" w:color="auto"/>
          <w:color w:val="auto"/>
        </w:rPr>
        <w:t>Roth v. Armistice Capital LLC, et al.</w:t>
      </w:r>
      <w:r>
        <w:rPr>
          <w:rFonts w:ascii="Times New Roman" w:cs="Times New Roman" w:eastAsia="Times New Roman" w:hAnsi="Times New Roman"/>
          <w:sz w:val="14"/>
          <w:szCs w:val="14"/>
          <w:color w:val="auto"/>
        </w:rPr>
        <w:t xml:space="preserve"> The complaint names Armistice and certain Armistice-related parties as defendants, asserting a violation of Exchange Act Section 16(b) and seeking the disgorgement of short-swing profits. The complaint purports to bring the lawsuit on behalf of and for the benefit of the Company and names the Company as a “nominal defendant” for whose benefit damages are sought. Following discovery, a motion for summary judgment was filed by Armistice and the Armistice-related party defendants to dismiss the complaint. On March 27, 2024, the court granted the motion for summary judgment and dismissed all claims in the complaint in their entirety. On April 11, 2024, the Plaintiff timely filed a notice of appeal of the court’s decision to the Second Circuit Court of Appeals, commencing appellate proceedings. In June 2024, Plaintiff filed a motion to the court of appeals to stay the appeal pending efforts to re-instate the complaint in the district court, which was granted by the court of appeals. In July 2024, Plaintiff filed a motion with the district court seeking to set aside the judgment and to re-instate the complaint. On August 15, 2024, the district court denied Plaintiff’s motion to set aside the judgment. On August 19, 2024, the court of appeals lifted the stay and, on August 28, 2025, the court of appeals entered a judgment affirming the judgment of the district court. The time for Plaintiffs to file any appeal of that decision has since lapsed.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 xml:space="preserve">On January 8, 2021, a purported shareholder, Phillip Chan, commenced a </w:t>
      </w:r>
      <w:r>
        <w:rPr>
          <w:rFonts w:ascii="Times New Roman" w:cs="Times New Roman" w:eastAsia="Times New Roman" w:hAnsi="Times New Roman"/>
          <w:sz w:val="14"/>
          <w:szCs w:val="14"/>
          <w:i w:val="1"/>
          <w:iCs w:val="1"/>
          <w:color w:val="auto"/>
        </w:rPr>
        <w:t>pro se</w:t>
      </w:r>
      <w:r>
        <w:rPr>
          <w:rFonts w:ascii="Times New Roman" w:cs="Times New Roman" w:eastAsia="Times New Roman" w:hAnsi="Times New Roman"/>
          <w:sz w:val="14"/>
          <w:szCs w:val="14"/>
          <w:color w:val="auto"/>
        </w:rPr>
        <w:t xml:space="preserve"> lawsuit in the U.S. District Court for the Northern District of California titled </w:t>
      </w:r>
      <w:r>
        <w:rPr>
          <w:rFonts w:ascii="Times New Roman" w:cs="Times New Roman" w:eastAsia="Times New Roman" w:hAnsi="Times New Roman"/>
          <w:sz w:val="14"/>
          <w:szCs w:val="14"/>
          <w:i w:val="1"/>
          <w:iCs w:val="1"/>
          <w:u w:val="single" w:color="auto"/>
          <w:color w:val="auto"/>
        </w:rPr>
        <w:t>Chan v. Vaxart, Inc. et al.</w:t>
      </w:r>
      <w:r>
        <w:rPr>
          <w:rFonts w:ascii="Times New Roman" w:cs="Times New Roman" w:eastAsia="Times New Roman" w:hAnsi="Times New Roman"/>
          <w:sz w:val="14"/>
          <w:szCs w:val="14"/>
          <w:color w:val="auto"/>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spacing w:after="0" w:line="3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NOTE 9. Stockholders’ Equity</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 Preferred Stock</w:t>
      </w:r>
    </w:p>
    <w:p>
      <w:pPr>
        <w:spacing w:after="0" w:line="1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The Company is authorized to issue 5,000,000 shares of preferred stock, $0.0001 par value per share. The Company’s board of directors may, without further action by the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the Company's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no present plan to issue any shares of preferred stock.</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 Common Stock</w:t>
      </w:r>
    </w:p>
    <w:p>
      <w:pPr>
        <w:spacing w:after="0" w:line="18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As of March 31, 2026, the Company was authorized to issue 350,000,000 shares of common stock, $0.0001 par value per share.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Holders of common stock are entitled to receive such dividends, if any, as may be declared from time to time by the Company’s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As of March 31, 2026, no dividends had been declared by the board of directors.</w:t>
      </w:r>
    </w:p>
    <w:p>
      <w:pPr>
        <w:spacing w:after="0" w:line="1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March 2025, the Company entered into the March 2025 ATM with Citizens and B. Riley, pursuant to which the Company may offer and sell, from time to time through the Managers, shares of its common stock having an aggregate offering price of up to $50 million. The shares will be sold pursuant to the 2026 Shelf Registration Statement. The Company filed a prospectus supplement, dated March 21, 2025, with the SEC in connection with the offer and sale of the shares under the March 2025 ATM. The Company will pay the Managers a placement fee of up to 3% of the gross sale price from each sale of the shares under the March 2025 ATM. No shares have been issued or sold under the March 2025 ATM since the Company was suspended from trading on The Nasdaq Capital Market in July 2025.</w:t>
      </w:r>
    </w:p>
    <w:p>
      <w:pPr>
        <w:spacing w:after="0" w:line="14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color w:val="auto"/>
        </w:rPr>
        <w:t>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no sinking fund provisions applicable to the common stock.</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Company had shares of common stock reserved for issuance as follows:</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9"/>
        </w:trPr>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6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24"/>
                <w:szCs w:val="24"/>
                <w:color w:val="auto"/>
              </w:rPr>
            </w:pPr>
          </w:p>
        </w:tc>
        <w:tc>
          <w:tcPr>
            <w:tcW w:w="1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60"/>
        </w:trPr>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issued and outstanding</w:t>
            </w: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27,767,619</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25,407,299</w:t>
            </w:r>
          </w:p>
        </w:tc>
      </w:tr>
      <w:tr>
        <w:trPr>
          <w:trHeight w:val="170"/>
        </w:trPr>
        <w:tc>
          <w:tcPr>
            <w:tcW w:w="1120" w:type="dxa"/>
            <w:vAlign w:val="bottom"/>
          </w:tcPr>
          <w:p>
            <w:pPr>
              <w:spacing w:after="0"/>
              <w:rPr>
                <w:sz w:val="14"/>
                <w:szCs w:val="14"/>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issued and outstanding</w:t>
            </w: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6,691,605</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5,733,306</w:t>
            </w:r>
          </w:p>
        </w:tc>
      </w:tr>
      <w:tr>
        <w:trPr>
          <w:trHeight w:val="170"/>
        </w:trPr>
        <w:tc>
          <w:tcPr>
            <w:tcW w:w="1120" w:type="dxa"/>
            <w:vAlign w:val="bottom"/>
          </w:tcPr>
          <w:p>
            <w:pPr>
              <w:spacing w:after="0"/>
              <w:rPr>
                <w:sz w:val="14"/>
                <w:szCs w:val="14"/>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2019</w:t>
            </w:r>
          </w:p>
        </w:tc>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 common stock available for future issuance</w:t>
            </w: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6,043,856</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10,831,860</w:t>
            </w:r>
          </w:p>
        </w:tc>
      </w:tr>
      <w:tr>
        <w:trPr>
          <w:trHeight w:val="170"/>
        </w:trPr>
        <w:tc>
          <w:tcPr>
            <w:tcW w:w="1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Inducement Award Plan common stock available for future issuance</w:t>
            </w: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76,250</w:t>
            </w:r>
          </w:p>
        </w:tc>
        <w:tc>
          <w:tcPr>
            <w:tcW w:w="16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43,250</w:t>
            </w:r>
          </w:p>
        </w:tc>
      </w:tr>
      <w:tr>
        <w:trPr>
          <w:trHeight w:val="201"/>
        </w:trPr>
        <w:tc>
          <w:tcPr>
            <w:tcW w:w="1120" w:type="dxa"/>
            <w:vAlign w:val="bottom"/>
          </w:tcPr>
          <w:p>
            <w:pPr>
              <w:spacing w:after="0"/>
              <w:rPr>
                <w:sz w:val="17"/>
                <w:szCs w:val="17"/>
                <w:color w:val="auto"/>
              </w:rPr>
            </w:pPr>
          </w:p>
        </w:tc>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 issued and outstanding</w:t>
            </w: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10,914</w:t>
            </w:r>
          </w:p>
        </w:tc>
        <w:tc>
          <w:tcPr>
            <w:tcW w:w="16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10,914</w:t>
            </w:r>
          </w:p>
        </w:tc>
      </w:tr>
      <w:tr>
        <w:trPr>
          <w:trHeight w:val="170"/>
        </w:trPr>
        <w:tc>
          <w:tcPr>
            <w:tcW w:w="1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 common stock available for future issuance</w:t>
            </w:r>
          </w:p>
        </w:tc>
        <w:tc>
          <w:tcPr>
            <w:tcW w:w="16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1,823,454</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1,823,454</w:t>
            </w:r>
          </w:p>
        </w:tc>
      </w:tr>
      <w:tr>
        <w:trPr>
          <w:trHeight w:val="200"/>
        </w:trPr>
        <w:tc>
          <w:tcPr>
            <w:tcW w:w="1120" w:type="dxa"/>
            <w:vAlign w:val="bottom"/>
          </w:tcPr>
          <w:p>
            <w:pPr>
              <w:spacing w:after="0"/>
              <w:rPr>
                <w:sz w:val="17"/>
                <w:szCs w:val="17"/>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common stock reserved</w:t>
            </w:r>
          </w:p>
        </w:tc>
        <w:tc>
          <w:tcPr>
            <w:tcW w:w="162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42,413,698</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43,850,083</w:t>
            </w:r>
          </w:p>
        </w:tc>
      </w:tr>
    </w:tbl>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  Warrants</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The following warrants were outstanding as of March 31, 2026, all of which contain standard anti-dilution protections in the event of subsequent rights offerings, stock splits, stock dividends or other extraordinary dividends, or other similar changes in the Company’s common stock or capital structure, and none of which have any participating rights for any losses: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86"/>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into which warrants are convertible</w:t>
            </w: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Warrants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60"/>
        </w:trPr>
        <w:tc>
          <w:tcPr>
            <w:tcW w:w="434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10,914</w:t>
            </w:r>
          </w:p>
        </w:tc>
        <w:tc>
          <w:tcPr>
            <w:tcW w:w="1200" w:type="dxa"/>
            <w:vAlign w:val="bottom"/>
            <w:shd w:val="clear" w:color="auto" w:fill="CCEEFF"/>
          </w:tcPr>
          <w:p>
            <w:pPr>
              <w:jc w:val="right"/>
              <w:ind w:right="104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22.99 December 2026</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Equity Incentive Plans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has maintained the 2019 Equity Incentive Plan and the 2024 Inducement Award Plan for the issuance of stock options, stock appreciation rights, restricted stock awards, restricted stock units (“RSUs”), other stock awards and performance awards that may be settled in cash, stock, or other property to employees, directors and consultants. The terms of the 2024 Inducement Award Plan are substantially similar to the terms of the 2019 Equity Incentive Plan, with the exception that incentive stock options may not be issued under the 2024 Inducement Plan and equity awards under the 2024 Inducement Plan (including nonqualified stock options, restricted stock, restricted stock units, and other stock-based awards) may 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 The Company also maintains the 2022 Employee Stock Purchase Plan (“ESPP”) for its employees.</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stock option and RSU transactions during the three months ended March 31, 2026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0"/>
        </w:trPr>
        <w:tc>
          <w:tcPr>
            <w:tcW w:w="4640" w:type="dxa"/>
            <w:vAlign w:val="bottom"/>
          </w:tcPr>
          <w:p>
            <w:pPr>
              <w:spacing w:after="0"/>
              <w:rPr>
                <w:sz w:val="14"/>
                <w:szCs w:val="14"/>
                <w:color w:val="auto"/>
              </w:rPr>
            </w:pPr>
          </w:p>
        </w:tc>
        <w:tc>
          <w:tcPr>
            <w:tcW w:w="12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4"/>
                <w:szCs w:val="14"/>
                <w:color w:val="auto"/>
              </w:rPr>
            </w:pPr>
          </w:p>
        </w:tc>
        <w:tc>
          <w:tcPr>
            <w:tcW w:w="12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 Average</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RSU Average</w:t>
            </w:r>
          </w:p>
        </w:tc>
      </w:tr>
      <w:tr>
        <w:trPr>
          <w:trHeight w:val="180"/>
        </w:trPr>
        <w:tc>
          <w:tcPr>
            <w:tcW w:w="4640" w:type="dxa"/>
            <w:vAlign w:val="bottom"/>
          </w:tcPr>
          <w:p>
            <w:pPr>
              <w:spacing w:after="0"/>
              <w:rPr>
                <w:sz w:val="15"/>
                <w:szCs w:val="15"/>
                <w:color w:val="auto"/>
              </w:rPr>
            </w:pPr>
          </w:p>
        </w:tc>
        <w:tc>
          <w:tcPr>
            <w:tcW w:w="124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20" w:type="dxa"/>
            <w:vAlign w:val="bottom"/>
          </w:tcPr>
          <w:p>
            <w:pPr>
              <w:spacing w:after="0"/>
              <w:rPr>
                <w:sz w:val="15"/>
                <w:szCs w:val="15"/>
                <w:color w:val="auto"/>
              </w:rPr>
            </w:pPr>
          </w:p>
        </w:tc>
        <w:tc>
          <w:tcPr>
            <w:tcW w:w="12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RSU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86"/>
        </w:trPr>
        <w:tc>
          <w:tcPr>
            <w:tcW w:w="4640" w:type="dxa"/>
            <w:vAlign w:val="bottom"/>
          </w:tcPr>
          <w:p>
            <w:pPr>
              <w:spacing w:after="0"/>
              <w:rPr>
                <w:sz w:val="16"/>
                <w:szCs w:val="16"/>
                <w:color w:val="auto"/>
              </w:rPr>
            </w:pPr>
          </w:p>
        </w:tc>
        <w:tc>
          <w:tcPr>
            <w:tcW w:w="12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20" w:type="dxa"/>
            <w:vAlign w:val="bottom"/>
          </w:tcPr>
          <w:p>
            <w:pPr>
              <w:spacing w:after="0"/>
              <w:rPr>
                <w:sz w:val="16"/>
                <w:szCs w:val="16"/>
                <w:color w:val="auto"/>
              </w:rPr>
            </w:pPr>
          </w:p>
        </w:tc>
        <w:tc>
          <w:tcPr>
            <w:tcW w:w="12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2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60"/>
        </w:trPr>
        <w:tc>
          <w:tcPr>
            <w:tcW w:w="464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as of January 1, 2026</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10,875,110</w:t>
            </w:r>
          </w:p>
        </w:tc>
        <w:tc>
          <w:tcPr>
            <w:tcW w:w="138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25,407,299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1.96</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5,733,306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0.70</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(7,990,020)</w:t>
            </w:r>
          </w:p>
        </w:tc>
        <w:tc>
          <w:tcPr>
            <w:tcW w:w="13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5,280,640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0.68</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2,709,380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0.68</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Released</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(1,426,449)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0.77</w:t>
            </w: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743,521</w:t>
            </w:r>
          </w:p>
        </w:tc>
        <w:tc>
          <w:tcPr>
            <w:tcW w:w="138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(418,889)</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0.88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(324,632)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0.93</w:t>
            </w: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Canceled</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2,491,495</w:t>
            </w:r>
          </w:p>
        </w:tc>
        <w:tc>
          <w:tcPr>
            <w:tcW w:w="138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(2,501,431)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3.19</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4640" w:type="dxa"/>
            <w:vAlign w:val="bottom"/>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6,120,106</w:t>
            </w:r>
          </w:p>
        </w:tc>
        <w:tc>
          <w:tcPr>
            <w:tcW w:w="138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27,767,619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1.62</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6,691,605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0.67</w:t>
            </w:r>
          </w:p>
        </w:tc>
      </w:tr>
      <w:tr>
        <w:trPr>
          <w:trHeight w:val="20"/>
        </w:trPr>
        <w:tc>
          <w:tcPr>
            <w:tcW w:w="46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4"/>
          <w:szCs w:val="14"/>
          <w:color w:val="auto"/>
        </w:rPr>
        <w:t>As of March 31, 2026, there were 27,767,619 options outstanding with a weighted average exercise price of $1.62, a weighted average remaining term of 7.40 years, and an aggregate intrinsic value of $667,000. Of these options, 13,614,279 were vested, with a weighted average exercise price of $2.59, a weighted average remaining term of 6.04 years, and an aggregate intrinsic value of $161,000.</w:t>
      </w:r>
    </w:p>
    <w:p>
      <w:pPr>
        <w:spacing w:after="0" w:line="137"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No options were exercised during the three months ended March 31, 2026. The Company received $3,000 for the 3,625 options exercised during the three months ended March 31, 2025, which had an intrinsic value of $0. The aggregate intrinsic value represents the total pre-tax value (i.e., the difference between the Company’s stock price and the exercise price) of stock options outstanding as of March 31, 2026 and 2025, respectively, based on the Company’s common stock closing price of $0.61 on March 31, 2026 and $0.85 on March 31, 2025, which would have been received by the option holders had all their in-the-money options been exercised as of that date.</w:t>
      </w:r>
    </w:p>
    <w:p>
      <w:pPr>
        <w:spacing w:after="0" w:line="14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4"/>
          <w:szCs w:val="14"/>
          <w:color w:val="auto"/>
        </w:rPr>
        <w:t>The weighted average grant date fair value of options awarded in the three months ended March 31, 2026 and 2025, was $0.59 and $0.46, respectively. Their fair values were estimated using the following assumptions:</w:t>
      </w:r>
    </w:p>
    <w:p>
      <w:pPr>
        <w:spacing w:after="0" w:line="134"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00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2"/>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0"/>
        </w:trPr>
        <w:tc>
          <w:tcPr>
            <w:tcW w:w="80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r>
      <w:tr>
        <w:trPr>
          <w:trHeight w:val="21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0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4"/>
                <w:szCs w:val="14"/>
                <w:color w:val="auto"/>
              </w:rPr>
              <w:t>4.1% - 4.4%</w:t>
            </w:r>
          </w:p>
        </w:tc>
      </w:tr>
      <w:tr>
        <w:trPr>
          <w:trHeight w:val="173"/>
        </w:trPr>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Expected term (in years)</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4"/>
                <w:szCs w:val="14"/>
                <w:color w:val="auto"/>
              </w:rPr>
              <w:t>6.0</w:t>
            </w:r>
          </w:p>
        </w:tc>
        <w:tc>
          <w:tcPr>
            <w:tcW w:w="1680" w:type="dxa"/>
            <w:vAlign w:val="bottom"/>
            <w:gridSpan w:val="2"/>
          </w:tcPr>
          <w:p>
            <w:pPr>
              <w:jc w:val="right"/>
              <w:ind w:right="54"/>
              <w:spacing w:after="0"/>
              <w:rPr>
                <w:sz w:val="20"/>
                <w:szCs w:val="20"/>
                <w:color w:val="auto"/>
              </w:rPr>
            </w:pPr>
            <w:r>
              <w:rPr>
                <w:rFonts w:ascii="Times New Roman" w:cs="Times New Roman" w:eastAsia="Times New Roman" w:hAnsi="Times New Roman"/>
                <w:sz w:val="14"/>
                <w:szCs w:val="14"/>
                <w:color w:val="auto"/>
              </w:rPr>
              <w:t>6.0</w:t>
            </w:r>
          </w:p>
        </w:tc>
      </w:tr>
      <w:tr>
        <w:trPr>
          <w:trHeight w:val="20"/>
        </w:trPr>
        <w:tc>
          <w:tcPr>
            <w:tcW w:w="8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Expected volatility</w:t>
            </w:r>
          </w:p>
        </w:tc>
        <w:tc>
          <w:tcPr>
            <w:tcW w:w="10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118.4%</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126.5%</w:t>
            </w:r>
          </w:p>
        </w:tc>
      </w:tr>
      <w:tr>
        <w:trPr>
          <w:trHeight w:val="173"/>
        </w:trPr>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58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c>
          <w:tcPr>
            <w:tcW w:w="100" w:type="dxa"/>
            <w:vAlign w:val="bottom"/>
          </w:tcPr>
          <w:p>
            <w:pPr>
              <w:spacing w:after="0"/>
              <w:rPr>
                <w:sz w:val="15"/>
                <w:szCs w:val="15"/>
                <w:color w:val="auto"/>
              </w:rPr>
            </w:pPr>
          </w:p>
        </w:tc>
        <w:tc>
          <w:tcPr>
            <w:tcW w:w="1580" w:type="dxa"/>
            <w:vAlign w:val="bottom"/>
          </w:tcPr>
          <w:p>
            <w:pPr>
              <w:jc w:val="right"/>
              <w:spacing w:after="0" w:line="173"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11"/>
                <w:szCs w:val="11"/>
                <w:color w:val="auto"/>
              </w:rPr>
              <w:t>%</w:t>
            </w:r>
          </w:p>
        </w:tc>
      </w:tr>
      <w:tr>
        <w:trPr>
          <w:trHeight w:val="20"/>
        </w:trPr>
        <w:tc>
          <w:tcPr>
            <w:tcW w:w="80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r>
      <w:tr>
        <w:trPr>
          <w:trHeight w:val="161"/>
        </w:trPr>
        <w:tc>
          <w:tcPr>
            <w:tcW w:w="1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80" w:type="dxa"/>
            <w:vAlign w:val="bottom"/>
            <w:gridSpan w:val="2"/>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1,702</w:t>
            </w:r>
          </w:p>
        </w:tc>
        <w:tc>
          <w:tcPr>
            <w:tcW w:w="11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757</w:t>
            </w:r>
          </w:p>
        </w:tc>
        <w:tc>
          <w:tcPr>
            <w:tcW w:w="1140" w:type="dxa"/>
            <w:vAlign w:val="bottom"/>
          </w:tcPr>
          <w:p>
            <w:pPr>
              <w:spacing w:after="0"/>
              <w:rPr>
                <w:sz w:val="14"/>
                <w:szCs w:val="14"/>
                <w:color w:val="auto"/>
              </w:rPr>
            </w:pPr>
          </w:p>
        </w:tc>
      </w:tr>
      <w:tr>
        <w:trPr>
          <w:trHeight w:val="160"/>
        </w:trPr>
        <w:tc>
          <w:tcPr>
            <w:tcW w:w="1120" w:type="dxa"/>
            <w:vAlign w:val="bottom"/>
          </w:tcPr>
          <w:p>
            <w:pPr>
              <w:spacing w:after="0"/>
              <w:rPr>
                <w:sz w:val="13"/>
                <w:szCs w:val="13"/>
                <w:color w:val="auto"/>
              </w:rPr>
            </w:pPr>
          </w:p>
        </w:tc>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26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2,459</w:t>
            </w:r>
          </w:p>
        </w:tc>
        <w:tc>
          <w:tcPr>
            <w:tcW w:w="114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80" w:type="dxa"/>
            <w:vAlign w:val="bottom"/>
            <w:gridSpan w:val="2"/>
          </w:tcPr>
          <w:p>
            <w:pPr>
              <w:jc w:val="right"/>
              <w:ind w:right="2029"/>
              <w:spacing w:after="0"/>
              <w:rPr>
                <w:sz w:val="20"/>
                <w:szCs w:val="20"/>
                <w:color w:val="auto"/>
              </w:rPr>
            </w:pPr>
            <w:r>
              <w:rPr>
                <w:rFonts w:ascii="Times New Roman" w:cs="Times New Roman" w:eastAsia="Times New Roman" w:hAnsi="Times New Roman"/>
                <w:sz w:val="14"/>
                <w:szCs w:val="14"/>
                <w:color w:val="auto"/>
              </w:rPr>
              <w:t>F- 24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31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16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4"/>
          <w:szCs w:val="14"/>
          <w:color w:val="auto"/>
        </w:rPr>
        <w:t>As of March 31, 2026, the unrecognized stock-based compensation cost related to outstanding unvested stock options and RSUs expected to vest was $12.1 million, which the Company expects to recognize over an estimated weighted average period of 3.0 years.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Net Income (Loss) Per Share Attributable to Common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income (loss) per share (in thousands, except share and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0"/>
        </w:trPr>
        <w:tc>
          <w:tcPr>
            <w:tcW w:w="80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0"/>
        </w:trPr>
        <w:tc>
          <w:tcPr>
            <w:tcW w:w="8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5,179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(15,591)</w:t>
            </w:r>
          </w:p>
        </w:tc>
        <w:tc>
          <w:tcPr>
            <w:tcW w:w="0" w:type="dxa"/>
            <w:vAlign w:val="bottom"/>
          </w:tcPr>
          <w:p>
            <w:pPr>
              <w:spacing w:after="0"/>
              <w:rPr>
                <w:sz w:val="1"/>
                <w:szCs w:val="1"/>
                <w:color w:val="auto"/>
              </w:rPr>
            </w:pPr>
          </w:p>
        </w:tc>
      </w:tr>
      <w:tr>
        <w:trPr>
          <w:trHeight w:val="141"/>
        </w:trPr>
        <w:tc>
          <w:tcPr>
            <w:tcW w:w="8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used to compute net income (loss) per share, basic</w:t>
            </w: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240,649,773</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227,923,636</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Effect of dilutive shares:</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1,534,751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Weighted average shares used to compute net income (loss) per share, diluted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242,184,524</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227,923,636</w:t>
            </w:r>
          </w:p>
        </w:tc>
        <w:tc>
          <w:tcPr>
            <w:tcW w:w="0" w:type="dxa"/>
            <w:vAlign w:val="bottom"/>
          </w:tcPr>
          <w:p>
            <w:pPr>
              <w:spacing w:after="0"/>
              <w:rPr>
                <w:sz w:val="1"/>
                <w:szCs w:val="1"/>
                <w:color w:val="auto"/>
              </w:rPr>
            </w:pPr>
          </w:p>
        </w:tc>
      </w:tr>
      <w:tr>
        <w:trPr>
          <w:trHeight w:val="141"/>
        </w:trPr>
        <w:tc>
          <w:tcPr>
            <w:tcW w:w="80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r>
        <w:trPr>
          <w:trHeight w:val="184"/>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For the three months ended March 31, 2026, 1,534,751 dilutive shares were included in the diluted weighted average share count. For the three months ended March 31, 2025, all potentially dilutive securities were excluded from the diluted EPS computation because their effect would have been antidilutive given the net loss in that period. The following table summarizes the potentially dilutive securities excluded from the computation: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3"/>
                <w:szCs w:val="13"/>
                <w:color w:val="auto"/>
              </w:rPr>
            </w:pPr>
          </w:p>
        </w:tc>
        <w:tc>
          <w:tcPr>
            <w:tcW w:w="16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23,924,411</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20,991,136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 to purchase common stock</w:t>
            </w:r>
          </w:p>
        </w:tc>
        <w:tc>
          <w:tcPr>
            <w:tcW w:w="1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1,496,485</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3,096,583</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10,914</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10,914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456,056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7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potentially dilutive securities excluded from denominator of the diluted earnings per share</w:t>
            </w:r>
          </w:p>
        </w:tc>
        <w:tc>
          <w:tcPr>
            <w:tcW w:w="1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25,431,810</w:t>
            </w:r>
          </w:p>
        </w:tc>
        <w:tc>
          <w:tcPr>
            <w:tcW w:w="8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24,554,689</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120" w:type="dxa"/>
            <w:vAlign w:val="bottom"/>
          </w:tcPr>
          <w:p>
            <w:pPr>
              <w:spacing w:after="0"/>
              <w:rPr>
                <w:sz w:val="15"/>
                <w:szCs w:val="15"/>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computation</w:t>
            </w:r>
          </w:p>
        </w:tc>
        <w:tc>
          <w:tcPr>
            <w:tcW w:w="16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vMerge w:val="continue"/>
            <w:shd w:val="clear" w:color="auto" w:fill="CCEEFF"/>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vMerge w:val="restart"/>
          </w:tcPr>
          <w:p>
            <w:pPr>
              <w:ind w:left="4380"/>
              <w:spacing w:after="0"/>
              <w:rPr>
                <w:sz w:val="20"/>
                <w:szCs w:val="20"/>
                <w:color w:val="auto"/>
              </w:rPr>
            </w:pPr>
            <w:r>
              <w:rPr>
                <w:rFonts w:ascii="Times New Roman" w:cs="Times New Roman" w:eastAsia="Times New Roman" w:hAnsi="Times New Roman"/>
                <w:sz w:val="14"/>
                <w:szCs w:val="14"/>
                <w:color w:val="auto"/>
              </w:rPr>
              <w:t>F- 25</w:t>
            </w: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1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Segment Reporting</w:t>
      </w:r>
    </w:p>
    <w:p>
      <w:pPr>
        <w:spacing w:after="0" w:line="180"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spacing w:after="0" w:line="14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4"/>
          <w:szCs w:val="14"/>
          <w:color w:val="auto"/>
        </w:rPr>
        <w:t>The CODM uses consolidated net income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segment revenue, segment loss, significant segment expenses, and other segment items consist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60"/>
        </w:trPr>
        <w:tc>
          <w:tcPr>
            <w:tcW w:w="80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3"/>
                <w:szCs w:val="13"/>
                <w:color w:val="auto"/>
              </w:rPr>
            </w:pPr>
          </w:p>
        </w:tc>
      </w:tr>
      <w:tr>
        <w:trPr>
          <w:trHeight w:val="16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8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39,227</w:t>
            </w: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20,876</w:t>
            </w: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 program costs: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Norovirus program</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1,556</w:t>
            </w:r>
          </w:p>
        </w:tc>
      </w:tr>
      <w:tr>
        <w:trPr>
          <w:trHeight w:val="170"/>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COVID-19 program</w:t>
            </w:r>
          </w:p>
        </w:tc>
        <w:tc>
          <w:tcPr>
            <w:tcW w:w="9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20,393</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15,718</w:t>
            </w:r>
          </w:p>
        </w:tc>
      </w:tr>
      <w:tr>
        <w:trPr>
          <w:trHeight w:val="170"/>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programs</w:t>
            </w:r>
          </w:p>
        </w:tc>
        <w:tc>
          <w:tcPr>
            <w:tcW w:w="9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306</w:t>
            </w:r>
          </w:p>
        </w:tc>
      </w:tr>
      <w:tr>
        <w:trPr>
          <w:trHeight w:val="170"/>
        </w:trPr>
        <w:tc>
          <w:tcPr>
            <w:tcW w:w="8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Preclinical research</w:t>
            </w:r>
          </w:p>
        </w:tc>
        <w:tc>
          <w:tcPr>
            <w:tcW w:w="9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399</w:t>
            </w:r>
          </w:p>
        </w:tc>
      </w:tr>
      <w:tr>
        <w:trPr>
          <w:trHeight w:val="170"/>
        </w:trPr>
        <w:tc>
          <w:tcPr>
            <w:tcW w:w="8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Process Development</w:t>
            </w:r>
          </w:p>
        </w:tc>
        <w:tc>
          <w:tcPr>
            <w:tcW w:w="9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w:t>
            </w: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Internal research and development costs</w:t>
            </w:r>
          </w:p>
        </w:tc>
        <w:tc>
          <w:tcPr>
            <w:tcW w:w="9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8,891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12,719</w:t>
            </w: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4,641</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5,067</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9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w:t>
            </w:r>
          </w:p>
        </w:tc>
      </w:tr>
      <w:tr>
        <w:trPr>
          <w:trHeight w:val="17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997</w:t>
            </w:r>
          </w:p>
        </w:tc>
      </w:tr>
      <w:tr>
        <w:trPr>
          <w:trHeight w:val="170"/>
        </w:trPr>
        <w:tc>
          <w:tcPr>
            <w:tcW w:w="8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items(A)</w:t>
            </w:r>
          </w:p>
        </w:tc>
        <w:tc>
          <w:tcPr>
            <w:tcW w:w="98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95</w:t>
            </w:r>
          </w:p>
        </w:tc>
      </w:tr>
      <w:tr>
        <w:trPr>
          <w:trHeight w:val="200"/>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Segment net income (loss)</w:t>
            </w:r>
          </w:p>
        </w:tc>
        <w:tc>
          <w:tcPr>
            <w:tcW w:w="980" w:type="dxa"/>
            <w:vAlign w:val="bottom"/>
            <w:tcBorders>
              <w:bottom w:val="single" w:sz="8" w:color="auto"/>
            </w:tcBorders>
          </w:tcPr>
          <w:p>
            <w:pPr>
              <w:jc w:val="right"/>
              <w:ind w:right="85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5,179</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(15,591)</w:t>
            </w:r>
          </w:p>
        </w:tc>
      </w:tr>
      <w:tr>
        <w:trPr>
          <w:trHeight w:val="141"/>
        </w:trPr>
        <w:tc>
          <w:tcPr>
            <w:tcW w:w="80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Reconciliation of net income (loss)</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r>
      <w:tr>
        <w:trPr>
          <w:trHeight w:val="18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Adjustments and reconciling items</w:t>
            </w:r>
          </w:p>
        </w:tc>
        <w:tc>
          <w:tcPr>
            <w:tcW w:w="98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Borders>
              <w:top w:val="single" w:sz="8" w:color="auto"/>
              <w:bottom w:val="single" w:sz="8" w:color="auto"/>
            </w:tcBorders>
            <w:shd w:val="clear" w:color="auto" w:fill="CCEEFF"/>
          </w:tcPr>
          <w:p>
            <w:pPr>
              <w:jc w:val="right"/>
              <w:ind w:right="85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5,179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(15,591)</w:t>
            </w: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Other segment items included in other income (expense), net.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Equity Line of Credit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In April 2026, the Company entered into the April 2026 ELOC and a registration rights agreement with LPC, pursuant to which LPC committed to purchase up to the Commitment Amount, $25.0 million, of the Company’s common stock (“Purchase Shares”), subject to certain limitations and conditions. The Company has the right, but not the obligation, to sell shares of common stock to LPC, and LPC is obligated to make purchases as directed by the Company, subject to the conditions set forth in the agreement. Sales may occur from time to time, at the Company’s sole discretion, over a 24-month period commencing upon satisfaction of certain conditions, including effectiveness of a registration statement covering the resale of shares of common stock by LPC. The purchase price per share of common stock for regular purchases will be equal to 97% of the lower of (i) the lowest sale price on the applicable purchase date or (ii) the arithmetic average of the three lowest closing sale prices during the ten consecutive business days ending on the business day immediately preceding such purchase date. The Company may also direct accelerated purchases at prices based on market prices on the applicable purchase date. The April 2026 ELOC prohibits sales if such shares of common stock, when aggregated with all other shares of common stock then beneficially owned by LPC, would result in LPC owning more than 4.99% of the Company’s then outstanding common stock. The Company has the right to terminate the agreement at any time after the Company has satisfied all the conditions for sales to be made pursuant to the April 2026 ELOC, with one business day notice, at no cost or penalty. The Company issued 447,067 shares of common stock to LPC as consideration for its commitment to purchase shares of common stock under the April 2026 ELOC.</w:t>
      </w:r>
    </w:p>
    <w:p>
      <w:pPr>
        <w:spacing w:after="0" w:line="148"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14"/>
          <w:szCs w:val="14"/>
          <w:color w:val="auto"/>
        </w:rPr>
        <w:t>The shares will be sold pursuant to an effective registration statement. The Company intends to file a registration statement with the SEC covering the resale by LPC of the Purchase Shares may be issued to LPC under the April 2026 ELOC, as well as the 447,067 shares of common stock issued to LPC as consideration for its commitment to purchase shares of common stock under the April 2026 ELOC.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Amendment to Lease Agreement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color w:val="auto"/>
        </w:rPr>
        <w:t>In April 2026, the Company entered into an amendment (the “Utah Avenue Lease Amendment”) to its lease agreement (the “Utah Avenue Lease”) with a landlord (the “Utah Avenue Landlord”) relating to certain properties currently leased to the Company that are located on Utah Avenue in South San Francisco, California. Pursuant to the Utah Avenue Lease Amendment, the Company agreed to lease from the Utah Avenue Landlord two additional suites in an additional building on Utah Avenue with a total of approximately 3,531 rentable square feet of space (the “Additional Leased Space”), effective as of May 14, 2026 (the “Expansion Commencement Date”). The term of the lease of the Additional Leased Space is 36 months from the Expansion Commencement Date, unless earlier terminated pursuant to the terms of the Utah Avenue Lease Amendment and the Utah Avenue Lease.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Appointment of Dr. James B. Breitmeyer, M.D., Ph.D. to Board of Directors</w:t>
      </w:r>
    </w:p>
    <w:p>
      <w:pPr>
        <w:spacing w:after="0" w:line="17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On April 23, 2026</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following a recommendation by the Nominating and Governance Committee of the Board of Directors, the Company's Board appointed James B. Breitmeyer, M.D., Ph.D. to serve on the Board, effective </w:t>
      </w:r>
      <w:r>
        <w:rPr>
          <w:rFonts w:ascii="Times New Roman" w:cs="Times New Roman" w:eastAsia="Times New Roman" w:hAnsi="Times New Roman"/>
          <w:sz w:val="14"/>
          <w:szCs w:val="14"/>
          <w:i w:val="1"/>
          <w:iCs w:val="1"/>
          <w:color w:val="auto"/>
        </w:rPr>
        <w:t>April 23, 2026,</w:t>
      </w:r>
      <w:r>
        <w:rPr>
          <w:rFonts w:ascii="Times New Roman" w:cs="Times New Roman" w:eastAsia="Times New Roman" w:hAnsi="Times New Roman"/>
          <w:sz w:val="14"/>
          <w:szCs w:val="14"/>
          <w:color w:val="auto"/>
        </w:rPr>
        <w:t xml:space="preserve"> until Dr. James B. Breitmeyer, M.D., Ph.D.’s successor is elected and qualified, or sooner in the event of his death, resignation, or removal. The Board has determined that Mr. James B. Breitmeyer, M.D., Ph.D. meets the requirements for independence standards as adopted by the Board.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Stockholders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Vaxart, Inc.:</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Consolidated Financial Statements</w:t>
      </w:r>
    </w:p>
    <w:p>
      <w:pPr>
        <w:spacing w:after="0" w:line="180" w:lineRule="exact"/>
        <w:rPr>
          <w:sz w:val="20"/>
          <w:szCs w:val="20"/>
          <w:color w:val="auto"/>
        </w:rPr>
      </w:pPr>
    </w:p>
    <w:p>
      <w:pPr>
        <w:jc w:val="both"/>
        <w:ind w:left="140"/>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Vaxart, Inc. and Subsidiaries (collectively, the “Company”) as of December 31, 2025 and 2024, the related consolidated statements of operations and comprehensive income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0" w:lineRule="exact"/>
        <w:rPr>
          <w:sz w:val="20"/>
          <w:szCs w:val="20"/>
          <w:color w:val="auto"/>
        </w:rPr>
      </w:pPr>
    </w:p>
    <w:p>
      <w:pPr>
        <w:jc w:val="both"/>
        <w:ind w:left="140"/>
        <w:spacing w:after="0" w:line="269"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ind w:left="140"/>
        <w:spacing w:after="0" w:line="26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0" w:lineRule="exact"/>
        <w:rPr>
          <w:sz w:val="20"/>
          <w:szCs w:val="20"/>
          <w:color w:val="auto"/>
        </w:rPr>
      </w:pPr>
    </w:p>
    <w:p>
      <w:pPr>
        <w:jc w:val="both"/>
        <w:ind w:left="140"/>
        <w:spacing w:after="0" w:line="264"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80" w:lineRule="exact"/>
        <w:rPr>
          <w:sz w:val="20"/>
          <w:szCs w:val="20"/>
          <w:color w:val="auto"/>
        </w:rPr>
      </w:pPr>
    </w:p>
    <w:p>
      <w:pPr>
        <w:jc w:val="both"/>
        <w:ind w:left="140"/>
        <w:spacing w:after="0" w:line="264"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Prepayments and Accruals Related to Clinical Expenses - Refer to Note 2 to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0" w:lineRule="exact"/>
        <w:rPr>
          <w:sz w:val="20"/>
          <w:szCs w:val="20"/>
          <w:color w:val="auto"/>
        </w:rPr>
      </w:pPr>
    </w:p>
    <w:p>
      <w:pPr>
        <w:jc w:val="both"/>
        <w:ind w:left="140"/>
        <w:spacing w:after="0" w:line="269" w:lineRule="auto"/>
        <w:rPr>
          <w:sz w:val="20"/>
          <w:szCs w:val="20"/>
          <w:color w:val="auto"/>
        </w:rPr>
      </w:pPr>
      <w:r>
        <w:rPr>
          <w:rFonts w:ascii="Times New Roman" w:cs="Times New Roman" w:eastAsia="Times New Roman" w:hAnsi="Times New Roman"/>
          <w:sz w:val="14"/>
          <w:szCs w:val="14"/>
          <w:color w:val="auto"/>
        </w:rPr>
        <w:t>The Company recognizes costs it incurs for clinical trials as research and development expenses based on its evaluation of its third-party service providers’ progress toward completion of specific tasks. Payment timing may differ significantly from the period in which the costs are recognized as expense. Costs for services incurred that have not yet been paid are recognized as accrued expenses. Advance payments are recorded as prepaid expenses.</w:t>
      </w:r>
    </w:p>
    <w:p>
      <w:pPr>
        <w:spacing w:after="0" w:line="1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 estimating the vendors’ progress toward completion of specific tasks, the Company uses data such as patient enrollment, clinical site activations or vendor information of actual costs incurred.</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This data is obtained through reports from and discussions with Company personnel and third-party service providers as to the progress or state of completion of trials, or the completion of services.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4"/>
          <w:szCs w:val="14"/>
          <w:color w:val="auto"/>
        </w:rPr>
        <w:t>Given the number of ongoing clinical trial activities and the subjectivity involved in estimating clinical expenses, auditing the prepayments and accruals related to clinical expenses involved especially subjective judgment, thereby causing us to determine that the matter is a critical audit matter.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Our audit procedures related to prepayments and accruals of clinical trials included the following, among others:</w:t>
      </w:r>
    </w:p>
    <w:p>
      <w:pPr>
        <w:spacing w:after="0" w:line="178" w:lineRule="exact"/>
        <w:rPr>
          <w:sz w:val="20"/>
          <w:szCs w:val="20"/>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the design and implementation of internal controls over the estimation of prepayments and accruals related to clinical trials.</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and read a sample of research and collaboration agreements and contracts, as well as amendments thereto.</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publicly available information (such as press releases and investor presentations) and board of directors’ materials regarding the status of clinical trial activities.</w:t>
      </w:r>
    </w:p>
    <w:p>
      <w:pPr>
        <w:spacing w:after="0" w:line="178" w:lineRule="exact"/>
        <w:rPr>
          <w:rFonts w:ascii="Times New Roman" w:cs="Times New Roman" w:eastAsia="Times New Roman" w:hAnsi="Times New Roman"/>
          <w:sz w:val="14"/>
          <w:szCs w:val="14"/>
          <w:color w:val="auto"/>
        </w:rPr>
      </w:pPr>
    </w:p>
    <w:p>
      <w:pPr>
        <w:ind w:left="260" w:right="60" w:hanging="255"/>
        <w:spacing w:after="0" w:line="189" w:lineRule="auto"/>
        <w:tabs>
          <w:tab w:leader="none" w:pos="260" w:val="left"/>
        </w:tabs>
        <w:numPr>
          <w:ilvl w:val="0"/>
          <w:numId w:val="84"/>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For a selection of agreements and contracts, we compared the amount of accrual or prepayment at the end of the prior period to current year activity and evaluated the accuracy of the Company’s estimation methodology.</w:t>
      </w:r>
    </w:p>
    <w:p>
      <w:pPr>
        <w:spacing w:after="0" w:line="155" w:lineRule="exact"/>
        <w:rPr>
          <w:rFonts w:ascii="Times New Roman" w:cs="Times New Roman" w:eastAsia="Times New Roman" w:hAnsi="Times New Roman"/>
          <w:sz w:val="26"/>
          <w:szCs w:val="26"/>
          <w:color w:val="auto"/>
          <w:vertAlign w:val="subscript"/>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 written confirmation of the status of clinical trials from the Company’s third-party service providers.</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performed a search for unrecorded clinical trial accruals by testing subsequent cash disbursements.</w:t>
      </w:r>
    </w:p>
    <w:p>
      <w:pPr>
        <w:spacing w:after="0" w:line="178" w:lineRule="exact"/>
        <w:rPr>
          <w:rFonts w:ascii="Times New Roman" w:cs="Times New Roman" w:eastAsia="Times New Roman" w:hAnsi="Times New Roman"/>
          <w:sz w:val="14"/>
          <w:szCs w:val="14"/>
          <w:color w:val="auto"/>
        </w:rPr>
      </w:pPr>
    </w:p>
    <w:p>
      <w:pPr>
        <w:ind w:left="260" w:right="220" w:hanging="255"/>
        <w:spacing w:after="0" w:line="189" w:lineRule="auto"/>
        <w:tabs>
          <w:tab w:leader="none" w:pos="260" w:val="left"/>
        </w:tabs>
        <w:numPr>
          <w:ilvl w:val="0"/>
          <w:numId w:val="84"/>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We made selections of specific amounts recognized as research and development expense as well as those recognized as prepaid or accrued expenses to evaluate management’s estimate of the vendor’s progress and performed the following procedures:</w:t>
      </w:r>
    </w:p>
    <w:p>
      <w:pPr>
        <w:spacing w:after="0" w:line="155" w:lineRule="exact"/>
        <w:rPr>
          <w:rFonts w:ascii="Times New Roman" w:cs="Times New Roman" w:eastAsia="Times New Roman" w:hAnsi="Times New Roman"/>
          <w:sz w:val="26"/>
          <w:szCs w:val="26"/>
          <w:color w:val="auto"/>
          <w:vertAlign w:val="subscript"/>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corroborating inquiries with Company clinical operations personnel.</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 the related statement of work, purchase order, or other supporting documentation (such as communications between the Company and third-party service providers).</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management’s judgments by comparing such judgments to the evidence obtained.</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Obtained the listing of all contracts related to research and development expenses to evaluate the completeness of prepayments and accruals.</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Tested the mathematical accuracy of management’s calculation of prepayments and accruals related to clinical trials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from Dynavax License and Collaboration Agreement - Refer to Note 5 to the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0" w:lineRule="exact"/>
        <w:rPr>
          <w:sz w:val="20"/>
          <w:szCs w:val="20"/>
          <w:color w:val="auto"/>
        </w:rPr>
      </w:pPr>
    </w:p>
    <w:p>
      <w:pPr>
        <w:jc w:val="both"/>
        <w:ind w:left="140"/>
        <w:spacing w:after="0" w:line="258" w:lineRule="auto"/>
        <w:rPr>
          <w:sz w:val="20"/>
          <w:szCs w:val="20"/>
          <w:color w:val="auto"/>
        </w:rPr>
      </w:pPr>
      <w:r>
        <w:rPr>
          <w:rFonts w:ascii="Times New Roman" w:cs="Times New Roman" w:eastAsia="Times New Roman" w:hAnsi="Times New Roman"/>
          <w:sz w:val="14"/>
          <w:szCs w:val="14"/>
          <w:color w:val="auto"/>
        </w:rPr>
        <w:t>The 2025 License and Collaboration Agreement with Dynavax contains two performance obligations, which are accounted for separately as they are distinct. The transaction price at inception is then allocated to the distinct performance obligations based on the relative standalone selling price, and revenue is recognized when the distinct performance obligation is satisfied. Revenue allocated to the license performance obligation is recognized at a point in time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 For the year ended December 31, 2025, the Company recognized revenue of $10.8 million from the 2025 License and Collaboration Agreement. As of December 31, 2025, the amount of deferred collaboration revenue was $15.0 million, of which $13.0 million was classified as current and $2.0 million as non-current. The remaining deferred collaboration revenue will be recognized as revenue once the earnings process is complete.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jc w:val="both"/>
        <w:ind w:left="140"/>
        <w:spacing w:after="0" w:line="269" w:lineRule="auto"/>
        <w:rPr>
          <w:sz w:val="20"/>
          <w:szCs w:val="20"/>
          <w:color w:val="auto"/>
        </w:rPr>
      </w:pPr>
      <w:r>
        <w:rPr>
          <w:rFonts w:ascii="Times New Roman" w:cs="Times New Roman" w:eastAsia="Times New Roman" w:hAnsi="Times New Roman"/>
          <w:sz w:val="14"/>
          <w:szCs w:val="14"/>
          <w:color w:val="auto"/>
        </w:rPr>
        <w:t>Auditing the Company’s revenue from the 2025 License and Collaboration Agreement was especially complex and required significant judgments, specifically related to the identification of performance obligations, the determination of standalone selling price the performance obligations, the evaluation of estimates of costs to complete the development program under the input method for revenue recognized over time, and the timing of revenue recognition.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Our audit procedures related to revenue from the 2025 License and Collaboration Agreement included the following, among others:</w:t>
      </w:r>
    </w:p>
    <w:p>
      <w:pPr>
        <w:spacing w:after="0" w:line="178" w:lineRule="exact"/>
        <w:rPr>
          <w:sz w:val="20"/>
          <w:szCs w:val="20"/>
          <w:color w:val="auto"/>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the design and implementation of internal controls over revenue from the Dynavax License and Collaboration Agreement.</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reviewed management’s analysis for accuracy and completeness by agreeing data to the underlying agreement.</w:t>
      </w:r>
    </w:p>
    <w:p>
      <w:pPr>
        <w:spacing w:after="0" w:line="178" w:lineRule="exact"/>
        <w:rPr>
          <w:rFonts w:ascii="Times New Roman" w:cs="Times New Roman" w:eastAsia="Times New Roman" w:hAnsi="Times New Roman"/>
          <w:sz w:val="14"/>
          <w:szCs w:val="14"/>
          <w:color w:val="auto"/>
        </w:rPr>
      </w:pPr>
    </w:p>
    <w:p>
      <w:pPr>
        <w:ind w:left="260" w:right="360" w:hanging="255"/>
        <w:spacing w:after="0" w:line="189" w:lineRule="auto"/>
        <w:tabs>
          <w:tab w:leader="none" w:pos="260" w:val="left"/>
        </w:tabs>
        <w:numPr>
          <w:ilvl w:val="0"/>
          <w:numId w:val="85"/>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We evaluated the appropriateness of the Company’s accounting conclusions, specifically related to the identification and determination of distinct performance obligations, determination of standalone selling price for each performance obligation, allocation of the transaction price to the identified performance obligations, and the timing of revenue recognition.</w:t>
      </w:r>
    </w:p>
    <w:p>
      <w:pPr>
        <w:spacing w:after="0" w:line="155" w:lineRule="exact"/>
        <w:rPr>
          <w:rFonts w:ascii="Times New Roman" w:cs="Times New Roman" w:eastAsia="Times New Roman" w:hAnsi="Times New Roman"/>
          <w:sz w:val="26"/>
          <w:szCs w:val="26"/>
          <w:color w:val="auto"/>
          <w:vertAlign w:val="subscript"/>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evaluated the assumptions used to estimate costs to complete the development program, which included performing sensitivity analysis on the standalone selling price.</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application of the input method for the recognition of revenue, which included performing analytical procedures on actual costs incurred.</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inspected, on a test basis, supporting documentation for costs incurred which are used to measure progress toward completion and to calculate revenue recognition.</w:t>
      </w:r>
    </w:p>
    <w:p>
      <w:pPr>
        <w:spacing w:after="0" w:line="178" w:lineRule="exact"/>
        <w:rPr>
          <w:rFonts w:ascii="Times New Roman" w:cs="Times New Roman" w:eastAsia="Times New Roman" w:hAnsi="Times New Roman"/>
          <w:sz w:val="14"/>
          <w:szCs w:val="14"/>
          <w:color w:val="auto"/>
        </w:rPr>
      </w:pPr>
    </w:p>
    <w:p>
      <w:pPr>
        <w:ind w:left="260" w:hanging="255"/>
        <w:spacing w:after="0"/>
        <w:tabs>
          <w:tab w:leader="none" w:pos="26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recalculated the corresponding revenue recognized based on the cost-based input method to measure progress toward completion of the performance obligation.</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2019.</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12, 2026</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PCAOB ID Number 100</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Current assets:</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Short-term investments</w:t>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10" w:lineRule="exact"/>
        <w:rPr>
          <w:sz w:val="20"/>
          <w:szCs w:val="20"/>
          <w:color w:val="auto"/>
        </w:rPr>
      </w:pPr>
    </w:p>
    <w:p>
      <w:pPr>
        <w:ind w:left="140"/>
        <w:spacing w:after="0" w:line="331" w:lineRule="auto"/>
        <w:rPr>
          <w:sz w:val="20"/>
          <w:szCs w:val="20"/>
          <w:color w:val="auto"/>
        </w:rPr>
      </w:pPr>
      <w:r>
        <w:rPr>
          <w:rFonts w:ascii="Times New Roman" w:cs="Times New Roman" w:eastAsia="Times New Roman" w:hAnsi="Times New Roman"/>
          <w:sz w:val="12"/>
          <w:szCs w:val="12"/>
          <w:color w:val="auto"/>
        </w:rPr>
        <w:t>Unbilled receivable from government contracts Prepaid expenses and other current assets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Total current assets</w:t>
      </w:r>
    </w:p>
    <w:p>
      <w:pPr>
        <w:spacing w:after="0" w:line="169" w:lineRule="exact"/>
        <w:rPr>
          <w:sz w:val="20"/>
          <w:szCs w:val="20"/>
          <w:color w:val="auto"/>
        </w:rPr>
      </w:pPr>
    </w:p>
    <w:p>
      <w:pPr>
        <w:ind w:left="140" w:right="600"/>
        <w:spacing w:after="0" w:line="263" w:lineRule="auto"/>
        <w:rPr>
          <w:sz w:val="20"/>
          <w:szCs w:val="20"/>
          <w:color w:val="auto"/>
        </w:rPr>
      </w:pPr>
      <w:r>
        <w:rPr>
          <w:rFonts w:ascii="Times New Roman" w:cs="Times New Roman" w:eastAsia="Times New Roman" w:hAnsi="Times New Roman"/>
          <w:sz w:val="13"/>
          <w:szCs w:val="13"/>
          <w:color w:val="auto"/>
        </w:rPr>
        <w:t>Property and equipment, net Prepaid clinical services, long-term Right-of-use assets, net Intangible assets, net Goodwill</w:t>
      </w:r>
    </w:p>
    <w:p>
      <w:pPr>
        <w:spacing w:after="0" w:line="1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color w:val="auto"/>
        </w:rPr>
        <w:t>Other long-term assets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3"/>
          <w:szCs w:val="13"/>
          <w:color w:val="auto"/>
        </w:rPr>
        <w:t>Total assets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80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7"/>
        </w:trPr>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22"/>
        </w:trPr>
        <w:tc>
          <w:tcPr>
            <w:tcW w:w="424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r>
      <w:tr>
        <w:trPr>
          <w:trHeight w:val="319"/>
        </w:trPr>
        <w:tc>
          <w:tcPr>
            <w:tcW w:w="340" w:type="dxa"/>
            <w:vAlign w:val="bottom"/>
            <w:tcBorders>
              <w:top w:val="single" w:sz="8" w:color="auto"/>
            </w:tcBorders>
          </w:tcPr>
          <w:p>
            <w:pPr>
              <w:spacing w:after="0"/>
              <w:rPr>
                <w:sz w:val="24"/>
                <w:szCs w:val="24"/>
                <w:color w:val="auto"/>
              </w:rPr>
            </w:pPr>
          </w:p>
        </w:tc>
        <w:tc>
          <w:tcPr>
            <w:tcW w:w="41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53,814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25,229</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9,993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26,494</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14,564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5,761</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36,781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6,208</w:t>
            </w:r>
          </w:p>
        </w:tc>
      </w:tr>
      <w:tr>
        <w:trPr>
          <w:trHeight w:val="168"/>
        </w:trPr>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20,971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4,568</w:t>
            </w:r>
          </w:p>
        </w:tc>
      </w:tr>
      <w:tr>
        <w:trPr>
          <w:trHeight w:val="306"/>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136,123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68,260</w:t>
            </w:r>
          </w:p>
        </w:tc>
      </w:tr>
      <w:tr>
        <w:trPr>
          <w:trHeight w:val="312"/>
        </w:trPr>
        <w:tc>
          <w:tcPr>
            <w:tcW w:w="3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5,433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8,705</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25,218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60,116</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11,432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20,404</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2,826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3,557</w:t>
            </w:r>
          </w:p>
        </w:tc>
      </w:tr>
      <w:tr>
        <w:trPr>
          <w:trHeight w:val="159"/>
        </w:trPr>
        <w:tc>
          <w:tcPr>
            <w:tcW w:w="3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4,508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4,508</w:t>
            </w:r>
          </w:p>
        </w:tc>
      </w:tr>
      <w:tr>
        <w:trPr>
          <w:trHeight w:val="168"/>
        </w:trPr>
        <w:tc>
          <w:tcPr>
            <w:tcW w:w="3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539</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839</w:t>
            </w:r>
          </w:p>
        </w:tc>
      </w:tr>
      <w:tr>
        <w:trPr>
          <w:trHeight w:val="309"/>
        </w:trPr>
        <w:tc>
          <w:tcPr>
            <w:tcW w:w="44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186,079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166,389</w:t>
            </w:r>
          </w:p>
        </w:tc>
      </w:tr>
      <w:tr>
        <w:trPr>
          <w:trHeight w:val="20"/>
        </w:trPr>
        <w:tc>
          <w:tcPr>
            <w:tcW w:w="3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-1888490</wp:posOffset>
            </wp:positionH>
            <wp:positionV relativeFrom="paragraph">
              <wp:posOffset>-1850390</wp:posOffset>
            </wp:positionV>
            <wp:extent cx="7161530" cy="1009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-1648460</wp:posOffset>
            </wp:positionV>
            <wp:extent cx="7161530" cy="1009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-1446530</wp:posOffset>
            </wp:positionV>
            <wp:extent cx="7161530" cy="1009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-1244600</wp:posOffset>
            </wp:positionV>
            <wp:extent cx="7161530" cy="1079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-1035685</wp:posOffset>
            </wp:positionV>
            <wp:extent cx="7161530" cy="1009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-833755</wp:posOffset>
            </wp:positionV>
            <wp:extent cx="7161530" cy="1009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-631825</wp:posOffset>
            </wp:positionV>
            <wp:extent cx="7161530" cy="1009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-429895</wp:posOffset>
            </wp:positionV>
            <wp:extent cx="7161530" cy="1009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-221615</wp:posOffset>
            </wp:positionV>
            <wp:extent cx="7161530" cy="1009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0</wp:posOffset>
            </wp:positionV>
            <wp:extent cx="7161530" cy="1009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Liabilities and Stockholders’ Equity</w:t>
      </w:r>
    </w:p>
    <w:p>
      <w:pPr>
        <w:spacing w:after="0" w:line="32" w:lineRule="exact"/>
        <w:rPr>
          <w:sz w:val="20"/>
          <w:szCs w:val="20"/>
          <w:color w:val="auto"/>
        </w:rPr>
      </w:pPr>
    </w:p>
    <w:p>
      <w:pPr>
        <w:sectPr>
          <w:pgSz w:w="11900" w:h="16838" w:orient="portrait"/>
          <w:cols w:equalWidth="0" w:num="2">
            <w:col w:w="2540" w:space="440"/>
            <w:col w:w="83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5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21,496</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6,963</w:t>
            </w: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Deferred government revenue</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65,400</w:t>
            </w: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collaboration revenue</w:t>
            </w:r>
          </w:p>
        </w:tc>
        <w:tc>
          <w:tcPr>
            <w:tcW w:w="54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12,952</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accrued current liabilities</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47,879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11,378</w:t>
            </w: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operating lease liability</w:t>
            </w:r>
          </w:p>
        </w:tc>
        <w:tc>
          <w:tcPr>
            <w:tcW w:w="54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2,978</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3,077</w:t>
            </w:r>
          </w:p>
        </w:tc>
      </w:tr>
      <w:tr>
        <w:trPr>
          <w:trHeight w:val="159"/>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liability related to sale of future royalties</w:t>
            </w:r>
          </w:p>
        </w:tc>
        <w:tc>
          <w:tcPr>
            <w:tcW w:w="5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1,381</w:t>
            </w: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4,060</w:t>
            </w:r>
          </w:p>
        </w:tc>
      </w:tr>
      <w:tr>
        <w:trPr>
          <w:trHeight w:val="150"/>
        </w:trPr>
        <w:tc>
          <w:tcPr>
            <w:tcW w:w="8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86,754</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90,878</w:t>
            </w:r>
          </w:p>
        </w:tc>
      </w:tr>
      <w:tr>
        <w:trPr>
          <w:trHeight w:val="159"/>
        </w:trPr>
        <w:tc>
          <w:tcPr>
            <w:tcW w:w="8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liability, net of current portion</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6,007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14,449</w:t>
            </w: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collaboration revenue, net of current portion</w:t>
            </w:r>
          </w:p>
        </w:tc>
        <w:tc>
          <w:tcPr>
            <w:tcW w:w="54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2,024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Liability related to sale of future royalties, net of current portion</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2,679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1,698</w:t>
            </w: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817</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439</w:t>
            </w:r>
          </w:p>
        </w:tc>
      </w:tr>
      <w:tr>
        <w:trPr>
          <w:trHeight w:val="150"/>
        </w:trPr>
        <w:tc>
          <w:tcPr>
            <w:tcW w:w="8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98,281</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107,464</w:t>
            </w:r>
          </w:p>
        </w:tc>
      </w:tr>
      <w:tr>
        <w:trPr>
          <w:trHeight w:val="150"/>
        </w:trPr>
        <w:tc>
          <w:tcPr>
            <w:tcW w:w="8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9"/>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8)</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8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9"/>
        </w:trPr>
        <w:tc>
          <w:tcPr>
            <w:tcW w:w="802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Preferred Stock: $0.0001 par value; 5,000,000 shares authorized; none issued and outstanding as of December 31, 2025 or 2024</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8020" w:type="dxa"/>
            <w:vAlign w:val="bottom"/>
          </w:tcPr>
          <w:p>
            <w:pPr>
              <w:ind w:left="140"/>
              <w:spacing w:after="0" w:line="149" w:lineRule="exact"/>
              <w:rPr>
                <w:sz w:val="20"/>
                <w:szCs w:val="20"/>
                <w:color w:val="auto"/>
              </w:rPr>
            </w:pPr>
            <w:r>
              <w:rPr>
                <w:rFonts w:ascii="Times New Roman" w:cs="Times New Roman" w:eastAsia="Times New Roman" w:hAnsi="Times New Roman"/>
                <w:sz w:val="13"/>
                <w:szCs w:val="13"/>
                <w:color w:val="auto"/>
              </w:rPr>
              <w:t>Common Stock: $0.0001 par value; 350,000,000 shares authorized as of December 31, 2025 and 2024; 240,742,681 shares issued and 240,494,594</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8"/>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shares outstanding as of December 31, 2025 and 228,203,822 shares issued and 227,774,275 shares outstanding as of December 31, 2024</w:t>
            </w:r>
          </w:p>
        </w:tc>
        <w:tc>
          <w:tcPr>
            <w:tcW w:w="54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w:t>
            </w:r>
          </w:p>
        </w:tc>
      </w:tr>
      <w:tr>
        <w:trPr>
          <w:trHeight w:val="161"/>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548,131</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535,770</w:t>
            </w: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at cost, 248,087 shares as of December 31, 2025 and 429,547 shares as of December 31, 2024</w:t>
            </w: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Accumulated deficit</w:t>
            </w: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(460,195)</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(476,522)</w:t>
            </w: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4</w:t>
            </w:r>
          </w:p>
        </w:tc>
      </w:tr>
      <w:tr>
        <w:trPr>
          <w:trHeight w:val="150"/>
        </w:trPr>
        <w:tc>
          <w:tcPr>
            <w:tcW w:w="8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87,798</w:t>
            </w:r>
          </w:p>
        </w:tc>
        <w:tc>
          <w:tcPr>
            <w:tcW w:w="1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58,925</w:t>
            </w:r>
          </w:p>
        </w:tc>
      </w:tr>
      <w:tr>
        <w:trPr>
          <w:trHeight w:val="150"/>
        </w:trPr>
        <w:tc>
          <w:tcPr>
            <w:tcW w:w="80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59"/>
        </w:trPr>
        <w:tc>
          <w:tcPr>
            <w:tcW w:w="80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540" w:type="dxa"/>
            <w:vAlign w:val="bottom"/>
          </w:tcPr>
          <w:p>
            <w:pPr>
              <w:jc w:val="right"/>
              <w:ind w:right="42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186,079</w:t>
            </w:r>
          </w:p>
        </w:tc>
        <w:tc>
          <w:tcPr>
            <w:tcW w:w="6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166,389</w:t>
            </w:r>
          </w:p>
        </w:tc>
      </w:tr>
      <w:tr>
        <w:trPr>
          <w:trHeight w:val="20"/>
        </w:trPr>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541"/>
        </w:trPr>
        <w:tc>
          <w:tcPr>
            <w:tcW w:w="1000" w:type="dxa"/>
            <w:vAlign w:val="bottom"/>
            <w:tcBorders>
              <w:top w:val="single" w:sz="8" w:color="0000EE"/>
            </w:tcBorders>
          </w:tcPr>
          <w:p>
            <w:pPr>
              <w:spacing w:after="0"/>
              <w:rPr>
                <w:sz w:val="24"/>
                <w:szCs w:val="24"/>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w w:val="99"/>
              </w:rPr>
              <w:t>VAXART, INC. AND SUBSIDIARIES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3"/>
        </w:trPr>
        <w:tc>
          <w:tcPr>
            <w:tcW w:w="1000" w:type="dxa"/>
            <w:vAlign w:val="bottom"/>
          </w:tcPr>
          <w:p>
            <w:pPr>
              <w:spacing w:after="0"/>
              <w:rPr>
                <w:sz w:val="24"/>
                <w:szCs w:val="24"/>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(Loss)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9"/>
        </w:trPr>
        <w:tc>
          <w:tcPr>
            <w:tcW w:w="10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Non-cash royalty revenue related to sale of future royalties</w:t>
            </w:r>
          </w:p>
        </w:tc>
        <w:tc>
          <w:tcPr>
            <w:tcW w:w="940" w:type="dxa"/>
            <w:vAlign w:val="bottom"/>
          </w:tcPr>
          <w:p>
            <w:pPr>
              <w:jc w:val="right"/>
              <w:ind w:right="81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1,929</w:t>
            </w:r>
          </w:p>
        </w:tc>
        <w:tc>
          <w:tcPr>
            <w:tcW w:w="11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100" w:type="dxa"/>
            <w:vAlign w:val="bottom"/>
          </w:tcPr>
          <w:p>
            <w:pPr>
              <w:spacing w:after="0"/>
              <w:rPr>
                <w:sz w:val="14"/>
                <w:szCs w:val="14"/>
                <w:color w:val="auto"/>
              </w:rPr>
            </w:pPr>
          </w:p>
        </w:tc>
      </w:tr>
      <w:tr>
        <w:trPr>
          <w:trHeight w:val="17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 from government contracts</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224,516</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24,858</w:t>
            </w: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License revenue</w:t>
            </w:r>
          </w:p>
        </w:tc>
        <w:tc>
          <w:tcPr>
            <w:tcW w:w="9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8,705</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Collaboration revenue</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2,108</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237,258</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28,700</w:t>
            </w: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0"/>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201,576</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74,213</w:t>
            </w:r>
          </w:p>
        </w:tc>
      </w:tr>
      <w:tr>
        <w:trPr>
          <w:trHeight w:val="170"/>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17,608</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20,780</w:t>
            </w:r>
          </w:p>
        </w:tc>
      </w:tr>
      <w:tr>
        <w:trPr>
          <w:trHeight w:val="160"/>
        </w:trPr>
        <w:tc>
          <w:tcPr>
            <w:tcW w:w="1000" w:type="dxa"/>
            <w:vAlign w:val="bottom"/>
            <w:tcBorders>
              <w:top w:val="single" w:sz="8" w:color="CCEEFF"/>
            </w:tcBorders>
          </w:tcPr>
          <w:p>
            <w:pPr>
              <w:spacing w:after="0"/>
              <w:rPr>
                <w:sz w:val="13"/>
                <w:szCs w:val="13"/>
                <w:color w:val="auto"/>
              </w:rPr>
            </w:pPr>
          </w:p>
        </w:tc>
        <w:tc>
          <w:tcPr>
            <w:tcW w:w="7020" w:type="dxa"/>
            <w:vAlign w:val="bottom"/>
            <w:tcBorders>
              <w:top w:val="single" w:sz="8" w:color="CCEEFF"/>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r>
      <w:tr>
        <w:trPr>
          <w:trHeight w:val="170"/>
        </w:trPr>
        <w:tc>
          <w:tcPr>
            <w:tcW w:w="8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219,184</w:t>
            </w: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94,993</w:t>
            </w:r>
          </w:p>
        </w:tc>
      </w:tr>
    </w:tbl>
    <w:p>
      <w:pPr>
        <w:spacing w:after="0" w:line="155" w:lineRule="exact"/>
        <w:rPr>
          <w:sz w:val="20"/>
          <w:szCs w:val="20"/>
          <w:color w:val="auto"/>
        </w:rPr>
      </w:pPr>
    </w:p>
    <w:p>
      <w:pPr>
        <w:sectPr>
          <w:pgSz w:w="11900" w:h="16838" w:orient="portrait"/>
          <w:cols w:equalWidth="0" w:num="1">
            <w:col w:w="11280"/>
          </w:cols>
          <w:pgMar w:left="300" w:top="117" w:right="319" w:bottom="1440" w:gutter="0" w:footer="0" w:header="0"/>
        </w:sectPr>
      </w:pPr>
    </w:p>
    <w:p>
      <w:pPr>
        <w:ind w:left="380"/>
        <w:spacing w:after="0"/>
        <w:rPr>
          <w:sz w:val="20"/>
          <w:szCs w:val="20"/>
          <w:color w:val="auto"/>
        </w:rPr>
      </w:pPr>
      <w:r>
        <w:rPr>
          <w:rFonts w:ascii="Times New Roman" w:cs="Times New Roman" w:eastAsia="Times New Roman" w:hAnsi="Times New Roman"/>
          <w:sz w:val="14"/>
          <w:szCs w:val="14"/>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079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161530" cy="1079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Interest income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079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079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079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69" w:lineRule="exact"/>
        <w:rPr>
          <w:sz w:val="20"/>
          <w:szCs w:val="20"/>
          <w:color w:val="auto"/>
        </w:rPr>
      </w:pPr>
    </w:p>
    <w:p>
      <w:pPr>
        <w:jc w:val="center"/>
        <w:ind w:right="5780"/>
        <w:spacing w:after="0"/>
        <w:rPr>
          <w:sz w:val="20"/>
          <w:szCs w:val="20"/>
          <w:color w:val="auto"/>
        </w:rPr>
      </w:pPr>
      <w:r>
        <w:rPr>
          <w:rFonts w:ascii="Times New Roman" w:cs="Times New Roman" w:eastAsia="Times New Roman" w:hAnsi="Times New Roman"/>
          <w:sz w:val="14"/>
          <w:szCs w:val="14"/>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079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18,074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(66,293)</w:t>
            </w:r>
          </w:p>
        </w:tc>
      </w:tr>
      <w:tr>
        <w:trPr>
          <w:trHeight w:val="495"/>
        </w:trPr>
        <w:tc>
          <w:tcPr>
            <w:tcW w:w="58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1,596</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2,543</w:t>
            </w:r>
          </w:p>
        </w:tc>
      </w:tr>
      <w:tr>
        <w:trPr>
          <w:trHeight w:val="170"/>
        </w:trPr>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w:t>
            </w:r>
          </w:p>
        </w:tc>
      </w:tr>
      <w:tr>
        <w:trPr>
          <w:trHeight w:val="184"/>
        </w:trPr>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31</w:t>
            </w:r>
          </w:p>
        </w:tc>
      </w:tr>
      <w:tr>
        <w:trPr>
          <w:trHeight w:val="330"/>
        </w:trPr>
        <w:tc>
          <w:tcPr>
            <w:tcW w:w="58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16,803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(66,688)</w:t>
            </w:r>
          </w:p>
        </w:tc>
      </w:tr>
      <w:tr>
        <w:trPr>
          <w:trHeight w:val="339"/>
        </w:trPr>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476</w:t>
            </w: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260</w:t>
            </w:r>
          </w:p>
        </w:tc>
      </w:tr>
      <w:tr>
        <w:trPr>
          <w:trHeight w:val="330"/>
        </w:trPr>
        <w:tc>
          <w:tcPr>
            <w:tcW w:w="580" w:type="dxa"/>
            <w:vAlign w:val="bottom"/>
          </w:tcPr>
          <w:p>
            <w:pPr>
              <w:jc w:val="right"/>
              <w:ind w:right="4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16,327</w:t>
            </w: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(66,948)</w:t>
            </w:r>
          </w:p>
        </w:tc>
      </w:tr>
      <w:tr>
        <w:trPr>
          <w:trHeight w:val="20"/>
        </w:trPr>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300" w:space="720"/>
            <w:col w:w="3260"/>
          </w:cols>
          <w:pgMar w:left="300" w:top="117" w:right="31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80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share: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0.07</w:t>
            </w:r>
          </w:p>
        </w:tc>
        <w:tc>
          <w:tcPr>
            <w:tcW w:w="54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0.07</w:t>
            </w:r>
          </w:p>
        </w:tc>
        <w:tc>
          <w:tcPr>
            <w:tcW w:w="540" w:type="dxa"/>
            <w:vAlign w:val="bottom"/>
            <w:gridSpan w:val="2"/>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70"/>
        </w:trPr>
        <w:tc>
          <w:tcPr>
            <w:tcW w:w="8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Shares used to compute net income (loss) per share:</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230,269,605</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202,137,531</w:t>
            </w:r>
          </w:p>
        </w:tc>
      </w:tr>
      <w:tr>
        <w:trPr>
          <w:trHeight w:val="170"/>
        </w:trPr>
        <w:tc>
          <w:tcPr>
            <w:tcW w:w="8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420" w:type="dxa"/>
            <w:vAlign w:val="bottom"/>
          </w:tcPr>
          <w:p>
            <w:pPr>
              <w:spacing w:after="0"/>
              <w:rPr>
                <w:sz w:val="14"/>
                <w:szCs w:val="14"/>
                <w:color w:val="auto"/>
              </w:rPr>
            </w:pP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230,346,201</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202,137,531</w:t>
            </w:r>
          </w:p>
        </w:tc>
      </w:tr>
      <w:tr>
        <w:trPr>
          <w:trHeight w:val="170"/>
        </w:trPr>
        <w:tc>
          <w:tcPr>
            <w:tcW w:w="8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2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16,327</w:t>
            </w:r>
          </w:p>
        </w:tc>
        <w:tc>
          <w:tcPr>
            <w:tcW w:w="54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(66,948)</w:t>
            </w:r>
          </w:p>
        </w:tc>
      </w:tr>
      <w:tr>
        <w:trPr>
          <w:trHeight w:val="170"/>
        </w:trPr>
        <w:tc>
          <w:tcPr>
            <w:tcW w:w="802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(loss) on available-for-sale investments, net of tax</w:t>
            </w: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r>
      <w:tr>
        <w:trPr>
          <w:trHeight w:val="200"/>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420" w:type="dxa"/>
            <w:vAlign w:val="bottom"/>
            <w:tcBorders>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16,320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(66,943)</w:t>
            </w: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7" w:right="31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131"/>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860" w:type="dxa"/>
            <w:vAlign w:val="bottom"/>
            <w:gridSpan w:val="4"/>
            <w:vMerge w:val="restart"/>
          </w:tcPr>
          <w:p>
            <w:pPr>
              <w:jc w:val="right"/>
              <w:ind w:right="61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10"/>
                <w:szCs w:val="10"/>
                <w:color w:val="auto"/>
              </w:rPr>
            </w:pPr>
          </w:p>
        </w:tc>
        <w:tc>
          <w:tcPr>
            <w:tcW w:w="1560" w:type="dxa"/>
            <w:vAlign w:val="bottom"/>
            <w:gridSpan w:val="3"/>
            <w:vMerge w:val="restart"/>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ind w:right="111"/>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131"/>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1"/>
        </w:trPr>
        <w:tc>
          <w:tcPr>
            <w:tcW w:w="3500" w:type="dxa"/>
            <w:vAlign w:val="bottom"/>
          </w:tcPr>
          <w:p>
            <w:pPr>
              <w:spacing w:after="0"/>
              <w:rPr>
                <w:sz w:val="9"/>
                <w:szCs w:val="9"/>
                <w:color w:val="auto"/>
              </w:rPr>
            </w:pPr>
          </w:p>
        </w:tc>
        <w:tc>
          <w:tcPr>
            <w:tcW w:w="1860" w:type="dxa"/>
            <w:vAlign w:val="bottom"/>
            <w:tcBorders>
              <w:bottom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jc w:val="right"/>
              <w:ind w:right="291"/>
              <w:spacing w:after="0" w:line="111"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ind w:right="171"/>
              <w:spacing w:after="0" w:line="111"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center"/>
              <w:ind w:right="111"/>
              <w:spacing w:after="0" w:line="111"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131"/>
              <w:spacing w:after="0" w:line="111" w:lineRule="exact"/>
              <w:rPr>
                <w:sz w:val="20"/>
                <w:szCs w:val="20"/>
                <w:color w:val="auto"/>
              </w:rPr>
            </w:pPr>
            <w:r>
              <w:rPr>
                <w:rFonts w:ascii="Times New Roman" w:cs="Times New Roman" w:eastAsia="Times New Roman" w:hAnsi="Times New Roman"/>
                <w:sz w:val="10"/>
                <w:szCs w:val="10"/>
                <w:b w:val="1"/>
                <w:bCs w:val="1"/>
                <w:color w:val="auto"/>
                <w:w w:val="98"/>
              </w:rPr>
              <w:t>Stockholders’</w:t>
            </w:r>
          </w:p>
        </w:tc>
        <w:tc>
          <w:tcPr>
            <w:tcW w:w="0" w:type="dxa"/>
            <w:vAlign w:val="bottom"/>
          </w:tcPr>
          <w:p>
            <w:pPr>
              <w:spacing w:after="0"/>
              <w:rPr>
                <w:sz w:val="1"/>
                <w:szCs w:val="1"/>
                <w:color w:val="auto"/>
              </w:rPr>
            </w:pPr>
          </w:p>
        </w:tc>
      </w:tr>
      <w:tr>
        <w:trPr>
          <w:trHeight w:val="97"/>
        </w:trPr>
        <w:tc>
          <w:tcPr>
            <w:tcW w:w="3500" w:type="dxa"/>
            <w:vAlign w:val="bottom"/>
          </w:tcPr>
          <w:p>
            <w:pPr>
              <w:spacing w:after="0"/>
              <w:rPr>
                <w:sz w:val="8"/>
                <w:szCs w:val="8"/>
                <w:color w:val="auto"/>
              </w:rPr>
            </w:pPr>
          </w:p>
        </w:tc>
        <w:tc>
          <w:tcPr>
            <w:tcW w:w="880" w:type="dxa"/>
            <w:vAlign w:val="bottom"/>
            <w:tcBorders>
              <w:bottom w:val="single" w:sz="8" w:color="auto"/>
            </w:tcBorders>
          </w:tcPr>
          <w:p>
            <w:pPr>
              <w:jc w:val="right"/>
              <w:ind w:right="291"/>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1"/>
              <w:spacing w:after="0" w:line="97"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8"/>
                <w:szCs w:val="8"/>
                <w:color w:val="auto"/>
              </w:rPr>
            </w:pPr>
          </w:p>
        </w:tc>
        <w:tc>
          <w:tcPr>
            <w:tcW w:w="880" w:type="dxa"/>
            <w:vAlign w:val="bottom"/>
            <w:tcBorders>
              <w:bottom w:val="single" w:sz="8" w:color="auto"/>
            </w:tcBorders>
          </w:tcPr>
          <w:p>
            <w:pPr>
              <w:jc w:val="right"/>
              <w:ind w:right="311"/>
              <w:spacing w:after="0" w:line="97"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8"/>
                <w:szCs w:val="8"/>
                <w:color w:val="auto"/>
              </w:rPr>
            </w:pPr>
          </w:p>
        </w:tc>
        <w:tc>
          <w:tcPr>
            <w:tcW w:w="5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Amount</w:t>
            </w: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ind w:right="291"/>
              <w:spacing w:after="0" w:line="97"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right"/>
              <w:ind w:right="311"/>
              <w:spacing w:after="0" w:line="97"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center"/>
              <w:ind w:right="111"/>
              <w:spacing w:after="0" w:line="97" w:lineRule="exact"/>
              <w:rPr>
                <w:sz w:val="20"/>
                <w:szCs w:val="20"/>
                <w:color w:val="auto"/>
              </w:rPr>
            </w:pPr>
            <w:r>
              <w:rPr>
                <w:rFonts w:ascii="Times New Roman" w:cs="Times New Roman" w:eastAsia="Times New Roman" w:hAnsi="Times New Roman"/>
                <w:sz w:val="10"/>
                <w:szCs w:val="10"/>
                <w:b w:val="1"/>
                <w:bCs w:val="1"/>
                <w:color w:val="auto"/>
              </w:rPr>
              <w:t>Gain (Loss)</w:t>
            </w: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131"/>
              <w:spacing w:after="0" w:line="97"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97"/>
        </w:trPr>
        <w:tc>
          <w:tcPr>
            <w:tcW w:w="3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Balances as of January 1, 2024</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153,959,853</w:t>
            </w:r>
          </w:p>
        </w:tc>
        <w:tc>
          <w:tcPr>
            <w:tcW w:w="240" w:type="dxa"/>
            <w:vAlign w:val="bottom"/>
            <w:gridSpan w:val="2"/>
            <w:shd w:val="clear" w:color="auto" w:fill="CCEEFF"/>
          </w:tcPr>
          <w:p>
            <w:pPr>
              <w:jc w:val="right"/>
              <w:ind w:right="37"/>
              <w:spacing w:after="0" w:line="106"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15</w:t>
            </w:r>
          </w:p>
        </w:tc>
        <w:tc>
          <w:tcPr>
            <w:tcW w:w="1000" w:type="dxa"/>
            <w:vAlign w:val="bottom"/>
            <w:gridSpan w:val="2"/>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(507,020)</w:t>
            </w:r>
          </w:p>
        </w:tc>
        <w:tc>
          <w:tcPr>
            <w:tcW w:w="680" w:type="dxa"/>
            <w:vAlign w:val="bottom"/>
            <w:gridSpan w:val="2"/>
            <w:shd w:val="clear" w:color="auto" w:fill="CCEEFF"/>
          </w:tcPr>
          <w:p>
            <w:pPr>
              <w:jc w:val="right"/>
              <w:ind w:right="503"/>
              <w:spacing w:after="0" w:line="106"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w w:val="92"/>
              </w:rPr>
              <w:t>(366)</w:t>
            </w:r>
          </w:p>
        </w:tc>
        <w:tc>
          <w:tcPr>
            <w:tcW w:w="220" w:type="dxa"/>
            <w:vAlign w:val="bottom"/>
            <w:gridSpan w:val="2"/>
            <w:shd w:val="clear" w:color="auto" w:fill="CCEEFF"/>
          </w:tcPr>
          <w:p>
            <w:pPr>
              <w:jc w:val="right"/>
              <w:ind w:right="17"/>
              <w:spacing w:after="0" w:line="10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467,731</w:t>
            </w:r>
          </w:p>
        </w:tc>
        <w:tc>
          <w:tcPr>
            <w:tcW w:w="1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(409,574)</w:t>
            </w:r>
          </w:p>
        </w:tc>
        <w:tc>
          <w:tcPr>
            <w:tcW w:w="16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57,805</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common stock under September 2021 ATM, net of offering costs of $248</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7,719,641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8,801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8,802</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50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Issuance of common stock under the 2024 Securities Purchase Agreement, net of</w:t>
            </w: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offering costs of $55</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15,384,615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2</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9,943</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9,945</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50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Issuance of common stock under the June 2024 Offering, net of offering costs of</w:t>
            </w: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$2,455</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50,000,000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5</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37,540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37,545</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common stock upon exercise of stock options</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38,030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30</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30</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common stock under ESPP</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502,423</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312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312</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treasury stock under ESPP</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280,516</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230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1"/>
              <w:spacing w:after="0" w:line="106" w:lineRule="exact"/>
              <w:rPr>
                <w:sz w:val="20"/>
                <w:szCs w:val="20"/>
                <w:color w:val="auto"/>
              </w:rPr>
            </w:pPr>
            <w:r>
              <w:rPr>
                <w:rFonts w:ascii="Times New Roman" w:cs="Times New Roman" w:eastAsia="Times New Roman" w:hAnsi="Times New Roman"/>
                <w:sz w:val="10"/>
                <w:szCs w:val="10"/>
                <w:color w:val="auto"/>
              </w:rPr>
              <w:t>(88)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142</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Release of common stock for vested restricted stock units</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599,260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Repurchase of common stock to satisfy tax withholding</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(203,043)</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w w:val="92"/>
              </w:rPr>
              <w:t>(214)</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11"/>
              <w:spacing w:after="0" w:line="106" w:lineRule="exact"/>
              <w:rPr>
                <w:sz w:val="20"/>
                <w:szCs w:val="20"/>
                <w:color w:val="auto"/>
              </w:rPr>
            </w:pPr>
            <w:r>
              <w:rPr>
                <w:rFonts w:ascii="Times New Roman" w:cs="Times New Roman" w:eastAsia="Times New Roman" w:hAnsi="Times New Roman"/>
                <w:sz w:val="10"/>
                <w:szCs w:val="10"/>
                <w:color w:val="auto"/>
              </w:rPr>
              <w:t>(214)</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Stock-based compensation</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11,501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11,501</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Unrealized gain on available-for-sale investments</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(66,948)</w:t>
            </w: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ind w:right="11"/>
              <w:spacing w:after="0" w:line="106" w:lineRule="exact"/>
              <w:rPr>
                <w:sz w:val="20"/>
                <w:szCs w:val="20"/>
                <w:color w:val="auto"/>
              </w:rPr>
            </w:pPr>
            <w:r>
              <w:rPr>
                <w:rFonts w:ascii="Times New Roman" w:cs="Times New Roman" w:eastAsia="Times New Roman" w:hAnsi="Times New Roman"/>
                <w:sz w:val="10"/>
                <w:szCs w:val="10"/>
                <w:color w:val="auto"/>
              </w:rPr>
              <w:t>(66,948)</w:t>
            </w:r>
          </w:p>
        </w:tc>
        <w:tc>
          <w:tcPr>
            <w:tcW w:w="0" w:type="dxa"/>
            <w:vAlign w:val="bottom"/>
          </w:tcPr>
          <w:p>
            <w:pPr>
              <w:spacing w:after="0"/>
              <w:rPr>
                <w:sz w:val="1"/>
                <w:szCs w:val="1"/>
                <w:color w:val="auto"/>
              </w:rPr>
            </w:pPr>
          </w:p>
        </w:tc>
      </w:tr>
      <w:tr>
        <w:trPr>
          <w:trHeight w:val="97"/>
        </w:trPr>
        <w:tc>
          <w:tcPr>
            <w:tcW w:w="3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Balances as of December 31, 2024</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228,203,822</w:t>
            </w:r>
          </w:p>
        </w:tc>
        <w:tc>
          <w:tcPr>
            <w:tcW w:w="240" w:type="dxa"/>
            <w:vAlign w:val="bottom"/>
            <w:gridSpan w:val="2"/>
            <w:shd w:val="clear" w:color="auto" w:fill="CCEEFF"/>
          </w:tcPr>
          <w:p>
            <w:pPr>
              <w:jc w:val="right"/>
              <w:ind w:right="37"/>
              <w:spacing w:after="0" w:line="106"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23</w:t>
            </w:r>
          </w:p>
        </w:tc>
        <w:tc>
          <w:tcPr>
            <w:tcW w:w="1000" w:type="dxa"/>
            <w:vAlign w:val="bottom"/>
            <w:gridSpan w:val="2"/>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(429,547)</w:t>
            </w:r>
          </w:p>
        </w:tc>
        <w:tc>
          <w:tcPr>
            <w:tcW w:w="680" w:type="dxa"/>
            <w:vAlign w:val="bottom"/>
            <w:gridSpan w:val="2"/>
            <w:shd w:val="clear" w:color="auto" w:fill="CCEEFF"/>
          </w:tcPr>
          <w:p>
            <w:pPr>
              <w:jc w:val="right"/>
              <w:ind w:right="503"/>
              <w:spacing w:after="0" w:line="106"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w w:val="92"/>
              </w:rPr>
              <w:t>(350)</w:t>
            </w:r>
          </w:p>
        </w:tc>
        <w:tc>
          <w:tcPr>
            <w:tcW w:w="220" w:type="dxa"/>
            <w:vAlign w:val="bottom"/>
            <w:gridSpan w:val="2"/>
            <w:shd w:val="clear" w:color="auto" w:fill="CCEEFF"/>
          </w:tcPr>
          <w:p>
            <w:pPr>
              <w:jc w:val="right"/>
              <w:ind w:right="17"/>
              <w:spacing w:after="0" w:line="106"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535,770</w:t>
            </w:r>
          </w:p>
        </w:tc>
        <w:tc>
          <w:tcPr>
            <w:tcW w:w="1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(476,522)</w:t>
            </w:r>
          </w:p>
        </w:tc>
        <w:tc>
          <w:tcPr>
            <w:tcW w:w="16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4</w:t>
            </w:r>
          </w:p>
        </w:tc>
        <w:tc>
          <w:tcPr>
            <w:tcW w:w="1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58,925</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common stock under March 2025 ATM, net of offering costs of $174</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382,700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53</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common stock upon exercise of stock options</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3,625</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3500" w:type="dxa"/>
            <w:vAlign w:val="bottom"/>
            <w:shd w:val="clear" w:color="auto" w:fill="CCEEFF"/>
          </w:tcPr>
          <w:p>
            <w:pPr>
              <w:spacing w:after="0" w:line="93" w:lineRule="exact"/>
              <w:rPr>
                <w:sz w:val="20"/>
                <w:szCs w:val="20"/>
                <w:color w:val="auto"/>
              </w:rPr>
            </w:pPr>
            <w:r>
              <w:rPr>
                <w:rFonts w:ascii="Times New Roman" w:cs="Times New Roman" w:eastAsia="Times New Roman" w:hAnsi="Times New Roman"/>
                <w:sz w:val="10"/>
                <w:szCs w:val="10"/>
                <w:color w:val="auto"/>
              </w:rPr>
              <w:t>Issuance of common stock under the 2025 Securities Purchase Agreement, net of</w:t>
            </w: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offering costs of $10</w:t>
            </w: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11,111,111</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4,200</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4,201</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Issuance of treasury stock under ESPP</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539,448</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390</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11"/>
              <w:spacing w:after="0" w:line="106" w:lineRule="exact"/>
              <w:rPr>
                <w:sz w:val="20"/>
                <w:szCs w:val="20"/>
                <w:color w:val="auto"/>
              </w:rPr>
            </w:pPr>
            <w:r>
              <w:rPr>
                <w:rFonts w:ascii="Times New Roman" w:cs="Times New Roman" w:eastAsia="Times New Roman" w:hAnsi="Times New Roman"/>
                <w:sz w:val="10"/>
                <w:szCs w:val="10"/>
                <w:color w:val="auto"/>
              </w:rPr>
              <w:t>(209)</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181</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Release of common stock for vested restricted stock units</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1,041,423</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Repurchase of common stock to satisfy tax withholding</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0" w:type="dxa"/>
            <w:vAlign w:val="bottom"/>
            <w:gridSpan w:val="2"/>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(357,988)</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w w:val="92"/>
              </w:rPr>
              <w:t>(199)</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11"/>
              <w:spacing w:after="0" w:line="106" w:lineRule="exact"/>
              <w:rPr>
                <w:sz w:val="20"/>
                <w:szCs w:val="20"/>
                <w:color w:val="auto"/>
              </w:rPr>
            </w:pPr>
            <w:r>
              <w:rPr>
                <w:rFonts w:ascii="Times New Roman" w:cs="Times New Roman" w:eastAsia="Times New Roman" w:hAnsi="Times New Roman"/>
                <w:sz w:val="10"/>
                <w:szCs w:val="10"/>
                <w:color w:val="auto"/>
              </w:rPr>
              <w:t>(199)</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Stock-based compensation</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8,314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8,314</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Unrealized loss on available-for-sale investments</w:t>
            </w:r>
          </w:p>
        </w:tc>
        <w:tc>
          <w:tcPr>
            <w:tcW w:w="88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0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shd w:val="clear" w:color="auto" w:fill="CCEEFF"/>
          </w:tcPr>
          <w:p>
            <w:pPr>
              <w:jc w:val="right"/>
              <w:ind w:right="31"/>
              <w:spacing w:after="0" w:line="106" w:lineRule="exact"/>
              <w:rPr>
                <w:sz w:val="20"/>
                <w:szCs w:val="20"/>
                <w:color w:val="auto"/>
              </w:rPr>
            </w:pPr>
            <w:r>
              <w:rPr>
                <w:rFonts w:ascii="Times New Roman" w:cs="Times New Roman" w:eastAsia="Times New Roman" w:hAnsi="Times New Roman"/>
                <w:sz w:val="10"/>
                <w:szCs w:val="10"/>
                <w:color w:val="auto"/>
              </w:rPr>
              <w:t>(7)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ind w:right="11"/>
              <w:spacing w:after="0" w:line="106" w:lineRule="exact"/>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500" w:type="dxa"/>
            <w:vAlign w:val="bottom"/>
            <w:tcBorders>
              <w:bottom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Net income</w:t>
            </w:r>
          </w:p>
        </w:tc>
        <w:tc>
          <w:tcPr>
            <w:tcW w:w="88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ind w:right="71"/>
              <w:spacing w:after="0" w:line="106" w:lineRule="exact"/>
              <w:rPr>
                <w:sz w:val="20"/>
                <w:szCs w:val="20"/>
                <w:color w:val="auto"/>
              </w:rPr>
            </w:pPr>
            <w:r>
              <w:rPr>
                <w:rFonts w:ascii="Times New Roman" w:cs="Times New Roman" w:eastAsia="Times New Roman" w:hAnsi="Times New Roman"/>
                <w:sz w:val="10"/>
                <w:szCs w:val="10"/>
                <w:color w:val="auto"/>
              </w:rPr>
              <w:t>16,327</w:t>
            </w: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ind w:right="51"/>
              <w:spacing w:after="0" w:line="106" w:lineRule="exact"/>
              <w:rPr>
                <w:sz w:val="20"/>
                <w:szCs w:val="20"/>
                <w:color w:val="auto"/>
              </w:rPr>
            </w:pPr>
            <w:r>
              <w:rPr>
                <w:rFonts w:ascii="Times New Roman" w:cs="Times New Roman" w:eastAsia="Times New Roman" w:hAnsi="Times New Roman"/>
                <w:sz w:val="10"/>
                <w:szCs w:val="10"/>
                <w:color w:val="auto"/>
              </w:rPr>
              <w:t>16,327</w:t>
            </w:r>
          </w:p>
        </w:tc>
        <w:tc>
          <w:tcPr>
            <w:tcW w:w="0" w:type="dxa"/>
            <w:vAlign w:val="bottom"/>
          </w:tcPr>
          <w:p>
            <w:pPr>
              <w:spacing w:after="0"/>
              <w:rPr>
                <w:sz w:val="1"/>
                <w:szCs w:val="1"/>
                <w:color w:val="auto"/>
              </w:rPr>
            </w:pPr>
          </w:p>
        </w:tc>
      </w:tr>
      <w:tr>
        <w:trPr>
          <w:trHeight w:val="97"/>
        </w:trPr>
        <w:tc>
          <w:tcPr>
            <w:tcW w:w="3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3500" w:type="dxa"/>
            <w:vAlign w:val="bottom"/>
            <w:tcBorders>
              <w:bottom w:val="single" w:sz="8" w:color="CCEEFF"/>
            </w:tcBorders>
            <w:shd w:val="clear" w:color="auto" w:fill="CCEEFF"/>
          </w:tcPr>
          <w:p>
            <w:pPr>
              <w:ind w:left="140"/>
              <w:spacing w:after="0" w:line="97" w:lineRule="exact"/>
              <w:rPr>
                <w:sz w:val="20"/>
                <w:szCs w:val="20"/>
                <w:color w:val="auto"/>
              </w:rPr>
            </w:pPr>
            <w:r>
              <w:rPr>
                <w:rFonts w:ascii="Times New Roman" w:cs="Times New Roman" w:eastAsia="Times New Roman" w:hAnsi="Times New Roman"/>
                <w:sz w:val="10"/>
                <w:szCs w:val="10"/>
                <w:color w:val="auto"/>
              </w:rPr>
              <w:t>Balances as of December 31, 2025</w:t>
            </w:r>
          </w:p>
        </w:tc>
        <w:tc>
          <w:tcPr>
            <w:tcW w:w="880" w:type="dxa"/>
            <w:vAlign w:val="bottom"/>
            <w:tcBorders>
              <w:bottom w:val="single" w:sz="8" w:color="auto"/>
            </w:tcBorders>
            <w:shd w:val="clear" w:color="auto" w:fill="CCEEFF"/>
          </w:tcPr>
          <w:p>
            <w:pPr>
              <w:jc w:val="right"/>
              <w:ind w:right="51"/>
              <w:spacing w:after="0" w:line="86" w:lineRule="exact"/>
              <w:rPr>
                <w:sz w:val="20"/>
                <w:szCs w:val="20"/>
                <w:color w:val="auto"/>
              </w:rPr>
            </w:pPr>
            <w:r>
              <w:rPr>
                <w:rFonts w:ascii="Times New Roman" w:cs="Times New Roman" w:eastAsia="Times New Roman" w:hAnsi="Times New Roman"/>
                <w:sz w:val="9"/>
                <w:szCs w:val="9"/>
                <w:color w:val="auto"/>
              </w:rPr>
              <w:t>240,742,681</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7"/>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740" w:type="dxa"/>
            <w:vAlign w:val="bottom"/>
            <w:tcBorders>
              <w:bottom w:val="single" w:sz="8" w:color="auto"/>
            </w:tcBorders>
            <w:shd w:val="clear" w:color="auto" w:fill="CCEEFF"/>
          </w:tcPr>
          <w:p>
            <w:pPr>
              <w:jc w:val="right"/>
              <w:ind w:right="51"/>
              <w:spacing w:after="0" w:line="86" w:lineRule="exact"/>
              <w:rPr>
                <w:sz w:val="20"/>
                <w:szCs w:val="20"/>
                <w:color w:val="auto"/>
              </w:rPr>
            </w:pPr>
            <w:r>
              <w:rPr>
                <w:rFonts w:ascii="Times New Roman" w:cs="Times New Roman" w:eastAsia="Times New Roman" w:hAnsi="Times New Roman"/>
                <w:sz w:val="9"/>
                <w:szCs w:val="9"/>
                <w:color w:val="auto"/>
              </w:rPr>
              <w:t>24</w:t>
            </w:r>
          </w:p>
        </w:tc>
        <w:tc>
          <w:tcPr>
            <w:tcW w:w="12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31"/>
              <w:spacing w:after="0" w:line="86" w:lineRule="exact"/>
              <w:rPr>
                <w:sz w:val="20"/>
                <w:szCs w:val="20"/>
                <w:color w:val="auto"/>
              </w:rPr>
            </w:pPr>
            <w:r>
              <w:rPr>
                <w:rFonts w:ascii="Times New Roman" w:cs="Times New Roman" w:eastAsia="Times New Roman" w:hAnsi="Times New Roman"/>
                <w:sz w:val="9"/>
                <w:szCs w:val="9"/>
                <w:color w:val="auto"/>
              </w:rPr>
              <w:t>(248,087)</w:t>
            </w: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bottom w:val="single" w:sz="8" w:color="auto"/>
            </w:tcBorders>
            <w:shd w:val="clear" w:color="auto" w:fill="CCEEFF"/>
          </w:tcPr>
          <w:p>
            <w:pPr>
              <w:jc w:val="right"/>
              <w:ind w:right="31"/>
              <w:spacing w:after="0" w:line="86" w:lineRule="exact"/>
              <w:rPr>
                <w:sz w:val="20"/>
                <w:szCs w:val="20"/>
                <w:color w:val="auto"/>
              </w:rPr>
            </w:pPr>
            <w:r>
              <w:rPr>
                <w:rFonts w:ascii="Times New Roman" w:cs="Times New Roman" w:eastAsia="Times New Roman" w:hAnsi="Times New Roman"/>
                <w:sz w:val="9"/>
                <w:szCs w:val="9"/>
                <w:color w:val="auto"/>
              </w:rPr>
              <w:t>(159)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7"/>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760" w:type="dxa"/>
            <w:vAlign w:val="bottom"/>
            <w:tcBorders>
              <w:bottom w:val="single" w:sz="8" w:color="auto"/>
            </w:tcBorders>
            <w:shd w:val="clear" w:color="auto" w:fill="CCEEFF"/>
          </w:tcPr>
          <w:p>
            <w:pPr>
              <w:jc w:val="right"/>
              <w:ind w:right="51"/>
              <w:spacing w:after="0" w:line="86" w:lineRule="exact"/>
              <w:rPr>
                <w:sz w:val="20"/>
                <w:szCs w:val="20"/>
                <w:color w:val="auto"/>
              </w:rPr>
            </w:pPr>
            <w:r>
              <w:rPr>
                <w:rFonts w:ascii="Times New Roman" w:cs="Times New Roman" w:eastAsia="Times New Roman" w:hAnsi="Times New Roman"/>
                <w:sz w:val="9"/>
                <w:szCs w:val="9"/>
                <w:color w:val="auto"/>
              </w:rPr>
              <w:t>548,131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ind w:right="31"/>
              <w:spacing w:after="0" w:line="86" w:lineRule="exact"/>
              <w:rPr>
                <w:sz w:val="20"/>
                <w:szCs w:val="20"/>
                <w:color w:val="auto"/>
              </w:rPr>
            </w:pPr>
            <w:r>
              <w:rPr>
                <w:rFonts w:ascii="Times New Roman" w:cs="Times New Roman" w:eastAsia="Times New Roman" w:hAnsi="Times New Roman"/>
                <w:sz w:val="9"/>
                <w:szCs w:val="9"/>
                <w:color w:val="auto"/>
              </w:rPr>
              <w:t>(460,195)</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shd w:val="clear" w:color="auto" w:fill="CCEEFF"/>
          </w:tcPr>
          <w:p>
            <w:pPr>
              <w:jc w:val="right"/>
              <w:ind w:right="31"/>
              <w:spacing w:after="0" w:line="86" w:lineRule="exact"/>
              <w:rPr>
                <w:sz w:val="20"/>
                <w:szCs w:val="20"/>
                <w:color w:val="auto"/>
              </w:rPr>
            </w:pPr>
            <w:r>
              <w:rPr>
                <w:rFonts w:ascii="Times New Roman" w:cs="Times New Roman" w:eastAsia="Times New Roman" w:hAnsi="Times New Roman"/>
                <w:sz w:val="9"/>
                <w:szCs w:val="9"/>
                <w:color w:val="auto"/>
              </w:rPr>
              <w:t>(3)</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86" w:lineRule="exact"/>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Borders>
              <w:bottom w:val="single" w:sz="8" w:color="auto"/>
            </w:tcBorders>
            <w:shd w:val="clear" w:color="auto" w:fill="CCEEFF"/>
          </w:tcPr>
          <w:p>
            <w:pPr>
              <w:jc w:val="right"/>
              <w:ind w:right="51"/>
              <w:spacing w:after="0" w:line="86" w:lineRule="exact"/>
              <w:rPr>
                <w:sz w:val="20"/>
                <w:szCs w:val="20"/>
                <w:color w:val="auto"/>
              </w:rPr>
            </w:pPr>
            <w:r>
              <w:rPr>
                <w:rFonts w:ascii="Times New Roman" w:cs="Times New Roman" w:eastAsia="Times New Roman" w:hAnsi="Times New Roman"/>
                <w:sz w:val="9"/>
                <w:szCs w:val="9"/>
                <w:color w:val="auto"/>
              </w:rPr>
              <w:t>87,798</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60" w:type="dxa"/>
            <w:vAlign w:val="bottom"/>
            <w:tcBorders>
              <w:bottom w:val="single" w:sz="8" w:color="auto"/>
            </w:tcBorders>
          </w:tcPr>
          <w:p>
            <w:pPr>
              <w:spacing w:after="0"/>
              <w:rPr>
                <w:sz w:val="14"/>
                <w:szCs w:val="14"/>
                <w:color w:val="auto"/>
              </w:rPr>
            </w:pPr>
          </w:p>
        </w:tc>
      </w:tr>
      <w:tr>
        <w:trPr>
          <w:trHeight w:val="152"/>
        </w:trPr>
        <w:tc>
          <w:tcPr>
            <w:tcW w:w="802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2"/>
              </w:rPr>
              <w:t>2024</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8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 (loss)</w:t>
            </w:r>
          </w:p>
        </w:tc>
        <w:tc>
          <w:tcPr>
            <w:tcW w:w="860" w:type="dxa"/>
            <w:vAlign w:val="bottom"/>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16,327</w:t>
            </w:r>
          </w:p>
        </w:tc>
        <w:tc>
          <w:tcPr>
            <w:tcW w:w="720" w:type="dxa"/>
            <w:vAlign w:val="bottom"/>
            <w:gridSpan w:val="2"/>
          </w:tcPr>
          <w:p>
            <w:pPr>
              <w:jc w:val="right"/>
              <w:ind w:right="48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(66,948)</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(used in) operating activities: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8,579</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8,850</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Loss on disposal of property and equipment</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discount on short-term investments, net</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Gain on modification of lease liability</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8,314</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11,501</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interest expense related to sale of future royalties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2,823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2,969</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Non-cash revenue related to sale of future royalties</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(4,521)</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w:t>
            </w: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receivable</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(8,803)</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Unbilled receivable from government contracts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(6,208)</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(16,103)</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clinical services, long-term</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34,898</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(60,116)</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14,639</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5,273</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government revenue</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(65,332)</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65,400</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collaboration revenue</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14,976</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and other liabilities</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33,735</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3,332</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7,714</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(44,764)</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Purchases of investments</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(23,228)</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(64,270)</w:t>
            </w:r>
          </w:p>
        </w:tc>
      </w:tr>
      <w:tr>
        <w:trPr>
          <w:trHeight w:val="159"/>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maturities of investments</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40,000</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43,500</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16,632</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(21,324)</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proceeds from issuance of common stock through the 2025 Securities Purchase Agreement</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4,201</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proceeds from issuance of common stock in the June 2024 Offering</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37,545</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proceeds from issuance of common stock through at-the-market facilities</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8,802</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proceeds from issuance of common stock through the 2024 Securities Purchase Agreement</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9,945</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Shares acquired to settle employee tax withholding liabilities</w:t>
            </w:r>
          </w:p>
        </w:tc>
        <w:tc>
          <w:tcPr>
            <w:tcW w:w="8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r>
      <w:tr>
        <w:trPr>
          <w:trHeight w:val="159"/>
        </w:trPr>
        <w:tc>
          <w:tcPr>
            <w:tcW w:w="8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upon exercise of stock options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30</w:t>
            </w:r>
          </w:p>
        </w:tc>
      </w:tr>
      <w:tr>
        <w:trPr>
          <w:trHeight w:val="159"/>
        </w:trPr>
        <w:tc>
          <w:tcPr>
            <w:tcW w:w="8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under the employee stock purchase plan</w:t>
            </w:r>
          </w:p>
        </w:tc>
        <w:tc>
          <w:tcPr>
            <w:tcW w:w="860" w:type="dxa"/>
            <w:vAlign w:val="bottom"/>
          </w:tcPr>
          <w:p>
            <w:pPr>
              <w:spacing w:after="0"/>
              <w:rPr>
                <w:sz w:val="13"/>
                <w:szCs w:val="13"/>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312</w:t>
            </w:r>
          </w:p>
        </w:tc>
      </w:tr>
      <w:tr>
        <w:trPr>
          <w:trHeight w:val="159"/>
        </w:trPr>
        <w:tc>
          <w:tcPr>
            <w:tcW w:w="80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issuance of treasury stock under the employee stock purchase plan</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181</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142</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4,239</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56,562</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8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28,585</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(9,526)</w:t>
            </w:r>
          </w:p>
        </w:tc>
      </w:tr>
      <w:tr>
        <w:trPr>
          <w:trHeight w:val="159"/>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9"/>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at beginning of the period</w:t>
            </w:r>
          </w:p>
        </w:tc>
        <w:tc>
          <w:tcPr>
            <w:tcW w:w="8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25,229</w:t>
            </w:r>
          </w:p>
        </w:tc>
        <w:tc>
          <w:tcPr>
            <w:tcW w:w="12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34,755</w:t>
            </w:r>
          </w:p>
        </w:tc>
      </w:tr>
      <w:tr>
        <w:trPr>
          <w:trHeight w:val="150"/>
        </w:trPr>
        <w:tc>
          <w:tcPr>
            <w:tcW w:w="8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9"/>
        </w:trPr>
        <w:tc>
          <w:tcPr>
            <w:tcW w:w="8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 at end of the period</w:t>
            </w:r>
          </w:p>
        </w:tc>
        <w:tc>
          <w:tcPr>
            <w:tcW w:w="860" w:type="dxa"/>
            <w:vAlign w:val="bottom"/>
            <w:tcBorders>
              <w:bottom w:val="single" w:sz="8" w:color="auto"/>
            </w:tcBorders>
            <w:shd w:val="clear" w:color="auto" w:fill="CCEEFF"/>
          </w:tcPr>
          <w:p>
            <w:pPr>
              <w:jc w:val="right"/>
              <w:ind w:right="74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53,814</w:t>
            </w:r>
          </w:p>
        </w:tc>
        <w:tc>
          <w:tcPr>
            <w:tcW w:w="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87"/>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rPr>
              <w:t>25,229</w:t>
            </w: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351"/>
        </w:trPr>
        <w:tc>
          <w:tcPr>
            <w:tcW w:w="1000" w:type="dxa"/>
            <w:vAlign w:val="bottom"/>
            <w:tcBorders>
              <w:top w:val="single" w:sz="8" w:color="0000EE"/>
            </w:tcBorders>
          </w:tcPr>
          <w:p>
            <w:pPr>
              <w:spacing w:after="0"/>
              <w:rPr>
                <w:sz w:val="24"/>
                <w:szCs w:val="24"/>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w w:val="99"/>
              </w:rPr>
              <w:t>VAXART, INC. AND SUBSIDIARIES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3"/>
        </w:trPr>
        <w:tc>
          <w:tcPr>
            <w:tcW w:w="1000" w:type="dxa"/>
            <w:vAlign w:val="bottom"/>
          </w:tcPr>
          <w:p>
            <w:pPr>
              <w:spacing w:after="0"/>
              <w:rPr>
                <w:sz w:val="24"/>
                <w:szCs w:val="24"/>
                <w:color w:val="auto"/>
              </w:rPr>
            </w:pPr>
          </w:p>
        </w:tc>
        <w:tc>
          <w:tcPr>
            <w:tcW w:w="7020" w:type="dxa"/>
            <w:vAlign w:val="bottom"/>
          </w:tcPr>
          <w:p>
            <w:pPr>
              <w:jc w:val="center"/>
              <w:ind w:left="220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 (continued)</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7020" w:type="dxa"/>
            <w:vAlign w:val="bottom"/>
          </w:tcPr>
          <w:p>
            <w:pPr>
              <w:jc w:val="center"/>
              <w:ind w:left="218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39"/>
        </w:trPr>
        <w:tc>
          <w:tcPr>
            <w:tcW w:w="10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0"/>
        </w:trPr>
        <w:tc>
          <w:tcPr>
            <w:tcW w:w="10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activity:</w:t>
            </w: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70"/>
        </w:trPr>
        <w:tc>
          <w:tcPr>
            <w:tcW w:w="80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Adjustment to operating lease right-of-use asset from lease modification</w:t>
            </w: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4,557</w:t>
            </w:r>
          </w:p>
        </w:tc>
        <w:tc>
          <w:tcPr>
            <w:tcW w:w="46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Acquisition of property and equipment included in accounts payable and other accrued current liabilities</w:t>
            </w:r>
          </w:p>
        </w:tc>
        <w:tc>
          <w:tcPr>
            <w:tcW w:w="340" w:type="dxa"/>
            <w:vAlign w:val="bottom"/>
            <w:tcBorders>
              <w:bottom w:val="single" w:sz="8" w:color="auto"/>
            </w:tcBorders>
            <w:shd w:val="clear" w:color="auto" w:fill="CCEEFF"/>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106</w:t>
            </w: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Organization and Nature of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8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Vaxart Biosciences, Inc. was originally incorporated in California in March 2004, under the name West Coast Biologicals, Inc. The Company changed its name to Vaxart, Inc. (“Private Vaxart”) in July 2007, and reincorporated in the state of Delaware. In February 2018, Private Vaxart completed a business combination with Aviragen Therapeutics, Inc. (“Aviragen”), pursuant to which Aviragen merged with Private Vaxart, with Private Vaxart surviving as a wholly-owned subsidiary of Aviragen (the “Merger”). Pursuant to the terms of the Merger, Aviragen changed its name to Vaxart, Inc. (together with its subsidiaries, the “Company” or “Vaxart”) and Private Vaxart changed its name to Vaxart Biosciences, Inc.</w:t>
      </w:r>
    </w:p>
    <w:p>
      <w:pPr>
        <w:spacing w:after="0" w:line="14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4"/>
          <w:szCs w:val="14"/>
          <w:color w:val="auto"/>
        </w:rPr>
        <w:t>In November 2025, the Company entered into a Securities Purchase Agreement (the “Purchase Agreement”) with Dynavax Technologies Corporation (“Dynavax”), pursuant to which 11,111,111 shares of the Company’s common stock were sold to Dynavax at a purchase price of $0.45 per share. The gross proceeds from the Purchase Agreement were $5.0 million. After deducting offering expenses, the net proceeds were approximately $5.0 million.</w:t>
      </w:r>
    </w:p>
    <w:p>
      <w:pPr>
        <w:spacing w:after="0" w:line="13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In March 2025, the Company entered into an At the Market Offering Agreement (the “March 2025 ATM”) with Citizens JMP Securities, LLC (“Citizens”) and B. Riley Securities, Inc. (“B. Riley” and, together with Citizens, the “Managers”), pursuant to which the Company may offer and sell, from time to time through the Managers, shares of its common stock having an aggregate offering price of up to $50.0 million. The shares will be sold pursuant to an effective registration statement on Form S-3 (Registration Statement No. 333-270671) (the “2023 Shelf Registration Statement”), as previously filed with the U.S. Securities and Exchange Commission (the “SEC”). The Company filed a prospectus supplement, dated March 21, 2025, with the SEC in connection with the offer and sale of the shares under the March 2025 ATM. The Company will pay the Managers a placement fee of up to 3% of the gross sale price from each sale of shares under the March 2025 ATM.</w:t>
      </w:r>
    </w:p>
    <w:p>
      <w:pPr>
        <w:ind w:right="520"/>
        <w:spacing w:after="0" w:line="265" w:lineRule="auto"/>
        <w:rPr>
          <w:sz w:val="20"/>
          <w:szCs w:val="20"/>
          <w:color w:val="auto"/>
        </w:rPr>
      </w:pPr>
      <w:r>
        <w:rPr>
          <w:rFonts w:ascii="Times New Roman" w:cs="Times New Roman" w:eastAsia="Times New Roman" w:hAnsi="Times New Roman"/>
          <w:sz w:val="14"/>
          <w:szCs w:val="14"/>
          <w:color w:val="auto"/>
        </w:rPr>
        <w:t>During the year ended December 31, 2025, 382,700 shares were issued and sold under the March 2025 ATM for gross proceeds of $0.2 million, which, after deducting sales commissions and expenses incurred to date, resulted in net proceeds of $0.1 million.</w:t>
      </w:r>
    </w:p>
    <w:p>
      <w:pPr>
        <w:spacing w:after="0" w:line="139"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14"/>
          <w:szCs w:val="14"/>
          <w:color w:val="auto"/>
        </w:rPr>
        <w:t>In June 2024, the Company entered into an underwriting agreement with Oppenheimer &amp; Co. Inc., relating to the issuance and sale by the Company in an underwritten registered direct offering 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37"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4"/>
          <w:szCs w:val="14"/>
          <w:color w:val="auto"/>
        </w:rPr>
        <w:t>In January 2024, the Company entered into a securities purchase agreement (the “2024 Securities Purchase Agreement”) with RA Capital Healthcare Fund, L.P. pursuant to which 15,384,615 shares of the Company’s common stock were sold to RA Capital Healthcare Fund, L.P. at an offering price of $0.65 per share pursuant to the Company’s shelf registration statement on Form S-</w:t>
      </w:r>
    </w:p>
    <w:p>
      <w:pPr>
        <w:spacing w:after="0" w:line="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color w:val="auto"/>
        </w:rPr>
        <w:t>3 (File No. 333-270671) (the “2023 Shelf Registration”). The gross proceeds from the 2024 Securities Purchase Agreement were $10.0 million and, after deducting offering expenses, the net proceeds were $9.9 million.</w:t>
      </w:r>
    </w:p>
    <w:p>
      <w:pPr>
        <w:spacing w:after="0" w:line="13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In September 2021, the Company entered into a Controlled Equity Offering Sales Agreement (the “September 2021 ATM”), pursuant to which it may offer and sell, from time to time through Cantor Fitzgerald &amp; Co. and B. Riley Securities, Inc. (together, the “sales agents”), shares of its common stock having an aggregate offering price of up to $100 million. The Company filed a prospectus supplement with the SEC on September 16, 2021, a subsequent prospectus supplement with the SEC on May 9, 2023 and paid sales commissions of up to 3.0% of gross proceeds from the sale of shares. Effective October 18, 2024, the September 2021 ATM was terminated. Following such termination, the Company may not offer or sell any additional shares of its common stock under the September 2021 ATM or the related prospectus and prospectus supplement. From January 1, 2024 through October 18, 2024, 7,719,641 shares were issued and sold under the September 2021 ATM for gross proceeds of $9.1 million, which, after deducting sales commissions and expenses incurred to date, resulted in net proceeds of $8.8 million.</w:t>
      </w:r>
    </w:p>
    <w:p>
      <w:pPr>
        <w:spacing w:after="0" w:line="14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4"/>
          <w:szCs w:val="14"/>
          <w:color w:val="auto"/>
        </w:rPr>
        <w:t>The Company’s principal operations are based in South San Francisco, California, and it operates in one reportable segment, which is the discovery and development of oral recombinant protein vaccines, based on its proprietary oral vaccine platform.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17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Basis of Presentation, Liquidity and Going Concern </w:t>
      </w:r>
      <w:r>
        <w:rPr>
          <w:rFonts w:ascii="Times New Roman" w:cs="Times New Roman" w:eastAsia="Times New Roman" w:hAnsi="Times New Roman"/>
          <w:sz w:val="14"/>
          <w:szCs w:val="14"/>
          <w:color w:val="auto"/>
        </w:rPr>
        <w:t>– The accompanying consolidated financial statements have been prepared in accordance with accounting principles generally accepted in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United States of America (“U.S. GAAP”) and pursuant to the accounting and disclosure rules and regulations of the SEC assuming the Company will continue as a going concern.</w:t>
      </w:r>
    </w:p>
    <w:p>
      <w:pPr>
        <w:spacing w:after="0" w:line="1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is a clinical-stage biotechnology company with no product sales. Its primary source of financing is from the sale and issuance of common stock in public offerings as well as funding from the Biomedical Advanced Research and Development Authority (“HHS BARDA”), a division of the Administration for Strategic Preparedness and Response (“ASPR”) within the United States (“U.S.”) Department of Health and Human Services. In the past, we have also obtained funds from the issuance of common stock warrants, secured debt and preferred stock and from collaboration agreements. As of December 31, 2025, the Company had cash, cash equivalents and short-term investments of $63.8 million. The Company’s cash, cash equivalents and investments are sufficient to fund the Company’s planned operations for at least the period of 12 months from the date the consolidated financial statements are issued.</w:t>
      </w:r>
    </w:p>
    <w:p>
      <w:pPr>
        <w:spacing w:after="0" w:line="142"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4"/>
          <w:szCs w:val="14"/>
          <w:color w:val="auto"/>
        </w:rPr>
        <w:t>The Company will be dependent upon raising additional capital through placement of its common stock, notes or other securities, borrowings, or entering into a partnership with a strategic party in order to implement its business plan. There can be no assurance that the Company will be successful raising additional capital in order to continue as a going concern.</w:t>
      </w:r>
    </w:p>
    <w:p>
      <w:pPr>
        <w:spacing w:after="0" w:line="1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Based on management’s current plan, including updated assumptions around the continued execution under the 2024 ATI-RRPV Contract, and considering events occurring after the balance-sheet date, the Company reassessed its liquidity and going-concern evaluation. On November 4, 2025, the Company entered into (i) an Exclusive License and Collaboration Agreement (the “2025 License and Collaboration Agreement”) and (ii) a Securities Purchase Agreement (“2025 Securities Purchase Agreement”) with Dynavax Technologies Corporation (“Dynavax”). Per the 2025 License and Collaboration Agreement, the Company granted Dynavax an exclusive, worldwide license to develop and commercialize its investigational oral COVID-19 vaccine candidate. Dynavax agreed to pay the Company an up-front license fee of $25.0 million and, pursuant to the 2025 Securities Purchase Agreement, to purchase $5.0 million of the Company’s common stock at $0.45 per share. The Company received a total of approximately $30.0 million from these transactions. Together with the Company’s updated operating plan and ongoing cost-management initiatives, these proceeds extend the Company’s cash runway into the second quarter of 2027. Accordingly, management concluded that the conditions and events that previously raised substantial doubt about the Company’s ability to continue as a going concern have been alleviated. The accompanying consolidated financial statements have been prepared assuming that the Company will continue as a going concern, which contemplates the realization of assets and the settlement of liabilities and commitments in the normal course of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consolidated financial statements do not include any adjustments that might be necessary if the Company is unable to continue as a going concern.</w:t>
      </w:r>
    </w:p>
    <w:p>
      <w:pPr>
        <w:spacing w:after="0" w:line="176"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Basis of Consolidation </w:t>
      </w:r>
      <w:r>
        <w:rPr>
          <w:rFonts w:ascii="Times New Roman" w:cs="Times New Roman" w:eastAsia="Times New Roman" w:hAnsi="Times New Roman"/>
          <w:sz w:val="14"/>
          <w:szCs w:val="14"/>
          <w:color w:val="auto"/>
        </w:rPr>
        <w:t>– The consolidated financial statements include the financial statements of Vaxart, Inc. and its subsidiaries. All significant transactions and balances between Vaxart, Inc.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subsidiaries have been eliminated in consolidation.</w:t>
      </w:r>
    </w:p>
    <w:p>
      <w:pPr>
        <w:spacing w:after="0" w:line="12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Use of Estimates </w:t>
      </w:r>
      <w:r>
        <w:rPr>
          <w:rFonts w:ascii="Times New Roman" w:cs="Times New Roman" w:eastAsia="Times New Roman" w:hAnsi="Times New Roman"/>
          <w:sz w:val="14"/>
          <w:szCs w:val="14"/>
          <w:color w:val="auto"/>
        </w:rPr>
        <w:t>– The preparation of consolidated financial statements in conformity with U.S. GAAP requires the Company to make estimates and assumptions that affect the reported amounts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assets, liabilities (including accrued clinical and manufacturing accruals described within this </w:t>
      </w:r>
      <w:r>
        <w:rPr>
          <w:rFonts w:ascii="Times New Roman" w:cs="Times New Roman" w:eastAsia="Times New Roman" w:hAnsi="Times New Roman"/>
          <w:sz w:val="14"/>
          <w:szCs w:val="14"/>
          <w:u w:val="single" w:color="auto"/>
          <w:color w:val="0000EE"/>
        </w:rPr>
        <w:t>Note 2</w:t>
      </w:r>
      <w:r>
        <w:rPr>
          <w:rFonts w:ascii="Times New Roman" w:cs="Times New Roman" w:eastAsia="Times New Roman" w:hAnsi="Times New Roman"/>
          <w:sz w:val="14"/>
          <w:szCs w:val="14"/>
          <w:color w:val="auto"/>
        </w:rPr>
        <w:t>), revenues and expenses and disclosure of contingent assets and liabilities in the consolidated financial statements and accompanying notes. Actual results and outcomes could differ from these estimates and assumptions.</w:t>
      </w:r>
    </w:p>
    <w:p>
      <w:pPr>
        <w:spacing w:after="0" w:line="133"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Foreign Currencies </w:t>
      </w:r>
      <w:r>
        <w:rPr>
          <w:rFonts w:ascii="Times New Roman" w:cs="Times New Roman" w:eastAsia="Times New Roman" w:hAnsi="Times New Roman"/>
          <w:sz w:val="14"/>
          <w:szCs w:val="14"/>
          <w:color w:val="auto"/>
        </w:rPr>
        <w:t>– Foreign exchange gains and losses for assets and liabilities of the Company’s non-U.S. subsidiaries for which the functional currency is the U.S. dollar are recorded in foreign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gain or loss, net within other income and (expenses) in the Company’s consolidated statements of operations and comprehensive income (loss). The Company has no subsidiaries for which the local currency is the functional currency.</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Cash and Cash Equivalents </w:t>
      </w:r>
      <w:r>
        <w:rPr>
          <w:rFonts w:ascii="Times New Roman" w:cs="Times New Roman" w:eastAsia="Times New Roman" w:hAnsi="Times New Roman"/>
          <w:sz w:val="14"/>
          <w:szCs w:val="14"/>
          <w:color w:val="auto"/>
        </w:rPr>
        <w:t>– The Company considers all highly liquid debt investments with an original maturity of three months or less when purchased to be cash equivalents. Cash equivalents,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which may consist of amounts invested in money market funds, corporate bonds and commercial paper, are stated at fair value.</w:t>
      </w:r>
    </w:p>
    <w:p>
      <w:pPr>
        <w:spacing w:after="0" w:line="121"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Short-term Investments </w:t>
      </w:r>
      <w:r>
        <w:rPr>
          <w:rFonts w:ascii="Times New Roman" w:cs="Times New Roman" w:eastAsia="Times New Roman" w:hAnsi="Times New Roman"/>
          <w:sz w:val="14"/>
          <w:szCs w:val="14"/>
          <w:color w:val="auto"/>
        </w:rPr>
        <w:t>– Excess cash balances may be invested in marketable debt securities. All marketable debt securities that are readily convertible to known amounts of cash with stated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maturities greater than three months when purchased are classified as investments.</w:t>
      </w:r>
    </w:p>
    <w:p>
      <w:pPr>
        <w:spacing w:after="0" w:line="12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The Company determines the appropriate classification of its investments in marketable debt securities at the time of purchase and reevaluates such designation at each balance sheet date. Marketable debt securities are classified and accounted for as available-for-sale. The Company does not generally intend to sell the investments and it is more likely than not that the investments will not be required to be sold before recovery of the amortized cost bases, which may be at maturity.</w:t>
      </w:r>
    </w:p>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Marketable debt securities are carried at fair value and unrealized gains and losses, net of taxes, are reported as a component of stockholders’ equity. Any realized gains or losses on the sale of marketable debt securities are determined on a specific identification method, and such gains and losses are recorded as a component of other income (expense). Available-for-sale investments are classified as either current or non-current assets based on each instrument’s underlying effective maturity date and whether the Company has the intent and ability to hold the investment for a period of greater than 12 months. Marketable debt securities with remaining maturities of 12 months or less are classified as current and are reported as short-term investments in the consolidated balance sheets. Marketable debt securities with remaining maturities of more than 12 months for which the Company has the intent and ability to hold the investment for more than 12 months are classified as non-current and are included in long-term investments in the consolidated balance sheets.</w:t>
      </w:r>
    </w:p>
    <w:p>
      <w:pPr>
        <w:spacing w:after="0" w:line="145"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The Company excludes the applicable accrued interest from both the fair value and amortized cost basis of marketable debt securities for purposes of identifying and measuring an impairment. Accrued interest receivable on marketable debt securities is recorded within prepaid expenses and other current assets on the balance sheets. The Company’s accounting policy is to not measure an allowance for credit loss for accrued interest receivable and to write-off any uncollectible accrued interest receivable as a reversal of interest income in a timely manner, which is considered to be in the period in which it is determined the accrued interest will not be collected.</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At each reporting date, the Company evaluates marketable debt securities with unrealized losses to determine whether such losses, if any, are due to credit-related factors. The Company records an allowance for credit losses when unrealized losses are due to credit-related factors. The Company evaluates, among other factors, whether the Company has the intention to sell any of its investments and whether it is more likely than not that the Company will be required to sell any of them before recovery of the amortized cost basis. Neither of these criteria were met in any period presented. In addition, the Company invests in marketable debt securities with high credit ratings that are classified in Level 1 and 2 of the fair value hierarchy and it has received and expects to continue to receive interest and principal payments as the investments become due. Based on this evaluation, as of December 31, 2025 and 2024, the Company determined that unrealized losses of its marketable debt securities were primarily attributable to changes in interest rates and other non-credit related factors. As such, no allowance for credit losses were recorded for the years ended December 31, 2025 and 2024.</w:t>
      </w:r>
    </w:p>
    <w:p>
      <w:pPr>
        <w:spacing w:after="0" w:line="14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Concentration of Credit Risk </w:t>
      </w:r>
      <w:r>
        <w:rPr>
          <w:rFonts w:ascii="Times New Roman" w:cs="Times New Roman" w:eastAsia="Times New Roman" w:hAnsi="Times New Roman"/>
          <w:sz w:val="14"/>
          <w:szCs w:val="14"/>
          <w:color w:val="auto"/>
        </w:rPr>
        <w:t>– Financial instruments that potentially subject the Company to significant concentrations of credit risk consist principally of cash, cash equivalents, available-for-sale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investments and accounts receivable. The Company places its cash, cash equivalents and available-for-sale investments at financial institutions that the Company believes are of high credit quality. The Company is exposed to credit risk in the event of default by the financial institutions holding the cash and cash equivalents to the extent such amounts are in excess of the federally insured limits. Losses incurred or a lack of access to such funds could have a significant adverse impact on the Company’s financial condition, results of operations, and cash flows.</w:t>
      </w:r>
    </w:p>
    <w:p>
      <w:pPr>
        <w:spacing w:after="0" w:line="13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4"/>
          <w:szCs w:val="14"/>
          <w:color w:val="auto"/>
        </w:rPr>
        <w:t>The primary focus of the Company’s investment strategy is to preserve capital and meet liquidity requirements. The Company’s investment policy addresses the level of credit exposure by limiting the concentration in any one corporate issuer or sector and establishing a minimum allowable credit rating.</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b w:val="1"/>
          <w:bCs w:val="1"/>
          <w:color w:val="auto"/>
        </w:rPr>
        <w:t xml:space="preserve">Accounts Receivable and Unbilled Receivable from Government Contracts </w:t>
      </w:r>
      <w:r>
        <w:rPr>
          <w:rFonts w:ascii="Times New Roman" w:cs="Times New Roman" w:eastAsia="Times New Roman" w:hAnsi="Times New Roman"/>
          <w:sz w:val="14"/>
          <w:szCs w:val="14"/>
          <w:color w:val="auto"/>
        </w:rPr>
        <w:t>– Accounts receivable consists of government contract receivables from HHS BARDA for allowable cost-plus-fixed-fees and firm fixed-price, and royalty revenue receivable for sales, net of estimated returns, of Inavir and are reported at amounts expected to be collected in future periods. Unbilled receivable from government contracts consists of government revenue from HHS BARDA, which was earned and not yet billed. An allowance for expected credit losses over the life of the receivables is reserved for based on a combination of historical experience, aging analysis, current economic trends and information on specific accounts, with related amounts recorded as a reserve against revenue recognized. The reserve is re-evaluated on a regular basis and adjusted as needed. Once a receivable is deemed to be uncollectible, such balance is charged against the reserve. The Company has provided no allowance for credit losses as of December 31, 2025 and 2024.</w:t>
      </w:r>
    </w:p>
    <w:p>
      <w:pPr>
        <w:spacing w:after="0" w:line="14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4"/>
          <w:szCs w:val="14"/>
          <w:color w:val="auto"/>
        </w:rPr>
        <w:t>Accounts receivable and unbilled receivable from government contracts are subject to concentration risk whenever a customer has a balance that meets or exceeds 10% of the Company's total accounts receivable balance or has a balance that meets or exceeds 10% of the Company's total unbilled receivable balance. As of December 31, 2025, HHS BARDA represented 98% of the Company's total accounts receivable balance and 100% of the Company's total unbilled receivable balance. As of December 31, 2024, Daiichi Sankyo represented 52% of the Company's total accounts receivable balance, HHS BARDA represented 48% of the Company's total accounts receivable balance and HHS BARDA represented 100% of the Company's total unbilled receivable balance.</w:t>
      </w:r>
    </w:p>
    <w:p>
      <w:pPr>
        <w:spacing w:after="0" w:line="14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Prepaid Expenses and Prepaid Clinical Services, Long-Term </w:t>
      </w:r>
      <w:r>
        <w:rPr>
          <w:rFonts w:ascii="Times New Roman" w:cs="Times New Roman" w:eastAsia="Times New Roman" w:hAnsi="Times New Roman"/>
          <w:sz w:val="14"/>
          <w:szCs w:val="14"/>
          <w:color w:val="auto"/>
        </w:rPr>
        <w:t>– Prepaid expenses and prepaid clinical services, long-term consist of amounts paid in advance for services to be received in future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periods and are recorded as assets when paid. Prepaid expenses are expensed when such amounts are utilized against costs from a specific vendor. Prepaid expenses are presented as short term (in prepaid expenses and other current assets) or long term (in prepaid clinical services, long-term) depending on whether such assets are expected to be utilized within one year. In circumstances where the vendor needs to approve that prepaid expenses can be applied (such as by issuing a credit memo), the Company will continue to classify such expenses as long term (in prepaid clinical services, long-term).</w:t>
      </w:r>
    </w:p>
    <w:p>
      <w:pPr>
        <w:spacing w:after="0" w:line="139"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Property and Equipment </w:t>
      </w:r>
      <w:r>
        <w:rPr>
          <w:rFonts w:ascii="Times New Roman" w:cs="Times New Roman" w:eastAsia="Times New Roman" w:hAnsi="Times New Roman"/>
          <w:sz w:val="14"/>
          <w:szCs w:val="14"/>
          <w:color w:val="auto"/>
        </w:rPr>
        <w:t>– Property and equipment is carried at cost less accumulated depreciation. Depreciation is computed using the straight-line method over the estimated useful lives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respective assets. Depreciation begins at the time the asset is placed in service. Maintenance and repairs are charged to operations as incurred. Upon sale or retirement of assets, the cost and related accumulated depreciation are removed from the consolidated balance sheets and the resulting gain or loss is reflected in other income and (expenses) in the period realized.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useful lives of the property and equipment are as follows:</w:t>
            </w:r>
          </w:p>
        </w:tc>
        <w:tc>
          <w:tcPr>
            <w:tcW w:w="5380" w:type="dxa"/>
            <w:vAlign w:val="bottom"/>
          </w:tcPr>
          <w:p>
            <w:pPr>
              <w:spacing w:after="0"/>
              <w:rPr>
                <w:sz w:val="15"/>
                <w:szCs w:val="15"/>
                <w:color w:val="auto"/>
              </w:rPr>
            </w:pPr>
          </w:p>
        </w:tc>
      </w:tr>
      <w:tr>
        <w:trPr>
          <w:trHeight w:val="170"/>
        </w:trPr>
        <w:tc>
          <w:tcPr>
            <w:tcW w:w="11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538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 (in years)</w:t>
            </w:r>
          </w:p>
        </w:tc>
        <w:tc>
          <w:tcPr>
            <w:tcW w:w="53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5</w:t>
            </w:r>
          </w:p>
        </w:tc>
      </w:tr>
      <w:tr>
        <w:trPr>
          <w:trHeight w:val="170"/>
        </w:trPr>
        <w:tc>
          <w:tcPr>
            <w:tcW w:w="1120" w:type="dxa"/>
            <w:vAlign w:val="bottom"/>
          </w:tcPr>
          <w:p>
            <w:pPr>
              <w:spacing w:after="0"/>
              <w:rPr>
                <w:sz w:val="14"/>
                <w:szCs w:val="14"/>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and computer equipment (in years)</w:t>
            </w:r>
          </w:p>
        </w:tc>
        <w:tc>
          <w:tcPr>
            <w:tcW w:w="538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3</w:t>
            </w:r>
          </w:p>
        </w:tc>
      </w:tr>
      <w:tr>
        <w:trPr>
          <w:trHeight w:val="170"/>
        </w:trPr>
        <w:tc>
          <w:tcPr>
            <w:tcW w:w="1120" w:type="dxa"/>
            <w:vAlign w:val="bottom"/>
          </w:tcPr>
          <w:p>
            <w:pPr>
              <w:spacing w:after="0"/>
              <w:rPr>
                <w:sz w:val="14"/>
                <w:szCs w:val="14"/>
                <w:color w:val="auto"/>
              </w:rPr>
            </w:pPr>
          </w:p>
        </w:tc>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538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Shorter of remaining lease term or estimated useful life</w:t>
            </w:r>
          </w:p>
        </w:tc>
      </w:tr>
    </w:tbl>
    <w:p>
      <w:pPr>
        <w:spacing w:after="0" w:line="153" w:lineRule="exact"/>
        <w:rPr>
          <w:sz w:val="20"/>
          <w:szCs w:val="20"/>
          <w:color w:val="auto"/>
        </w:rPr>
      </w:pPr>
    </w:p>
    <w:p>
      <w:pPr>
        <w:jc w:val="both"/>
        <w:ind w:right="180"/>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Goodwill and Other Intangible Assets </w:t>
      </w:r>
      <w:r>
        <w:rPr>
          <w:rFonts w:ascii="Times New Roman" w:cs="Times New Roman" w:eastAsia="Times New Roman" w:hAnsi="Times New Roman"/>
          <w:sz w:val="14"/>
          <w:szCs w:val="14"/>
          <w:color w:val="auto"/>
        </w:rPr>
        <w:t>– Goodwill, which represents the excess of the purchase price over the fair value of assets acquired, is not amortized. Intangible assets comprise developed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and intellectual property. Intangible assets are carried at cost less accumulated amortization. Amortization is computed using the straight-line method over useful life of 11.75 years for developed technology and 20 years for intellectual property.</w:t>
      </w:r>
    </w:p>
    <w:p>
      <w:pPr>
        <w:spacing w:after="0" w:line="13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Impairment of Long-Lived Assets </w:t>
      </w:r>
      <w:r>
        <w:rPr>
          <w:rFonts w:ascii="Times New Roman" w:cs="Times New Roman" w:eastAsia="Times New Roman" w:hAnsi="Times New Roman"/>
          <w:sz w:val="14"/>
          <w:szCs w:val="14"/>
          <w:color w:val="auto"/>
        </w:rPr>
        <w:t>– The Company reviews its long-lived assets, including property and equipment, goodwill and intangible assets with finite lives, for impairment in the fourth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quarter of each year, and more frequently whenever events or changes in circumstances indicate the carrying amount of these assets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are less than the assets’ carrying value, the related assets will be written down to fair value. The Company assessed its developed technology as not impaired in the years ended December 31, 2025 and 2024 (see </w:t>
      </w:r>
      <w:r>
        <w:rPr>
          <w:rFonts w:ascii="Times New Roman" w:cs="Times New Roman" w:eastAsia="Times New Roman" w:hAnsi="Times New Roman"/>
          <w:sz w:val="14"/>
          <w:szCs w:val="14"/>
          <w:u w:val="single" w:color="auto"/>
          <w:color w:val="0000EE"/>
        </w:rPr>
        <w:t>Note 4</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Accrued Clinical and Manufacturing Expenses </w:t>
      </w:r>
      <w:r>
        <w:rPr>
          <w:rFonts w:ascii="Times New Roman" w:cs="Times New Roman" w:eastAsia="Times New Roman" w:hAnsi="Times New Roman"/>
          <w:sz w:val="14"/>
          <w:szCs w:val="14"/>
          <w:color w:val="auto"/>
        </w:rPr>
        <w:t>– The Company accrues for estimated costs of research and development activities conducted by third-party service providers, which include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conduct of preclinical studies and clinical trials, and contract manufacturing activities. The Company records the estimated costs of research and development activities based upon the estimated amount of services provided and includes the costs incurred but not yet invoiced within other accrued liabilities in the consolidated balance sheets and within research and development expense in the consolidated statements of operations and comprehensive income (loss). These costs can be a significant component of the Company’s research and development expenses.</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4"/>
          <w:szCs w:val="14"/>
          <w:color w:val="auto"/>
        </w:rPr>
        <w:t>The Company estimates the amount of services provided through discussions with internal personnel and external service providers as to the progress or stage of completion of the services and the agreed-upon fee to be paid for such services. The Company makes significant judgments and estimates in determining the accrued balance in each reporting period. As actual costs become known, it adjusts its accrued estimates. Although the Company does not expect its estimates to be materially different from amounts actually incurred, its understanding of the status and timing of services performed, the number of subjects enrolled, and the rate of enrollment may vary from its estimates and could result in the Company reporting amounts that are too high or too low in any particular period. The Company’s accrued expenses are dependent, in part, upon the receipt of timely and accurate reporting from contract research organizations and other third-party service providers. To date, the Company has not experienced any material differences between accrued costs and actual costs incurred.</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Leases </w:t>
      </w:r>
      <w:r>
        <w:rPr>
          <w:rFonts w:ascii="Times New Roman" w:cs="Times New Roman" w:eastAsia="Times New Roman" w:hAnsi="Times New Roman"/>
          <w:sz w:val="14"/>
          <w:szCs w:val="14"/>
          <w:color w:val="auto"/>
        </w:rPr>
        <w:t>– The Company records operating leases as right-of-use assets and operating lease liabilities in its consolidated balance sheets for all operating leases with terms exceeding one year. Right-of-use assets represent the right to use an underlying asset for the lease term, including extension options considered reasonably certain to be exercised, and operating lease liabilities to make lease payments. Right-of-use assets and operating lease liabilities are recognized based on the present value of lease payments over the lease term. To the extent that lease agreements do not provide an implicit rate, the Company uses its incremental borrowing rate based on information available at the lease commencement date to determine the present value of lease payments. We account for lease modifications that are not separate leases by remeasuring the lease liability at the effective date of modification using updated lease terms and discount rates, with a corresponding adjustment to right-of-use assets. The expense for operating lease payments is recognized on a straight-line basis over the lease term and is included in operating expenses in the Company’s consolidated statement of operations and comprehensive income (loss). The Company has elected to not separate lease and non-lease components of facilities leases, whereas non-lease components of equipment leases are accounted for separately from lease components.</w:t>
      </w:r>
    </w:p>
    <w:p>
      <w:pPr>
        <w:spacing w:after="0" w:line="14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Revenue Recognition </w:t>
      </w:r>
      <w:r>
        <w:rPr>
          <w:rFonts w:ascii="Times New Roman" w:cs="Times New Roman" w:eastAsia="Times New Roman" w:hAnsi="Times New Roman"/>
          <w:sz w:val="14"/>
          <w:szCs w:val="14"/>
          <w:color w:val="auto"/>
        </w:rPr>
        <w:t>– The Company recognizes revenue when it transfers control of promised goods or services to its customers, in an amount that reflects the consideration which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expects to receive in exchange for those goods or services. To determine revenue recognition, the Company performs the following five steps:</w:t>
      </w:r>
    </w:p>
    <w:p>
      <w:pPr>
        <w:spacing w:after="0" w:line="123" w:lineRule="exact"/>
        <w:rPr>
          <w:sz w:val="20"/>
          <w:szCs w:val="20"/>
          <w:color w:val="auto"/>
        </w:rPr>
      </w:pPr>
    </w:p>
    <w:p>
      <w:pPr>
        <w:ind w:left="760" w:hanging="501"/>
        <w:spacing w:after="0"/>
        <w:tabs>
          <w:tab w:leader="none" w:pos="7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of the promised goods or services in the contract;</w:t>
      </w:r>
    </w:p>
    <w:p>
      <w:pPr>
        <w:spacing w:after="0" w:line="199" w:lineRule="exact"/>
        <w:rPr>
          <w:rFonts w:ascii="Times New Roman" w:cs="Times New Roman" w:eastAsia="Times New Roman" w:hAnsi="Times New Roman"/>
          <w:sz w:val="14"/>
          <w:szCs w:val="14"/>
          <w:color w:val="auto"/>
        </w:rPr>
      </w:pPr>
    </w:p>
    <w:p>
      <w:pPr>
        <w:ind w:left="760" w:hanging="501"/>
        <w:spacing w:after="0"/>
        <w:tabs>
          <w:tab w:leader="none" w:pos="7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determination of whether the promised goods or services are performance obligations including whether they are distinct in the context of the contract;</w:t>
      </w:r>
    </w:p>
    <w:p>
      <w:pPr>
        <w:spacing w:after="0" w:line="199" w:lineRule="exact"/>
        <w:rPr>
          <w:rFonts w:ascii="Times New Roman" w:cs="Times New Roman" w:eastAsia="Times New Roman" w:hAnsi="Times New Roman"/>
          <w:sz w:val="14"/>
          <w:szCs w:val="14"/>
          <w:color w:val="auto"/>
        </w:rPr>
      </w:pPr>
    </w:p>
    <w:p>
      <w:pPr>
        <w:ind w:left="760" w:hanging="501"/>
        <w:spacing w:after="0"/>
        <w:tabs>
          <w:tab w:leader="none" w:pos="7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measurement of the transaction price, including the constraint on variable consideration;</w:t>
      </w:r>
    </w:p>
    <w:p>
      <w:pPr>
        <w:spacing w:after="0" w:line="199" w:lineRule="exact"/>
        <w:rPr>
          <w:rFonts w:ascii="Times New Roman" w:cs="Times New Roman" w:eastAsia="Times New Roman" w:hAnsi="Times New Roman"/>
          <w:sz w:val="14"/>
          <w:szCs w:val="14"/>
          <w:color w:val="auto"/>
        </w:rPr>
      </w:pPr>
    </w:p>
    <w:p>
      <w:pPr>
        <w:ind w:left="760" w:hanging="501"/>
        <w:spacing w:after="0"/>
        <w:tabs>
          <w:tab w:leader="none" w:pos="7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allocation of the transaction price to the performance obligations based on estimated selling prices; and</w:t>
      </w:r>
    </w:p>
    <w:p>
      <w:pPr>
        <w:spacing w:after="0" w:line="199" w:lineRule="exact"/>
        <w:rPr>
          <w:rFonts w:ascii="Times New Roman" w:cs="Times New Roman" w:eastAsia="Times New Roman" w:hAnsi="Times New Roman"/>
          <w:sz w:val="14"/>
          <w:szCs w:val="14"/>
          <w:color w:val="auto"/>
        </w:rPr>
      </w:pPr>
    </w:p>
    <w:p>
      <w:pPr>
        <w:ind w:left="760" w:right="160" w:hanging="501"/>
        <w:spacing w:after="0" w:line="286" w:lineRule="auto"/>
        <w:tabs>
          <w:tab w:leader="none" w:pos="76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of revenue when (or as) the Company satisfies each performance obligation. A performance obligation is a promise in a contract to transfer a distinct good or service to the customer and is the unit of account.</w:t>
      </w:r>
    </w:p>
    <w:p>
      <w:pPr>
        <w:spacing w:after="0" w:line="12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4"/>
          <w:szCs w:val="14"/>
          <w:color w:val="auto"/>
        </w:rPr>
        <w:t>Revenue from royalties earned as a percentage of end-user sales, including milestone payments based on achieving a specified level of sales, where a license is deemed to be the predominant item to which the royalties relate, is recognized as revenue at the later of (i) when the related sales occur, or (ii) when the performance obligation to which some or all of the royalty has been allocated has been satisfied (or partially satisfied), as required under the sales- and usage-based royalty exception.</w:t>
      </w:r>
    </w:p>
    <w:p>
      <w:pPr>
        <w:spacing w:after="0" w:line="1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Revenue from contracts with customers is recognized ratably, based on costs incurred, as the Company provides promised services to its customers in amounts that reflect the consideration that the Company expects to receive for those services.</w:t>
      </w:r>
    </w:p>
    <w:p>
      <w:pPr>
        <w:spacing w:after="0" w:line="1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4"/>
          <w:szCs w:val="14"/>
          <w:color w:val="auto"/>
        </w:rPr>
        <w:t>The accounting for license and collaboration agreements requires significant judgment due to the complexity of the contractual terms and the application of revenue recognition guidance. In particular, the Company is required to evaluate whether performance obligations are satisfied over time or at a point in time and to determine the appropriate measure of progress for performance obligations satisfied over time. Estimating total expected inputs involves significant judgment and requires the Company to make assumptions regarding the scope of work, expected costs, and other factors that may not be fully known at contract inception. These estimates are reviewed and updated on a periodic basis as additional information becomes available. Changes in estimates of total expected inputs or changes in the assessment of the timing of satisfaction of performance obligations may result in cumulative catch-up adjustments to revenue in the period in which the changes are identified, which could be material to the Company’s consolidated financial statements.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from Government Contracts</w:t>
      </w:r>
    </w:p>
    <w:p>
      <w:pPr>
        <w:spacing w:after="0" w:line="180"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4"/>
          <w:szCs w:val="14"/>
          <w:color w:val="auto"/>
        </w:rPr>
        <w:t>Under firm fixed-price milestone contracts, the Company recognizes the firm fixed-price revenue as the milestones are substantially complete and the firm fixed-price for the milestone is earned (“firm fixed-price milestone”). Cash received in advance of the completion of a firm fixed-price milestone will be recorded as deferred revenue until the milestone has been substantially completed and earned.</w:t>
      </w:r>
    </w:p>
    <w:p>
      <w:pPr>
        <w:spacing w:after="0" w:line="137"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4"/>
          <w:szCs w:val="14"/>
          <w:color w:val="auto"/>
        </w:rPr>
        <w:t xml:space="preserve">Under cost reimbursable contracts, the Company recognizes revenue as allowable costs are incurred and the fixed fee is earned (“cost-plus-fixed-fee”). Reimbursable costs under the contract primarily include direct labor, subcontract costs, materials, equipment, travel, and approved overhead and indirect costs. Fixed fees under cost reimbursable contracts are earned in proportion to the allowable costs incurred in performance of the work relative to total estimated contract costs, with such costs incurred representing a reasonable measurement of the proportional performance of the work completed, as detailed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Payments to the Company under cost reimbursable contracts are provisional payments subject to adjustment upon annual audit by the government. The Company believes that revenue for</w:t>
      </w:r>
    </w:p>
    <w:p>
      <w:pPr>
        <w:spacing w:after="0" w:line="2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4"/>
          <w:szCs w:val="14"/>
          <w:color w:val="auto"/>
        </w:rPr>
        <w:t>periods not yet audited has been recorded in amounts that are expected to be realized upon final audit and settlement. When the final determination of the allowable costs for any year has been made, revenue and billings may be adjusted accordingly in the period that the adjustment is known.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Revenue from the 2025 License and Collaboration Agreement</w:t>
      </w:r>
    </w:p>
    <w:p>
      <w:pPr>
        <w:spacing w:after="0" w:line="180" w:lineRule="exact"/>
        <w:rPr>
          <w:sz w:val="20"/>
          <w:szCs w:val="20"/>
          <w:color w:val="auto"/>
        </w:rPr>
      </w:pPr>
    </w:p>
    <w:p>
      <w:pPr>
        <w:jc w:val="both"/>
        <w:ind w:right="280"/>
        <w:spacing w:after="0" w:line="269" w:lineRule="auto"/>
        <w:rPr>
          <w:sz w:val="20"/>
          <w:szCs w:val="20"/>
          <w:color w:val="auto"/>
        </w:rPr>
      </w:pPr>
      <w:r>
        <w:rPr>
          <w:rFonts w:ascii="Times New Roman" w:cs="Times New Roman" w:eastAsia="Times New Roman" w:hAnsi="Times New Roman"/>
          <w:sz w:val="14"/>
          <w:szCs w:val="14"/>
          <w:color w:val="auto"/>
        </w:rPr>
        <w:t>The Company enters into license and collaboration agreements that may include the grant of licenses to intellectual property, research and development services, participation on joint governance committees, and manufacturing technology transfer. The terms of such arrangements may include non-refundable upfront payments, development and regulatory milestone payments, sales-based milestone payments, royalties on future product sales, and other contingent payments.</w:t>
      </w:r>
    </w:p>
    <w:p>
      <w:pPr>
        <w:spacing w:after="0" w:line="13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The Company accounts for its license and collaboration agreements in accordance with ASC 606, Revenue from Contracts with Customers. Under ASC 606, the Company identifies the performance obligations in the contract, determines the transaction price, allocates the transaction price to the identified performance obligations based on their relative standalone selling prices, and recognizes revenue when, or as, the performance obligations are satisfied.</w:t>
      </w:r>
    </w:p>
    <w:p>
      <w:pPr>
        <w:spacing w:after="0" w:line="13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Performance obligations under these arrangements may include licenses to intellectual property and research and development services. The Company evaluates whether licenses are distinct from other promised services and whether they represent functional intellectual property that provides a right to use intellectual property as it exists at a point in time or symbolic intellectual property that provides a right to access intellectual property over time. Licenses determined to be functional intellectual property are recognized at a point in time when control transfers to the customer. Research and development services are generally recognized over time as the services are performed.</w:t>
      </w:r>
    </w:p>
    <w:p>
      <w:pPr>
        <w:spacing w:after="0" w:line="140"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4"/>
          <w:szCs w:val="14"/>
          <w:color w:val="auto"/>
        </w:rPr>
        <w:t>The transaction price may include fixed consideration, such as upfront payments, and variable consideration, such as milestone payments and royalties. Variable consideration is included in the transaction price only to the extent that it is probable that a significant reversal of cumulative revenue recognized will not occur when the uncertainty associated with the variable consideration is resolved. Milestone payments that are not subject to the sales-based royalty exception are evaluated under the variable consideration constraint and recognized when the associated uncertainty is resolved. Sales-based milestone payments and royalties are recognized as revenue when the underlying sales occur.</w:t>
      </w:r>
    </w:p>
    <w:p>
      <w:pPr>
        <w:spacing w:after="0" w:line="14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4"/>
          <w:szCs w:val="14"/>
          <w:color w:val="auto"/>
        </w:rPr>
        <w:t>For performance obligations satisfied over time, the Company measures progress using an input method based on costs incurred relative to total estimated costs to complete the performance obligation. Estimates of total costs are reassessed at each reporting period, and adjustments to revenue are recorded as a cumulative catch-up if estimates change.</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4"/>
          <w:szCs w:val="14"/>
          <w:b w:val="1"/>
          <w:bCs w:val="1"/>
          <w:color w:val="auto"/>
        </w:rPr>
        <w:t xml:space="preserve">Research and Development Costs </w:t>
      </w:r>
      <w:r>
        <w:rPr>
          <w:rFonts w:ascii="Times New Roman" w:cs="Times New Roman" w:eastAsia="Times New Roman" w:hAnsi="Times New Roman"/>
          <w:sz w:val="14"/>
          <w:szCs w:val="14"/>
          <w:color w:val="auto"/>
        </w:rPr>
        <w:t>– Research and development costs are expensed as incurred. Research and development costs consist primarily of salaries and benefits, stock-based compensation,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consultant fees, third-party costs for conducting clinical trials and the manufacture of clinical trial materials, certain facility costs and other costs associated with clinical trials. Payments made to other entities are under agreements that are generally cancelable by the Company. Advance payments for research and development activities are recorded as prepaid expenses. The prepaid amounts are expensed as the related services are performed.</w:t>
      </w:r>
    </w:p>
    <w:p>
      <w:pPr>
        <w:spacing w:after="0" w:line="13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4"/>
          <w:szCs w:val="14"/>
          <w:color w:val="auto"/>
        </w:rPr>
        <w:t>For the year ended December 31, 2025, one clinical research organization (“CRO”) and one analytical testing vendor collectively represented 76% of the Company's total research and development costs. For the year ended December 31, 2024, one CRO represented 18% of the Company's total research and development costs.</w:t>
      </w:r>
    </w:p>
    <w:p>
      <w:pPr>
        <w:spacing w:after="0" w:line="12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Stock-Based Compensation </w:t>
      </w:r>
      <w:r>
        <w:rPr>
          <w:rFonts w:ascii="Times New Roman" w:cs="Times New Roman" w:eastAsia="Times New Roman" w:hAnsi="Times New Roman"/>
          <w:sz w:val="14"/>
          <w:szCs w:val="14"/>
          <w:color w:val="auto"/>
        </w:rPr>
        <w:t>– Stock-based compensation arrangements include stock option grants and restricted stock units (“RSU”s) awards under our equity incentive plans, as well as shares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issued under our Employee Stock Purchase Plan (“ESPP”), through which employees may purchase our common stock at a discount to the market price. Stock-based compensation is measured at the grant date for all stock-based awards made to employees and non-employees based on the fair value of the awards, net of estimated forfeitures. Compensation expense for purchases under the ESPP is recognized based on the fair value of the award on the date of offering. The fair value of these awards is estimated using the Black-Scholes valuation model. The expected term of each option is estimated by taking the arithmetic average of its original contractual term and its average vesting term.</w:t>
      </w:r>
    </w:p>
    <w:p>
      <w:pPr>
        <w:spacing w:after="0" w:line="139"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4"/>
          <w:szCs w:val="14"/>
          <w:b w:val="1"/>
          <w:bCs w:val="1"/>
          <w:color w:val="auto"/>
        </w:rPr>
        <w:t xml:space="preserve">Net Income (Loss) Per Share </w:t>
      </w:r>
      <w:r>
        <w:rPr>
          <w:rFonts w:ascii="Times New Roman" w:cs="Times New Roman" w:eastAsia="Times New Roman" w:hAnsi="Times New Roman"/>
          <w:sz w:val="14"/>
          <w:szCs w:val="14"/>
          <w:color w:val="auto"/>
        </w:rPr>
        <w:t>– Basic net income (loss) per share is computed by dividing net income (loss) by the weighted average number of common shares outstanding during the period,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consideration of potential common shares.</w:t>
      </w:r>
    </w:p>
    <w:p>
      <w:pPr>
        <w:spacing w:after="0" w:line="123"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Diluted net income (loss) per common share is computed giving effect to all potential dilutive common shares, comprising common stock issuable upon exercise of stock options, warrants, RSUs and ESPP. The Company uses the treasury-stock method to compute diluted income (loss) per share with respect to its stock options, warrants, RSUs and ESPP. For purposes of this calculation, options, warrants, RSUs and ESPP plan grants to purchase common stock are considered to be potential common shares and are only included in the calculation of diluted net income per share when their effect is dilutive. In the event of a net loss, the effects of all potentially dilutive shares are excluded from the diluted net loss per share calculation as their inclusion would be antidilutive.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Reclassifications </w:t>
      </w:r>
      <w:r>
        <w:rPr>
          <w:rFonts w:ascii="Times New Roman" w:cs="Times New Roman" w:eastAsia="Times New Roman" w:hAnsi="Times New Roman"/>
          <w:sz w:val="14"/>
          <w:szCs w:val="14"/>
          <w:color w:val="auto"/>
        </w:rPr>
        <w:t>– Prior year data is subject to reclassification to conform to current year presentation. No reclassifications were made for the years ended December 31, 2025 and 2024.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1530" cy="133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xml:space="preserve">, which enhances the annual income tax disclosures for the effective tax rate reconciliation and income taxes paid. ASU 2023-09 is effective for annual reporting periods beginning after December 15, 2024, with early adoption permitted. Income taxes information regarding the annual effective tax rate is now to be disclosed in a newly designed and expanded tabular format with mandatory prescriptive captions. Income tax payments, net of refunds received, will now be disclosed in the income tax footnotes, the disclosure of which would need to agree with the longstanding disclosure in the cash flow statement; and will be disaggregated by federal, states, and foreign jurisdictions and by “significant” jurisdictions within “states” and “foreign.” Companies can adopt the new requirements prospectively without revisions of comparative period disclosures but the income tax footnote disclosures in the year of adoption would not be comparable (2025 disclosures would follow the new requirements of ASU 2023-09, while the comparative-period disclosures of 2024 would follow the current disclosure requirements in ASC 740-50, </w:t>
      </w:r>
      <w:r>
        <w:rPr>
          <w:rFonts w:ascii="Times New Roman" w:cs="Times New Roman" w:eastAsia="Times New Roman" w:hAnsi="Times New Roman"/>
          <w:sz w:val="14"/>
          <w:szCs w:val="14"/>
          <w:i w:val="1"/>
          <w:iCs w:val="1"/>
          <w:color w:val="auto"/>
        </w:rPr>
        <w:t>Income Taxes–Disclosure,</w:t>
      </w:r>
      <w:r>
        <w:rPr>
          <w:rFonts w:ascii="Times New Roman" w:cs="Times New Roman" w:eastAsia="Times New Roman" w:hAnsi="Times New Roman"/>
          <w:sz w:val="14"/>
          <w:szCs w:val="14"/>
          <w:color w:val="auto"/>
        </w:rPr>
        <w:t xml:space="preserve"> and related SEC requirements). To maintain comparability, retroactive application to comparative-period disclosures is allowed. The Company adopted ASU 2023-09 on a prospective basis during the year ended December 31, 2025, with no material impact on its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 Not Yet Adopted</w:t>
      </w:r>
    </w:p>
    <w:p>
      <w:pPr>
        <w:spacing w:after="0" w:line="17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 Disaggregation of Income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Statement Expenses</w:t>
      </w:r>
      <w:r>
        <w:rPr>
          <w:rFonts w:ascii="Times New Roman" w:cs="Times New Roman" w:eastAsia="Times New Roman" w:hAnsi="Times New Roman"/>
          <w:sz w:val="14"/>
          <w:szCs w:val="14"/>
          <w:color w:val="auto"/>
        </w:rPr>
        <w:t>, which requires new disclosures to disaggregate prescribed natural expenses underlying any income statement caption. ASU 2024-03 is effective for annual reporting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beginning after December 15, 2026, and interim reporting periods beginning after December 15, 2027, with early adoption permitted. The Company is currently assessing the impact ASU 2024-03 will have on the consolidated financial statement disclosures.</w:t>
      </w:r>
    </w:p>
    <w:p>
      <w:pPr>
        <w:spacing w:after="0" w:line="13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Measurement of Credit Losses for Accounts Receivable and Contract Assets</w:t>
      </w:r>
      <w:r>
        <w:rPr>
          <w:rFonts w:ascii="Times New Roman" w:cs="Times New Roman" w:eastAsia="Times New Roman" w:hAnsi="Times New Roman"/>
          <w:sz w:val="14"/>
          <w:szCs w:val="14"/>
          <w:color w:val="auto"/>
        </w:rPr>
        <w:t>, introducing a practical expedient and an accounting policy election for certain entities in estimating expected credit losses for current accounts receivable and current contract assets arising from transactions within the scope of ASC 606, Revenue from Contracts with Customers. Under the practical expedient, entities may assume that current conditions as of the balance sheet date remain unchanged for the remaining life of the asset when developing forecasts.</w:t>
      </w:r>
    </w:p>
    <w:p>
      <w:pPr>
        <w:spacing w:after="0" w:line="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4"/>
          <w:szCs w:val="14"/>
          <w:color w:val="auto"/>
        </w:rPr>
        <w:t>ASU 2025-05 is effective for the Company beginning in the first quarter of 2026, with early adoption permitted, and should be applied prospectively. The Company is currently assessing the impact of the new guidance on its consolidated financial statement disclosures; however, no material effect is expected based on the current nature of the Company’s receivables and contract assets.</w:t>
      </w:r>
    </w:p>
    <w:p>
      <w:pPr>
        <w:spacing w:after="0" w:line="13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 Narrow-Scope Improvements,</w:t>
      </w:r>
      <w:r>
        <w:rPr>
          <w:rFonts w:ascii="Times New Roman" w:cs="Times New Roman" w:eastAsia="Times New Roman" w:hAnsi="Times New Roman"/>
          <w:sz w:val="14"/>
          <w:szCs w:val="14"/>
          <w:color w:val="auto"/>
        </w:rPr>
        <w:t xml:space="preserve">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assessing the impact ASU 2025-11 will have on the consolidated financial statement disclosures.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2025-12, </w:t>
      </w:r>
      <w:r>
        <w:rPr>
          <w:rFonts w:ascii="Times New Roman" w:cs="Times New Roman" w:eastAsia="Times New Roman" w:hAnsi="Times New Roman"/>
          <w:sz w:val="14"/>
          <w:szCs w:val="14"/>
          <w:i w:val="1"/>
          <w:iCs w:val="1"/>
          <w:color w:val="auto"/>
        </w:rPr>
        <w:t>Codification Improvements</w:t>
      </w:r>
      <w:r>
        <w:rPr>
          <w:rFonts w:ascii="Times New Roman" w:cs="Times New Roman" w:eastAsia="Times New Roman" w:hAnsi="Times New Roman"/>
          <w:sz w:val="14"/>
          <w:szCs w:val="14"/>
          <w:color w:val="auto"/>
        </w:rPr>
        <w:t>, which updates the Codification for a broad range of topics arising from technical corrections, unintended application of the Codification, clarifications, and other minor improvements. This ASU is effective for annual reporting periods beginning after December 15, 2026, and interim periods within those annual reporting periods, with early adoption permitted on an issue-by-issue basis. ASU 2025-12 is not expected to have a material effect on the Company's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Fair Value of Financial Instruments</w:t>
      </w:r>
    </w:p>
    <w:p>
      <w:pPr>
        <w:spacing w:after="0" w:line="180"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14"/>
          <w:szCs w:val="14"/>
          <w:color w:val="auto"/>
        </w:rPr>
        <w:t>Fair value accounting is applied for all financial assets and liabilities and nonfinancial assets and liabilities that are recognized or disclosed at fair value in the consolidated financial statements on a recurring basis (at least annually). Financial instruments include cash and cash equivalents, marketable securities, accounts receivable, accounts payable and accrued liabilities that approximate fair value due to their relatively short maturities.</w:t>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Assets and liabilities recorded at fair value on a recurring basis in the consolidated balance sheets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to sell an asset or paid to transfer a liability (an exit price) in an orderly transaction between market participants at the reporting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three-level hierarchy for the inputs to valuation techniques is briefly summarized as follows: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Inputs are unadjusted, quoted prices in active markets for identical assets or liabilities at the measurement date;</w:t>
      </w:r>
    </w:p>
    <w:p>
      <w:pPr>
        <w:spacing w:after="0" w:line="178" w:lineRule="exact"/>
        <w:rPr>
          <w:sz w:val="20"/>
          <w:szCs w:val="20"/>
          <w:color w:val="auto"/>
        </w:rPr>
      </w:pPr>
    </w:p>
    <w:p>
      <w:pPr>
        <w:ind w:left="520" w:right="80"/>
        <w:spacing w:after="0" w:line="286" w:lineRule="auto"/>
        <w:rPr>
          <w:sz w:val="20"/>
          <w:szCs w:val="20"/>
          <w:color w:val="auto"/>
        </w:rPr>
      </w:pPr>
      <w:r>
        <w:rPr>
          <w:rFonts w:ascii="Times New Roman" w:cs="Times New Roman" w:eastAsia="Times New Roman" w:hAnsi="Times New Roman"/>
          <w:sz w:val="14"/>
          <w:szCs w:val="14"/>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Unobservable inputs that are significant to the measurement of the fair value of the assets or liabilities that are supported by little or no market data.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fair value of the Company’s financial assets that are measured on a recurring basis as of December 31, 2025 and 2024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0"/>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assets: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Money market funds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46,164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46,164</w:t>
            </w:r>
          </w:p>
        </w:tc>
      </w:tr>
      <w:tr>
        <w:trPr>
          <w:trHeight w:val="170"/>
        </w:trPr>
        <w:tc>
          <w:tcPr>
            <w:tcW w:w="4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 Treasury securities</w:t>
            </w:r>
          </w:p>
        </w:tc>
        <w:tc>
          <w:tcPr>
            <w:tcW w:w="1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14,060</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14,060</w:t>
            </w:r>
          </w:p>
        </w:tc>
      </w:tr>
      <w:tr>
        <w:trPr>
          <w:trHeight w:val="200"/>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46,164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14,060</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60,224</w:t>
            </w:r>
          </w:p>
        </w:tc>
      </w:tr>
      <w:tr>
        <w:trPr>
          <w:trHeight w:val="309"/>
        </w:trPr>
        <w:tc>
          <w:tcPr>
            <w:tcW w:w="44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70"/>
        </w:trPr>
        <w:tc>
          <w:tcPr>
            <w:tcW w:w="4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Financial assets: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4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Money market funds</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16,489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16,489</w:t>
            </w:r>
          </w:p>
        </w:tc>
      </w:tr>
      <w:tr>
        <w:trPr>
          <w:trHeight w:val="170"/>
        </w:trPr>
        <w:tc>
          <w:tcPr>
            <w:tcW w:w="4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U.S. Treasury securities</w:t>
            </w:r>
          </w:p>
        </w:tc>
        <w:tc>
          <w:tcPr>
            <w:tcW w:w="1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23,805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23,805</w:t>
            </w:r>
          </w:p>
        </w:tc>
      </w:tr>
      <w:tr>
        <w:trPr>
          <w:trHeight w:val="170"/>
        </w:trPr>
        <w:tc>
          <w:tcPr>
            <w:tcW w:w="4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Commercial paper</w:t>
            </w:r>
          </w:p>
        </w:tc>
        <w:tc>
          <w:tcPr>
            <w:tcW w:w="15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2,689</w:t>
            </w:r>
          </w:p>
        </w:tc>
      </w:tr>
      <w:tr>
        <w:trPr>
          <w:trHeight w:val="160"/>
        </w:trPr>
        <w:tc>
          <w:tcPr>
            <w:tcW w:w="44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assets</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16,489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26,494</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42,983</w:t>
            </w:r>
          </w:p>
        </w:tc>
      </w:tr>
      <w:tr>
        <w:trPr>
          <w:trHeight w:val="20"/>
        </w:trPr>
        <w:tc>
          <w:tcPr>
            <w:tcW w:w="44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420" w:type="dxa"/>
            <w:vAlign w:val="bottom"/>
          </w:tcPr>
          <w:p>
            <w:pPr>
              <w:spacing w:after="0"/>
              <w:rPr>
                <w:sz w:val="20"/>
                <w:szCs w:val="20"/>
                <w:color w:val="auto"/>
              </w:rPr>
            </w:pPr>
            <w:r>
              <w:rPr>
                <w:rFonts w:ascii="Times New Roman" w:cs="Times New Roman" w:eastAsia="Times New Roman" w:hAnsi="Times New Roman"/>
                <w:sz w:val="14"/>
                <w:szCs w:val="14"/>
                <w:color w:val="auto"/>
              </w:rPr>
              <w:t>The Company held no financial liabilities measured on a recurring basis as of</w:t>
            </w: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December 31, 2025 or 2024.</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9"/>
        </w:trPr>
        <w:tc>
          <w:tcPr>
            <w:tcW w:w="4420" w:type="dxa"/>
            <w:vAlign w:val="bottom"/>
          </w:tcPr>
          <w:p>
            <w:pPr>
              <w:spacing w:after="0"/>
              <w:rPr>
                <w:sz w:val="24"/>
                <w:szCs w:val="24"/>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F- 43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86"/>
        </w:trPr>
        <w:tc>
          <w:tcPr>
            <w:tcW w:w="442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Balance Sheet Components</w:t>
      </w:r>
    </w:p>
    <w:p>
      <w:pPr>
        <w:spacing w:after="0" w:line="178" w:lineRule="exact"/>
        <w:rPr>
          <w:sz w:val="20"/>
          <w:szCs w:val="20"/>
          <w:color w:val="auto"/>
        </w:rPr>
      </w:pPr>
    </w:p>
    <w:p>
      <w:pPr>
        <w:ind w:left="600" w:hanging="341"/>
        <w:spacing w:after="0"/>
        <w:tabs>
          <w:tab w:leader="none" w:pos="600" w:val="left"/>
        </w:tabs>
        <w:numPr>
          <w:ilvl w:val="0"/>
          <w:numId w:val="8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Cash, Cash Equivalents, and Short-Term Investments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cash equivalents and investments consisted of the following (in thousands):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at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Money market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Treasury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97"/>
              </w:rPr>
              <w:t>Short-Term</w:t>
            </w:r>
          </w:p>
        </w:tc>
        <w:tc>
          <w:tcPr>
            <w:tcW w:w="0" w:type="dxa"/>
            <w:vAlign w:val="bottom"/>
          </w:tcPr>
          <w:p>
            <w:pPr>
              <w:spacing w:after="0"/>
              <w:rPr>
                <w:sz w:val="1"/>
                <w:szCs w:val="1"/>
                <w:color w:val="auto"/>
              </w:rPr>
            </w:pPr>
          </w:p>
        </w:tc>
      </w:tr>
      <w:tr>
        <w:trPr>
          <w:trHeight w:val="160"/>
        </w:trPr>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Investments</w:t>
            </w:r>
          </w:p>
        </w:tc>
        <w:tc>
          <w:tcPr>
            <w:tcW w:w="0" w:type="dxa"/>
            <w:vAlign w:val="bottom"/>
          </w:tcPr>
          <w:p>
            <w:pPr>
              <w:spacing w:after="0"/>
              <w:rPr>
                <w:sz w:val="1"/>
                <w:szCs w:val="1"/>
                <w:color w:val="auto"/>
              </w:rPr>
            </w:pPr>
          </w:p>
        </w:tc>
      </w:tr>
      <w:tr>
        <w:trPr>
          <w:trHeight w:val="315"/>
        </w:trPr>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3,583</w:t>
            </w:r>
          </w:p>
        </w:tc>
        <w:tc>
          <w:tcPr>
            <w:tcW w:w="12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46,164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46,164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46,164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14,063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14,060</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4,067</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9,993</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63,810</w:t>
            </w:r>
          </w:p>
        </w:tc>
        <w:tc>
          <w:tcPr>
            <w:tcW w:w="120" w:type="dxa"/>
            <w:vAlign w:val="bottom"/>
          </w:tcPr>
          <w:p>
            <w:pPr>
              <w:spacing w:after="0"/>
              <w:rPr>
                <w:sz w:val="13"/>
                <w:szCs w:val="13"/>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63,807</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53,814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9,993</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-2942590</wp:posOffset>
            </wp:positionH>
            <wp:positionV relativeFrom="paragraph">
              <wp:posOffset>-564515</wp:posOffset>
            </wp:positionV>
            <wp:extent cx="7161530" cy="1079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-349250</wp:posOffset>
            </wp:positionV>
            <wp:extent cx="7161530" cy="1079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-127000</wp:posOffset>
            </wp:positionV>
            <wp:extent cx="7161530" cy="1276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1530" cy="12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640"/>
          </w:cols>
          <w:pgMar w:left="300" w:top="125" w:right="319" w:bottom="1440" w:gutter="0" w:footer="0" w:header="0"/>
          <w:type w:val="continuous"/>
        </w:sectPr>
      </w:pP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Cash 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w w:val="97"/>
              </w:rPr>
              <w:t>Short-Term</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3"/>
                <w:szCs w:val="13"/>
                <w:color w:val="auto"/>
              </w:rPr>
            </w:pPr>
          </w:p>
        </w:tc>
        <w:tc>
          <w:tcPr>
            <w:tcW w:w="84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8"/>
              </w:rPr>
              <w:t>Equivalents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w w:val="99"/>
              </w:rPr>
              <w:t>Investments</w:t>
            </w:r>
          </w:p>
        </w:tc>
        <w:tc>
          <w:tcPr>
            <w:tcW w:w="0" w:type="dxa"/>
            <w:vAlign w:val="bottom"/>
          </w:tcPr>
          <w:p>
            <w:pPr>
              <w:spacing w:after="0"/>
              <w:rPr>
                <w:sz w:val="1"/>
                <w:szCs w:val="1"/>
                <w:color w:val="auto"/>
              </w:rPr>
            </w:pPr>
          </w:p>
        </w:tc>
      </w:tr>
      <w:tr>
        <w:trPr>
          <w:trHeight w:val="16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Cash at banks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8,740</w:t>
            </w:r>
          </w:p>
        </w:tc>
        <w:tc>
          <w:tcPr>
            <w:tcW w:w="12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8,740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Money market funds</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16,489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16,489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tcPr>
          <w:p>
            <w:pPr>
              <w:spacing w:after="0"/>
              <w:rPr>
                <w:sz w:val="14"/>
                <w:szCs w:val="1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23,802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23,805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23,805</w:t>
            </w:r>
          </w:p>
        </w:tc>
        <w:tc>
          <w:tcPr>
            <w:tcW w:w="0" w:type="dxa"/>
            <w:vAlign w:val="bottom"/>
          </w:tcPr>
          <w:p>
            <w:pPr>
              <w:spacing w:after="0"/>
              <w:rPr>
                <w:sz w:val="1"/>
                <w:szCs w:val="1"/>
                <w:color w:val="auto"/>
              </w:rPr>
            </w:pPr>
          </w:p>
        </w:tc>
      </w:tr>
      <w:tr>
        <w:trPr>
          <w:trHeight w:val="170"/>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2,688</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2,689</w:t>
            </w:r>
          </w:p>
        </w:tc>
        <w:tc>
          <w:tcPr>
            <w:tcW w:w="0" w:type="dxa"/>
            <w:vAlign w:val="bottom"/>
          </w:tcPr>
          <w:p>
            <w:pPr>
              <w:spacing w:after="0"/>
              <w:rPr>
                <w:sz w:val="1"/>
                <w:szCs w:val="1"/>
                <w:color w:val="auto"/>
              </w:rPr>
            </w:pPr>
          </w:p>
        </w:tc>
      </w:tr>
      <w:tr>
        <w:trPr>
          <w:trHeight w:val="16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51,719</w:t>
            </w:r>
          </w:p>
        </w:tc>
        <w:tc>
          <w:tcPr>
            <w:tcW w:w="120" w:type="dxa"/>
            <w:vAlign w:val="bottom"/>
          </w:tcPr>
          <w:p>
            <w:pPr>
              <w:spacing w:after="0"/>
              <w:rPr>
                <w:sz w:val="13"/>
                <w:szCs w:val="13"/>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840" w:type="dxa"/>
            <w:vAlign w:val="bottom"/>
            <w:gridSpan w:val="2"/>
          </w:tcPr>
          <w:p>
            <w:pPr>
              <w:jc w:val="right"/>
              <w:ind w:right="56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51,723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25,229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26,494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4"/>
          <w:szCs w:val="14"/>
          <w:color w:val="auto"/>
        </w:rPr>
        <w:t>As of December 31, 2025 and 2024, all investments were available-for-sale debt securities with remaining maturities of 12 months or less. As of December 31, 2025 and 2024, the Company held 4 and 5 securities, respectively, in an unrealized loss position for 12 months or less. Interest receivable as of December 31, 2025 and 2024, was $0.2 million and $0.2 million, respectively, and is recorded as a component of prepaid expenses and other current assets on the consolidated balance sheets.</w:t>
      </w:r>
    </w:p>
    <w:p>
      <w:pPr>
        <w:spacing w:after="0" w:line="137"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4"/>
          <w:szCs w:val="14"/>
          <w:color w:val="auto"/>
        </w:rPr>
        <w:t>At each reporting date, the Company performs an evaluation of impairment to determine if any unrealized losses are due to credit-related factors. The Company records an allowance for credit losses when unrealized losses are due to credit-related factors. Factors considered when evaluating available-for-sale investments for impairment include the severity of the impairment, changes in underlying credit ratings, the financial condition of the issuer, the probability that the scheduled cash payments will continue to be made and the Company’s intent and ability to hold the investment until recovery of the amortized cost basis. The Company has the ability, if necessary, to liquidate any of its cash equivalents and marketable securities to meet its liquidity needs.</w:t>
      </w:r>
    </w:p>
    <w:p>
      <w:pPr>
        <w:spacing w:after="0" w:line="140"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4"/>
          <w:szCs w:val="14"/>
          <w:color w:val="auto"/>
        </w:rPr>
        <w:t>As of December 31, 2025 and 2024, there were no material declines in the market value of the Company’s available-for-sale investments due to credit-related factors. The Company does not intend to sell the investments, and it is not more likely than not that the Company will be required to sell the investments before recovery of their amortized cost basis. As of December 31, 2025 and 2024, no allowance for credit losses was recorded and the Company did not recognize any impairment losses related to investments.</w:t>
      </w:r>
    </w:p>
    <w:p>
      <w:pPr>
        <w:spacing w:after="0" w:line="135" w:lineRule="exact"/>
        <w:rPr>
          <w:sz w:val="20"/>
          <w:szCs w:val="20"/>
          <w:color w:val="auto"/>
        </w:rPr>
      </w:pPr>
    </w:p>
    <w:p>
      <w:pPr>
        <w:ind w:left="600" w:hanging="341"/>
        <w:spacing w:after="0"/>
        <w:tabs>
          <w:tab w:leader="none" w:pos="600" w:val="left"/>
        </w:tabs>
        <w:numPr>
          <w:ilvl w:val="0"/>
          <w:numId w:val="8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Accounts Receivable</w:t>
      </w:r>
    </w:p>
    <w:p>
      <w:pPr>
        <w:spacing w:after="0" w:line="1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 xml:space="preserve">As of December 31, 2025 accounts receivable of $14.6 million consisted of $14.2 million of government contract receivable from 2024 ATI-RRPV Contract and $0.3 million of royalty receivable. As of December 31, 2024, accounts receivable balance of $5.7 million consisted of $2.7 million of government contract receivables from HHS BARDA and $3.0 million royalty receivable. See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4"/>
          <w:szCs w:val="14"/>
          <w:color w:val="auto"/>
        </w:rPr>
        <w:t>The Company has provided no allowance for credit losses as of December 31, 2025 and 2024 based on historical collection experience, customer credit worthiness, the age of accounts receivable balances, regulatory changes and current economic conditions and trends that may affect a customer’s ability to pay.</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1530" cy="133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32" w:lineRule="exact"/>
        <w:rPr>
          <w:sz w:val="20"/>
          <w:szCs w:val="20"/>
          <w:color w:val="auto"/>
        </w:rPr>
      </w:pPr>
    </w:p>
    <w:p>
      <w:pPr>
        <w:ind w:left="600" w:hanging="341"/>
        <w:spacing w:after="0"/>
        <w:tabs>
          <w:tab w:leader="none" w:pos="600" w:val="left"/>
        </w:tabs>
        <w:numPr>
          <w:ilvl w:val="0"/>
          <w:numId w:val="8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Unbilled Receivable from Government Contracts</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 xml:space="preserve">Unbilled receivable, which was earned and not yet billed, consists of government contracts from HHS BARDA of $36.8 million and $6.2 million as of December 31, 2025 and 2024, respectively, as detailed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   Prepaid Expenses and Other Current Assets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39"/>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clinical and manufacturing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1,998</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insurance</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282</w:t>
            </w: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rent</w:t>
            </w:r>
          </w:p>
        </w:tc>
        <w:tc>
          <w:tcPr>
            <w:tcW w:w="140" w:type="dxa"/>
            <w:vAlign w:val="bottom"/>
            <w:shd w:val="clear" w:color="auto" w:fill="CCEEFF"/>
          </w:tcPr>
          <w:p>
            <w:pPr>
              <w:spacing w:after="0"/>
              <w:rPr>
                <w:sz w:val="14"/>
                <w:szCs w:val="14"/>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521</w:t>
            </w: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prepaid</w:t>
            </w:r>
          </w:p>
        </w:tc>
        <w:tc>
          <w:tcPr>
            <w:tcW w:w="1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1,449</w:t>
            </w: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40" w:type="dxa"/>
            <w:vAlign w:val="bottom"/>
            <w:shd w:val="clear" w:color="auto" w:fill="CCEEFF"/>
          </w:tcPr>
          <w:p>
            <w:pPr>
              <w:spacing w:after="0"/>
              <w:rPr>
                <w:sz w:val="14"/>
                <w:szCs w:val="14"/>
                <w:color w:val="auto"/>
              </w:rPr>
            </w:pPr>
          </w:p>
        </w:tc>
        <w:tc>
          <w:tcPr>
            <w:tcW w:w="1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w:t>
            </w:r>
          </w:p>
        </w:tc>
      </w:tr>
      <w:tr>
        <w:trPr>
          <w:trHeight w:val="20"/>
        </w:trPr>
        <w:tc>
          <w:tcPr>
            <w:tcW w:w="1120" w:type="dxa"/>
            <w:vAlign w:val="bottom"/>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20,971</w:t>
            </w:r>
          </w:p>
        </w:tc>
        <w:tc>
          <w:tcPr>
            <w:tcW w:w="1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4,568</w:t>
            </w:r>
          </w:p>
        </w:tc>
      </w:tr>
      <w:tr>
        <w:trPr>
          <w:trHeight w:val="20"/>
        </w:trPr>
        <w:tc>
          <w:tcPr>
            <w:tcW w:w="1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As of December 31, 2025, there was a significant concentration by one contract research organization (“CRO”), which represented 90% of the Company’s total prepaid expenses balance. As of December 31, 2024, there was a significant concentration by one CRO, which represented 28% of the Company’s total prepaid expenses balance.</w:t>
      </w:r>
    </w:p>
    <w:p>
      <w:pPr>
        <w:spacing w:after="0" w:line="123" w:lineRule="exact"/>
        <w:rPr>
          <w:sz w:val="20"/>
          <w:szCs w:val="20"/>
          <w:color w:val="auto"/>
        </w:rPr>
      </w:pPr>
    </w:p>
    <w:p>
      <w:pPr>
        <w:ind w:left="260"/>
        <w:spacing w:after="0"/>
        <w:tabs>
          <w:tab w:leader="none" w:pos="580" w:val="left"/>
        </w:tabs>
        <w:rPr>
          <w:sz w:val="20"/>
          <w:szCs w:val="20"/>
          <w:color w:val="auto"/>
        </w:rPr>
      </w:pPr>
      <w:r>
        <w:rPr>
          <w:rFonts w:ascii="Times New Roman" w:cs="Times New Roman" w:eastAsia="Times New Roman" w:hAnsi="Times New Roman"/>
          <w:sz w:val="14"/>
          <w:szCs w:val="14"/>
          <w:b w:val="1"/>
          <w:bCs w:val="1"/>
          <w:i w:val="1"/>
          <w:iCs w:val="1"/>
          <w:color w:val="auto"/>
        </w:rPr>
        <w:t>(e)</w:t>
        <w:tab/>
        <w:t>Property and Equipment,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and equipment, net consists of the following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5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2"/>
        </w:trPr>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Laboratory equipment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14,005</w:t>
            </w:r>
          </w:p>
        </w:tc>
        <w:tc>
          <w:tcPr>
            <w:tcW w:w="2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13,806</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 and computer equipment</w:t>
            </w:r>
          </w:p>
        </w:tc>
        <w:tc>
          <w:tcPr>
            <w:tcW w:w="180" w:type="dxa"/>
            <w:vAlign w:val="bottom"/>
          </w:tcPr>
          <w:p>
            <w:pPr>
              <w:spacing w:after="0"/>
              <w:rPr>
                <w:sz w:val="14"/>
                <w:szCs w:val="1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1,140</w:t>
            </w: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3,929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4,107</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160</w:t>
            </w:r>
          </w:p>
        </w:tc>
      </w:tr>
      <w:tr>
        <w:trPr>
          <w:trHeight w:val="160"/>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19,234</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19,213</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(13,801)</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(10,508)</w:t>
            </w:r>
          </w:p>
        </w:tc>
      </w:tr>
      <w:tr>
        <w:trPr>
          <w:trHeight w:val="200"/>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5,433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8,705</w:t>
            </w:r>
          </w:p>
        </w:tc>
      </w:tr>
    </w:tbl>
    <w:p>
      <w:pPr>
        <w:spacing w:after="0" w:line="15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4"/>
          <w:szCs w:val="14"/>
          <w:color w:val="auto"/>
        </w:rPr>
        <w:t>Depreciation expense was $3.5 million, and $3.7 million for the years ended December 31, 2025 and 2024, respectively. There were no impairments of the Company’s property and equipment recorded for the years ended December 31, 2025 and 2024.</w:t>
      </w:r>
    </w:p>
    <w:p>
      <w:pPr>
        <w:spacing w:after="0" w:line="123" w:lineRule="exact"/>
        <w:rPr>
          <w:sz w:val="20"/>
          <w:szCs w:val="20"/>
          <w:color w:val="auto"/>
        </w:rPr>
      </w:pPr>
    </w:p>
    <w:p>
      <w:pPr>
        <w:ind w:left="580" w:hanging="321"/>
        <w:spacing w:after="0"/>
        <w:tabs>
          <w:tab w:leader="none" w:pos="580" w:val="left"/>
        </w:tabs>
        <w:numPr>
          <w:ilvl w:val="0"/>
          <w:numId w:val="9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Prepaid Clinical Services, Long-Term</w:t>
      </w:r>
    </w:p>
    <w:p>
      <w:pPr>
        <w:spacing w:after="0" w:line="18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4"/>
          <w:szCs w:val="14"/>
          <w:color w:val="auto"/>
        </w:rPr>
        <w:t>Prepaid clinical services, long-term were $25.2 million and $60.1 million for the years ended December 31, 2025 and 2024, respectively. The long-term prepaid clinical services represent amounts the Company has paid to a single CRO as a vendor deposit that will be utilized in more than one year.</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ind w:left="600" w:hanging="341"/>
        <w:spacing w:after="0"/>
        <w:tabs>
          <w:tab w:leader="none" w:pos="600" w:val="left"/>
        </w:tabs>
        <w:numPr>
          <w:ilvl w:val="0"/>
          <w:numId w:val="9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Right-of-Use Assets,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Right-of-use assets, net comprises facilities of $11.4 million and $20.4 million as of December 31, 2025 and 2024, respectively.</w:t>
      </w:r>
    </w:p>
    <w:p>
      <w:pPr>
        <w:spacing w:after="0" w:line="176" w:lineRule="exact"/>
        <w:rPr>
          <w:sz w:val="20"/>
          <w:szCs w:val="20"/>
          <w:color w:val="auto"/>
        </w:rPr>
      </w:pPr>
    </w:p>
    <w:p>
      <w:pPr>
        <w:ind w:left="600" w:hanging="341"/>
        <w:spacing w:after="0"/>
        <w:tabs>
          <w:tab w:leader="none" w:pos="600" w:val="left"/>
        </w:tabs>
        <w:numPr>
          <w:ilvl w:val="0"/>
          <w:numId w:val="9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Intangible Assets, Net</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Intangible assets are comprised of developed technology and intellectual property. Intangible assets are carried at cost less accumulated amortization. As of December 31, 2025, developed technology and intellectual property had remaining lives of 3.9 years and 2.0 years, respectively. In each of the years ended December 31, 2025 and 2024, there have been no indicators of impairment.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Intangible assets consist of the following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2"/>
        </w:trPr>
        <w:tc>
          <w:tcPr>
            <w:tcW w:w="1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1140" w:type="dxa"/>
            <w:vAlign w:val="bottom"/>
            <w:tcBorders>
              <w:right w:val="single" w:sz="8" w:color="CCEEFF"/>
            </w:tcBorders>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23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5,000</w:t>
            </w:r>
          </w:p>
        </w:tc>
        <w:tc>
          <w:tcPr>
            <w:tcW w:w="2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w:t>
            </w:r>
          </w:p>
        </w:tc>
      </w:tr>
      <w:tr>
        <w:trPr>
          <w:trHeight w:val="170"/>
        </w:trPr>
        <w:tc>
          <w:tcPr>
            <w:tcW w:w="114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Intellectual property</w:t>
            </w:r>
          </w:p>
        </w:tc>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80</w:t>
            </w:r>
          </w:p>
        </w:tc>
      </w:tr>
      <w:tr>
        <w:trPr>
          <w:trHeight w:val="160"/>
        </w:trPr>
        <w:tc>
          <w:tcPr>
            <w:tcW w:w="1140" w:type="dxa"/>
            <w:vAlign w:val="bottom"/>
            <w:tcBorders>
              <w:right w:val="single" w:sz="8" w:color="CCEEFF"/>
            </w:tcBorders>
          </w:tcPr>
          <w:p>
            <w:pPr>
              <w:spacing w:after="0"/>
              <w:rPr>
                <w:sz w:val="13"/>
                <w:szCs w:val="13"/>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cost</w:t>
            </w:r>
          </w:p>
        </w:tc>
        <w:tc>
          <w:tcPr>
            <w:tcW w:w="2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5,080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5,080</w:t>
            </w:r>
          </w:p>
        </w:tc>
      </w:tr>
      <w:tr>
        <w:trPr>
          <w:trHeight w:val="170"/>
        </w:trPr>
        <w:tc>
          <w:tcPr>
            <w:tcW w:w="114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(2,254)</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200"/>
        </w:trPr>
        <w:tc>
          <w:tcPr>
            <w:tcW w:w="1140" w:type="dxa"/>
            <w:vAlign w:val="bottom"/>
            <w:tcBorders>
              <w:right w:val="single" w:sz="8" w:color="CCEEFF"/>
            </w:tcBorders>
          </w:tcPr>
          <w:p>
            <w:pPr>
              <w:spacing w:after="0"/>
              <w:rPr>
                <w:sz w:val="17"/>
                <w:szCs w:val="17"/>
                <w:color w:val="auto"/>
              </w:rPr>
            </w:pPr>
          </w:p>
        </w:tc>
        <w:tc>
          <w:tcPr>
            <w:tcW w:w="35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assets, net</w:t>
            </w:r>
          </w:p>
        </w:tc>
        <w:tc>
          <w:tcPr>
            <w:tcW w:w="2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3,557</w:t>
            </w:r>
          </w:p>
        </w:tc>
      </w:tr>
      <w:tr>
        <w:trPr>
          <w:trHeight w:val="311"/>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Intangible asset amortization expense was $0.7 million for each of the years ended</w:t>
            </w:r>
          </w:p>
        </w:tc>
        <w:tc>
          <w:tcPr>
            <w:tcW w:w="230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color w:val="auto"/>
              </w:rPr>
              <w:t>December 31, 2025 and 2024.</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9"/>
        </w:trPr>
        <w:tc>
          <w:tcPr>
            <w:tcW w:w="70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As of December 31, 2025, the estimated future amortization expense by year is as follows (in thousands):</w:t>
            </w: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8"/>
        </w:trPr>
        <w:tc>
          <w:tcPr>
            <w:tcW w:w="114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2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Amount</w:t>
            </w:r>
          </w:p>
        </w:tc>
      </w:tr>
      <w:tr>
        <w:trPr>
          <w:trHeight w:val="20"/>
        </w:trPr>
        <w:tc>
          <w:tcPr>
            <w:tcW w:w="114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41"/>
        </w:trPr>
        <w:tc>
          <w:tcPr>
            <w:tcW w:w="1140" w:type="dxa"/>
            <w:vAlign w:val="bottom"/>
            <w:tcBorders>
              <w:right w:val="single" w:sz="8" w:color="CCEEFF"/>
            </w:tcBorders>
          </w:tcPr>
          <w:p>
            <w:pPr>
              <w:spacing w:after="0"/>
              <w:rPr>
                <w:sz w:val="12"/>
                <w:szCs w:val="12"/>
                <w:color w:val="auto"/>
              </w:rPr>
            </w:pPr>
          </w:p>
        </w:tc>
        <w:tc>
          <w:tcPr>
            <w:tcW w:w="1520" w:type="dxa"/>
            <w:vAlign w:val="bottom"/>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2026</w:t>
            </w:r>
          </w:p>
        </w:tc>
        <w:tc>
          <w:tcPr>
            <w:tcW w:w="20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
              <w:spacing w:after="0" w:line="141" w:lineRule="exact"/>
              <w:rPr>
                <w:sz w:val="20"/>
                <w:szCs w:val="20"/>
                <w:color w:val="auto"/>
              </w:rPr>
            </w:pPr>
            <w:r>
              <w:rPr>
                <w:rFonts w:ascii="Times New Roman" w:cs="Times New Roman" w:eastAsia="Times New Roman" w:hAnsi="Times New Roman"/>
                <w:sz w:val="14"/>
                <w:szCs w:val="14"/>
                <w:color w:val="auto"/>
              </w:rPr>
              <w:t>732</w:t>
            </w:r>
          </w:p>
        </w:tc>
      </w:tr>
      <w:tr>
        <w:trPr>
          <w:trHeight w:val="170"/>
        </w:trPr>
        <w:tc>
          <w:tcPr>
            <w:tcW w:w="114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2027</w:t>
            </w: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731</w:t>
            </w:r>
          </w:p>
        </w:tc>
      </w:tr>
      <w:tr>
        <w:trPr>
          <w:trHeight w:val="170"/>
        </w:trPr>
        <w:tc>
          <w:tcPr>
            <w:tcW w:w="1140" w:type="dxa"/>
            <w:vAlign w:val="bottom"/>
            <w:tcBorders>
              <w:right w:val="single" w:sz="8" w:color="CCEEFF"/>
            </w:tcBorders>
          </w:tcPr>
          <w:p>
            <w:pPr>
              <w:spacing w:after="0"/>
              <w:rPr>
                <w:sz w:val="14"/>
                <w:szCs w:val="14"/>
                <w:color w:val="auto"/>
              </w:rPr>
            </w:pPr>
          </w:p>
        </w:tc>
        <w:tc>
          <w:tcPr>
            <w:tcW w:w="1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2028</w:t>
            </w:r>
          </w:p>
        </w:tc>
        <w:tc>
          <w:tcPr>
            <w:tcW w:w="204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727</w:t>
            </w:r>
          </w:p>
        </w:tc>
      </w:tr>
      <w:tr>
        <w:trPr>
          <w:trHeight w:val="170"/>
        </w:trPr>
        <w:tc>
          <w:tcPr>
            <w:tcW w:w="114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2029</w:t>
            </w: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636</w:t>
            </w:r>
          </w:p>
        </w:tc>
      </w:tr>
      <w:tr>
        <w:trPr>
          <w:trHeight w:val="200"/>
        </w:trPr>
        <w:tc>
          <w:tcPr>
            <w:tcW w:w="1140" w:type="dxa"/>
            <w:vAlign w:val="bottom"/>
            <w:tcBorders>
              <w:right w:val="single" w:sz="8" w:color="CCEEFF"/>
            </w:tcBorders>
          </w:tcPr>
          <w:p>
            <w:pPr>
              <w:spacing w:after="0"/>
              <w:rPr>
                <w:sz w:val="17"/>
                <w:szCs w:val="17"/>
                <w:color w:val="auto"/>
              </w:rPr>
            </w:pPr>
          </w:p>
        </w:tc>
        <w:tc>
          <w:tcPr>
            <w:tcW w:w="3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2,826</w:t>
            </w:r>
          </w:p>
        </w:tc>
      </w:tr>
    </w:tbl>
    <w:p>
      <w:pPr>
        <w:spacing w:after="0" w:line="153" w:lineRule="exact"/>
        <w:rPr>
          <w:sz w:val="20"/>
          <w:szCs w:val="20"/>
          <w:color w:val="auto"/>
        </w:rPr>
      </w:pPr>
    </w:p>
    <w:p>
      <w:pPr>
        <w:ind w:left="560" w:hanging="301"/>
        <w:spacing w:after="0"/>
        <w:tabs>
          <w:tab w:leader="none" w:pos="560" w:val="left"/>
        </w:tabs>
        <w:numPr>
          <w:ilvl w:val="0"/>
          <w:numId w:val="9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Goodwill</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Goodwill, which represents the excess of the purchase price over the fair value of assets acquired, was $4.5 million as of December 31, 2025 and 2024. As of December 31, 2025 and 2024, there have been no indicators of impairment.</w:t>
      </w:r>
    </w:p>
    <w:p>
      <w:pPr>
        <w:spacing w:after="0" w:line="123" w:lineRule="exact"/>
        <w:rPr>
          <w:sz w:val="20"/>
          <w:szCs w:val="20"/>
          <w:color w:val="auto"/>
        </w:rPr>
      </w:pPr>
    </w:p>
    <w:p>
      <w:pPr>
        <w:ind w:left="560" w:hanging="301"/>
        <w:spacing w:after="0"/>
        <w:tabs>
          <w:tab w:leader="none" w:pos="560" w:val="left"/>
        </w:tabs>
        <w:numPr>
          <w:ilvl w:val="0"/>
          <w:numId w:val="9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Accounts Payable</w:t>
      </w:r>
    </w:p>
    <w:p>
      <w:pPr>
        <w:spacing w:after="0" w:line="180"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14"/>
          <w:szCs w:val="14"/>
          <w:color w:val="auto"/>
        </w:rPr>
        <w:t>Accounts payable were $21.5 million and $7.0 million as of December 31, 2025 and 2024, respectively. As of December 31, 2025, there was a significant concentration by one CRO and one analytical testing vendor, which represented 94% of the Company’s total accounts payable balance. As of December 31, 2024, there was a significant concentration by one CRO, which represented 67% of the Company’s total accounts payable balance.</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ind w:left="600" w:hanging="341"/>
        <w:spacing w:after="0"/>
        <w:tabs>
          <w:tab w:leader="none" w:pos="600" w:val="left"/>
        </w:tabs>
        <w:numPr>
          <w:ilvl w:val="0"/>
          <w:numId w:val="9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Deferred Government Revenue</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 xml:space="preserve">Deferred government revenue represents amounts received from HHS BARDA contracts, consisting of the 2024 ASPR-BARDA Contract (as defined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 xml:space="preserve">) and the 2024 ATI-RRPV Contract (as defined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 where the earnings process is not yet complete. The Company will recognize deferred government revenue once the earnings process is complete, in accordance with its revenue recognition policies.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represents the Company's deferred government revenue (in thousands):</w:t>
      </w:r>
    </w:p>
    <w:p>
      <w:pPr>
        <w:spacing w:after="0" w:line="346"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46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0"/>
        </w:trPr>
        <w:tc>
          <w:tcPr>
            <w:tcW w:w="5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65,400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recognized</w:t>
            </w: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collected or invoiced</w:t>
            </w: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181</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65,400</w:t>
            </w:r>
          </w:p>
        </w:tc>
      </w:tr>
      <w:tr>
        <w:trPr>
          <w:trHeight w:val="16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65,400</w:t>
            </w:r>
          </w:p>
        </w:tc>
      </w:tr>
      <w:tr>
        <w:trPr>
          <w:trHeight w:val="20"/>
        </w:trPr>
        <w:tc>
          <w:tcPr>
            <w:tcW w:w="5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4"/>
          <w:szCs w:val="14"/>
          <w:color w:val="auto"/>
        </w:rPr>
        <w:t xml:space="preserve">Amounts collected or invoiced during the year ended December 31, 2025 primarily relate to amounts received on the 2024 ATI-RRPV Contract (as defined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 but for which revenue cannot yet be recognized due to contractual milestones not being achieved.</w:t>
      </w:r>
    </w:p>
    <w:p>
      <w:pPr>
        <w:spacing w:after="0" w:line="123" w:lineRule="exact"/>
        <w:rPr>
          <w:sz w:val="20"/>
          <w:szCs w:val="20"/>
          <w:color w:val="auto"/>
        </w:rPr>
      </w:pPr>
    </w:p>
    <w:p>
      <w:pPr>
        <w:ind w:left="560" w:hanging="301"/>
        <w:spacing w:after="0"/>
        <w:tabs>
          <w:tab w:leader="none" w:pos="560" w:val="left"/>
        </w:tabs>
        <w:numPr>
          <w:ilvl w:val="0"/>
          <w:numId w:val="9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Deferred Collaboration Revenue</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 xml:space="preserve">Deferred collaboration revenue represents amounts received from the 2025 License and Collaboration Agreement with Dynavax, entered into in November 2025 (as defined in </w:t>
      </w:r>
      <w:r>
        <w:rPr>
          <w:rFonts w:ascii="Times New Roman" w:cs="Times New Roman" w:eastAsia="Times New Roman" w:hAnsi="Times New Roman"/>
          <w:sz w:val="14"/>
          <w:szCs w:val="14"/>
          <w:u w:val="single" w:color="auto"/>
          <w:color w:val="0000EE"/>
        </w:rPr>
        <w:t>Note 5</w:t>
      </w:r>
      <w:r>
        <w:rPr>
          <w:rFonts w:ascii="Times New Roman" w:cs="Times New Roman" w:eastAsia="Times New Roman" w:hAnsi="Times New Roman"/>
          <w:sz w:val="14"/>
          <w:szCs w:val="14"/>
          <w:color w:val="auto"/>
        </w:rPr>
        <w:t>), where the earnings process is not yet complete. The Company will recognize deferred collaboration revenue once the earnings process is complete, in accordance with its revenue recognition policies.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represents the Company's deferred collaboration revenue (in thousands):</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recognized for collaboration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collected or invoiced</w:t>
            </w:r>
          </w:p>
        </w:tc>
        <w:tc>
          <w:tcPr>
            <w:tcW w:w="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17,084</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deferred collaboration revenue</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14,976</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w:t>
            </w:r>
          </w:p>
        </w:tc>
        <w:tc>
          <w:tcPr>
            <w:tcW w:w="18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Long-term portion</w:t>
            </w:r>
          </w:p>
        </w:tc>
        <w:tc>
          <w:tcPr>
            <w:tcW w:w="180" w:type="dxa"/>
            <w:vAlign w:val="bottom"/>
          </w:tcPr>
          <w:p>
            <w:pPr>
              <w:spacing w:after="0"/>
              <w:rPr>
                <w:sz w:val="16"/>
                <w:szCs w:val="16"/>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(m)   Other Accrued Liabilities</w:t>
            </w: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accrued liabilities consist of the following (in thousands):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62"/>
        </w:trPr>
        <w:tc>
          <w:tcPr>
            <w:tcW w:w="1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compensation</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4,244</w:t>
            </w:r>
          </w:p>
        </w:tc>
        <w:tc>
          <w:tcPr>
            <w:tcW w:w="2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5,087</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clinical and manufacturing expenses</w:t>
            </w:r>
          </w:p>
        </w:tc>
        <w:tc>
          <w:tcPr>
            <w:tcW w:w="180" w:type="dxa"/>
            <w:vAlign w:val="bottom"/>
          </w:tcPr>
          <w:p>
            <w:pPr>
              <w:spacing w:after="0"/>
              <w:rPr>
                <w:sz w:val="14"/>
                <w:szCs w:val="14"/>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42,455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5,134</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professional and consulting services</w:t>
            </w: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 current portion</w:t>
            </w: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628</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200"/>
        </w:trPr>
        <w:tc>
          <w:tcPr>
            <w:tcW w:w="1120" w:type="dxa"/>
            <w:vAlign w:val="bottom"/>
          </w:tcPr>
          <w:p>
            <w:pPr>
              <w:spacing w:after="0"/>
              <w:rPr>
                <w:sz w:val="17"/>
                <w:szCs w:val="17"/>
                <w:color w:val="auto"/>
              </w:rPr>
            </w:pPr>
          </w:p>
        </w:tc>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47,879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11,378</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As of December 31, 2025 and 2024, there was a significant concentration by one CRO, which represented 79% and 42% of the Company’s total other accrued liabilities balances, respectively.</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1530" cy="133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Royalty Revenue Related to Sale of Future Royalties</w:t>
      </w:r>
    </w:p>
    <w:p>
      <w:pPr>
        <w:spacing w:after="0" w:line="18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 xml:space="preserve">The Company generates royalty revenue from the sale of Inavir in Japan, pursuant to a collaboration and license agreement that Aviragen entered into with Daiichi Sankyo Company, Limited (“Daiichi Sankyo”) in 2009. In September 2010, laninamivir octanoate was approved for sale by the Japanese Ministry of Health and Welfare for the treatment of influenza in adults and children, which Daiichi Sankyo markets as Inavir. Under the agreement, the Company currently receives a 4% royalty on net sales of Inavir in Japan. Based on information provided by Daiichi Sankyo, the Company believes the expiration of the last patent related to Inavir is in August 2036, at which time royalty revenue will cease. The Company’s royalty revenue is seasonal, in line with the flu season, so the majority of the Company’s royalty revenue and non-cash royalty revenue related to the sale of future royalties are earned in the first and fourth fiscal quarters. The royalty revenue related to Inavir recognized for the years ended December 31, 2025 and 2024, was zero. The Company recognized non-cash royalty revenue related to the sale of future royalties of $1.9 million and $3.8 million for the years ended December 31, 2025 and 2024, respectively. Both royalty revenue and the non-cash royalty revenue related to the sale of future royalties are subject to a 5% withholding tax in Japan, for which $0.1 million and $0.2 million was included in income tax expense for the years ended December 31, 2025 and 2024, respectively, further detailed in </w:t>
      </w:r>
      <w:r>
        <w:rPr>
          <w:rFonts w:ascii="Times New Roman" w:cs="Times New Roman" w:eastAsia="Times New Roman" w:hAnsi="Times New Roman"/>
          <w:sz w:val="14"/>
          <w:szCs w:val="14"/>
          <w:u w:val="single" w:color="auto"/>
          <w:color w:val="0000EE"/>
        </w:rPr>
        <w:t>Note 6</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Government Contracts</w:t>
      </w:r>
    </w:p>
    <w:p>
      <w:pPr>
        <w:spacing w:after="0" w:line="180"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4"/>
          <w:szCs w:val="14"/>
          <w:color w:val="auto"/>
        </w:rPr>
        <w:t>The Company recognized revenue from government contracts with HHS BARDA of $224.5 million and $24.9 million for the years ended December 31, 2025 and 2024, respectively, consisting of revenue from the 2024 ASPR-BARDA Contract (as defined below) and the 2024 ATI-RRPV Contract (as defined below) described in more detail below. Unbilled receivable from government contracts consists of government revenue from HHS BARDA, which was earned and not yet billed. As of December 31, 2025 and 2024, the amount of unbilled receivable was $36.8 million and $6.2 million, respectively, and deferred revenue was $0.1 million and $65.4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ATI-RRPV Contract</w:t>
      </w:r>
    </w:p>
    <w:p>
      <w:pPr>
        <w:spacing w:after="0" w:line="178" w:lineRule="exact"/>
        <w:rPr>
          <w:sz w:val="20"/>
          <w:szCs w:val="20"/>
          <w:color w:val="auto"/>
        </w:rPr>
      </w:pPr>
    </w:p>
    <w:p>
      <w:pPr>
        <w:jc w:val="both"/>
        <w:ind w:right="180"/>
        <w:spacing w:after="0" w:line="259" w:lineRule="auto"/>
        <w:rPr>
          <w:sz w:val="20"/>
          <w:szCs w:val="20"/>
          <w:color w:val="auto"/>
        </w:rPr>
      </w:pPr>
      <w:r>
        <w:rPr>
          <w:rFonts w:ascii="Times New Roman" w:cs="Times New Roman" w:eastAsia="Times New Roman" w:hAnsi="Times New Roman"/>
          <w:sz w:val="14"/>
          <w:szCs w:val="14"/>
          <w:color w:val="auto"/>
        </w:rPr>
        <w:t>In June 2024, the Company entered into an agreement (as modified or amended from time to time, the “2024 ATI-RRPV Contract”) with Advanced Technology International, the Rapid Response Partnership Vehicle’s Consortium Management Firm funded by HHS BARDA, which was modified in the second half of 2024 to increase funding and provide for the manufacturing of a vaccine candidate targeting the KP.2 strain and acquire an approved mRNA vaccine targeting the KP.2 strain. Pursuant to the 2024 ATI-RRPV Contract, the Company may receive funding of up to</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$460.7 million to conduct a Phase 2b comparative study evaluating the Company’s oral pill COVID-19 vaccine candidate against an mRNA vaccine comparator approved by the U.S. Food and Drug Administration (“FDA”). As of December 31, 2025, the 2024 ATI-RRPV Contract made available an aggregate amount of authorized milestones up to $316.1 million. Pursuant to Modification No. 6 to the 2024 ATI-RRPV Contract, dated March 10, 2026, the total amount of funding available for payment under the 2024 ATI-RRPV Contract is approximately $316.0 million (see Note 15) including $67.9 million of firm fixed price amounts and the remaining amount for reimbursement of costs incurred in trial preparation and execution activities. The 2024 ATI-RRPV Contract further contemplates additional funding up to $144.7 million if the Company and HHS BARDA decide to continue with the Phase 2b comparative study. The Company anticipates a further modification to the 2024 ATI-RRPV Contract that will reflect the reduced scope of work and corresponding reduction in funding that resulted from previously issued stop work orders.</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accounts for the 2024 ATI-RRPV Contract under ASC 958-605 and recognizes revenue as the firm fixed-price milestone is earned and allowable cost-plus-fixed-fees are incurred.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Reimbursable costs under the 2024 ATI-RRPV Contract primarily include direct labor, subcontract costs, materials, travel, and approved overhead and indirect costs. The 2024 ATI-RRPV Contract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contains terms and conditions that are customary for contracts with HHS BARDA of this nature, including the U.S. government having the right to terminate the contract for convenience 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terminate for default if the Company fails to meet its obligations as set forth in the statement of work. Revenue from government contracts recognized on the 2024 ATI-RRPV Contract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$223.9 million, comprising of a cost-plus-fixed-fee of $158.4 million and a firm fixed-price milestone of $65.5 million, for the year ended December 31, 2025, based on costs incurred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achievement of firm fixed-price milestones under the 2024 ATI-RRPV Contract. Revenue from government contracts recognized on the 2024 ATI-RRPV Contract was $16.2 million for the</w:t>
      </w:r>
    </w:p>
    <w:p>
      <w:pPr>
        <w:spacing w:after="0" w:line="9"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4"/>
          <w:szCs w:val="14"/>
          <w:color w:val="auto"/>
        </w:rPr>
        <w:t>year ended December 31, 2024, based on costs incurred and the achievement of firm fixed-price milestones under the 2024 ATI-RRPV Contract. Deferred government revenue represents amounts that have been received from HHS BARDA and the earnings process is not yet complete. Deferred government revenue in current liabilities was $0.1 million and $64.8 million as of December 31, 2025 and 2024, respectively. The remaining deferred government revenue will be recognized as revenue once the earnings process is complete.</w:t>
      </w:r>
    </w:p>
    <w:p>
      <w:pPr>
        <w:spacing w:after="0" w:line="143"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The Company believes that if the 2024 ATI-RRPV Contract were to be terminated prior to completion of the Phase 2b comparative study, the costs incurred through the effective date of such termination and any settlement costs resulting from such termination would be allowable costs. Cost reimbursement payments to the Company are provisional payments subject to adjustment upon annual audit by the government. The Company believes that revenue for periods not yet audited will be recorded in amounts that are expected to be realized upon final audit and settlement. When the final determination of the allowable costs for any year has been made, revenue and billings may be adjusted accordingly in the period that the adjustment becomes known.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2024 ASPR-BARDA Contract</w:t>
      </w:r>
    </w:p>
    <w:p>
      <w:pPr>
        <w:spacing w:after="0" w:line="17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4"/>
          <w:szCs w:val="14"/>
          <w:color w:val="auto"/>
        </w:rPr>
        <w:t>In January 2024, the Company was awarded a contract (as amended, the “2024 ASPR-BARDA Contract”) by HHS BARDA with a base and all options value of $9.3 million. Under the 2024 ASPR-BARDA Contract, the Company received an award to support clinical trial planning activities for a Phase 2b clinical trial that would compare the Company’s XBB vaccine candidate to an mRNA comparator to evaluate efficacy for symptomatic and asymptomatic disease, systemic and mucosal immune induction, and adverse events. The 2024 ASPR-BARDA Contract originally had a period of performance term that was set to expire in July 2024, but the Company entered into an amendment in July 2024 that extended the period of performance expiration date into October 2024. The Company accounts for the 2024 ASPR-BARDA Contract under Accounting Standards Codification 958-605 and recognizes revenue as donor-imposed conditions are met. Revenue from government contracts recognized on the 2024 ASPR-BARDA Contract was $0.6 million and $8.7 million for the years ended December 31, 2025 and 2024, respectively, based on the achievement of certain milestones under the 2024 ASPR-BARDA Contract. Deferred government revenue represents amounts that have been received from HHS BARDA and the earnings process is not yet complete. Deferred government revenue in current liabilities was zero and $0.6 million as of December 31, 2025 and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 from Dynavax License and Collaboration Agreement</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On November 4, 2025, the Company entered into the 2025 License and Collaboration Agreement with Dynavax relating to the Company’s investigational oral vaccine candidate for COVID-19 based on its proprietary oral delivery platform (the “Vaccine Candidate”). Pursuant to the License Agreement, the Company granted Dynavax an exclusive, worldwide license to develop and commercialize the Company’s oral pill Vaccine Candidate for SARS-CoV-2, SARS coronavirus, or MERS coronavirus, including COVID-19 and all variants thereof. Under the terms of the 2025 License and Collaboration Agreement, Dynavax paid the Company an upfront license fee of $25.0 million and purchased $5.0 million of the Company’s common stock pursuant to the 2025 Securities Purchase Agreement. The 2025 License and Collaboration Agreement includes the Company continue to develop the Vaccine Candidate by conducting and completing its ongoing Phase 2b clinical trial and delivering the end-of-Phase 2 data package, performing its obligations under the 2024 ATI-RRPV agreement and conducting additional development and manufacturing activities related to the Vaccine Candidate.</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Following the completion of the Company’s ongoing Phase 2b clinical trial and a planned end-of-Phase 2 meeting with the FDA, per the 2025 License and Collaboration Agreement, Dynavax has the right to elect, in its sole discretion, to assume responsibility for the continued development of the Vaccine Candidate. If Dynavax elects to assume responsibility for such continued development of the Vaccine Candidate, then Dynavax has agreed to pay the Company an additional fee of $50.0 million. If Dynavax does not elect to assume responsibility for such continued development of the Vaccine Candidate, then the 2025 License and Collaboration Agreement will terminate pursuant to its terms.</w:t>
      </w:r>
    </w:p>
    <w:p>
      <w:pPr>
        <w:spacing w:after="0" w:line="140" w:lineRule="exact"/>
        <w:rPr>
          <w:sz w:val="20"/>
          <w:szCs w:val="20"/>
          <w:color w:val="auto"/>
        </w:rPr>
      </w:pPr>
    </w:p>
    <w:p>
      <w:pPr>
        <w:jc w:val="both"/>
        <w:ind w:right="460"/>
        <w:spacing w:after="0" w:line="269" w:lineRule="auto"/>
        <w:rPr>
          <w:sz w:val="20"/>
          <w:szCs w:val="20"/>
          <w:color w:val="auto"/>
        </w:rPr>
      </w:pPr>
      <w:r>
        <w:rPr>
          <w:rFonts w:ascii="Times New Roman" w:cs="Times New Roman" w:eastAsia="Times New Roman" w:hAnsi="Times New Roman"/>
          <w:sz w:val="14"/>
          <w:szCs w:val="14"/>
          <w:color w:val="auto"/>
        </w:rPr>
        <w:t>The Company determined that the 2025 License and Collaboration Agreement represented a contract with a customer and should be accounted for in accordance with ASC 606. The Company identified two performance obligations, (i) the exclusive license, together with the related transfer and manufacturing technology transfer (the “License Performance Obligation”), and (ii) the development program activities through delivery of the EOP2 Data Package, including participation in joint governance committees (the “Development Performance Obligation”).</w:t>
      </w:r>
    </w:p>
    <w:p>
      <w:pPr>
        <w:spacing w:after="0" w:line="1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Company identified $25.8 million of total transaction price at inception, consisting of a non-refundable upfront payment of $25.0 million and the premium of approximately $0.8 million associated with Dynavax’s concurrent $5.0 million equity investment in the Company, which represented consideration in excess of the fair value of the common stock issued. The fixed consideration of $25.8 million was allocated to the two performance obligations on a relative standalone selling price basis. Revenue allocated to the License Performance Obligation was recognized at a point in time in the fourth quarter of 2025 upon completion of the technology transfer, when Dynavax obtained the right to use and benefit from the licensed intellectual property. Revenue allocated to the Development Performance Obligation is recognized over time using an input method based on costs incurred relative to total estimated costs to complete the development program.</w:t>
      </w:r>
    </w:p>
    <w:p>
      <w:pPr>
        <w:spacing w:after="0" w:line="142"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4"/>
          <w:szCs w:val="14"/>
          <w:color w:val="auto"/>
        </w:rPr>
        <w:t>The 2025 License and Collaboration Agreement also includes potential additional consideration in the form of evaluation fees, a $50.0 million election payment, regulatory and commercial milestone payments, and royalties on future product sales. Such amounts represent variable consideration and are included in the transaction price only to the extent that it is probable that a significant reversal of cumulative revenue recognized will not occur. Sales-based milestones and royalties will be recognized as revenue when the underlying sales occur in accordance with the sales- or usage-based royalty exception in ASC 606.</w:t>
      </w:r>
    </w:p>
    <w:p>
      <w:pPr>
        <w:spacing w:after="0" w:line="14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4"/>
          <w:szCs w:val="14"/>
          <w:color w:val="auto"/>
        </w:rPr>
        <w:t>For the year ended December 31, 2025, the Company recognized revenue of $10.8 million from the 2025 License and Collaboration Agreement, which consisted of license revenue of $8.7 million and collaboration revenue was $2.1 million. As of December 31, 2025, the amount of deferred collaboration revenue was $15.0 million, of which $13.0 million was classified as current and $2.0 million as non-current. The remaining deferred collaboration revenue will be recognized as revenue once the earnings process is complete.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Liabilities Related to Sale of Future Royalties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April 2016, Aviragen entered into a Royalty Interest Acquisition Agreement (the “RIAA”) with HealthCare Royalty Partners III, L.P. (“HCRP”). Under the RIAA, HCRP made a $20.0 million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payment to Aviragen in consideration for acquiring certain royalty rights (“Royalty Rights”) related to the approved product Inavir in the Japanese market. The Royalty Rights were obtained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collaboration and license agreements (the “License Agreement”) and a commercialization agreement that the Company entered into with Daiichi Sankyo. Per the terms of the RIAA,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first royalty interest period of April 1, 2016 through March 31, 2025, HCRP is entitled to the first $3.0 million and any cumulative remaining shortfall amount plus 15% of the next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 million in royalties earned in each year commencing on April 1, with any excess revenue being retained by the Company. Further, during the second royalty interest period beginning April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 and ending on December 24, 2029, HCRP is entitled to the first $2.7 million and any cumulative remaining shortfall amount, plus 15% of the next $1.0 million in royalties, with any excess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being retained by the Company. A shortfall occurs when, during an annual period ending on March 31, for the first royalty interest period of April 1, 2016 through March 31, 2025,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royalty payments fall below $3.0 million; and $2.7 million for the second royalty interest period of April 1, 2025 and ending on December 24, 2029, excluding the period of April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2028 through December 24, 2029. In the event there shall remain any cumulative remaining shortfall amount as of December 24, 2029, any royalties received from Daiichi Sankyo subsequently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would be payable to HCRP until the cumulative remaining shortfall amount has been paid.</w:t>
      </w:r>
    </w:p>
    <w:p>
      <w:pPr>
        <w:spacing w:after="0" w:line="16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4"/>
          <w:szCs w:val="14"/>
          <w:color w:val="auto"/>
        </w:rPr>
        <w:t>For avoidance of doubt, the RIAA states, in the event there is a remaining cumulative remaining shortfall amount as of December 24, 2029, the Company shall not be obligated to pay HCRP any royalty payment beyond what the Company is paid from Daiichi Sankyo. The cumulative remaining shortfall amount is the aggregate amount of the remaining shortfall for each annual period, which was $4.4 million and $6.0 million as of December 31, 2025 and 2024, respectively.</w:t>
      </w:r>
    </w:p>
    <w:p>
      <w:pPr>
        <w:spacing w:after="0" w:line="13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Under the relevant accounting guidance, due to a limit on the amount of royalties that HCRP can earn under the RIAA, this transaction was accounted for as a liability that is being amortized using the effective interest method over the life of the arrangement. The Company has no obligation to pay any amounts to HCRP other than to pass through to HCRP its share of royalties as they are received from Daiichi Sankyo. To record the amortization of the liability, the Company is required to estimate the total amount of future royalty payments to be received under the License Agreement and the payments that will be passed through to HCRP over the life of this agreement. Consequently, the Company imputes interest on the unamortized portion of the liability and records non-cash interest expense using an estimated effective interest rate. The royalties earned in each period that will be passed through to HCRP are recorded as non-cash royalty revenue related to sale of future royalties, with any excess not subject to pass-through being recorded as royalty revenue. When the pass-through royalties are paid to HCRP in the following quarter, the imputed liability related to sale of future royalties is commensurately reduced. The Company periodically assesses the expected royalty payments, and to the extent such payments are greater or less than the initial estimate, the Company adjusts the amortization of the liability and interest rate. As a result of this accounting, even though the Company does not retain HCRP’s share of the royalties, it will continue to record non-cash revenue related to those royalties until the amount of the associated liability, including the related interest, is fully amortized.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activity within the liability account during the year ended December 31, 2025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liability related to sale of future royalties, start of year</w:t>
            </w:r>
          </w:p>
        </w:tc>
        <w:tc>
          <w:tcPr>
            <w:tcW w:w="4060" w:type="dxa"/>
            <w:vAlign w:val="bottom"/>
            <w:gridSpan w:val="2"/>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5,758</w:t>
            </w:r>
          </w:p>
        </w:tc>
        <w:tc>
          <w:tcPr>
            <w:tcW w:w="11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royalty revenue paid to HCRP</w:t>
            </w:r>
          </w:p>
        </w:tc>
        <w:tc>
          <w:tcPr>
            <w:tcW w:w="3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(4,521)</w:t>
            </w:r>
          </w:p>
        </w:tc>
        <w:tc>
          <w:tcPr>
            <w:tcW w:w="11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interest expense recognized</w:t>
            </w:r>
          </w:p>
        </w:tc>
        <w:tc>
          <w:tcPr>
            <w:tcW w:w="34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2,823</w:t>
            </w:r>
          </w:p>
        </w:tc>
        <w:tc>
          <w:tcPr>
            <w:tcW w:w="1140" w:type="dxa"/>
            <w:vAlign w:val="bottom"/>
          </w:tcPr>
          <w:p>
            <w:pPr>
              <w:spacing w:after="0"/>
              <w:rPr>
                <w:sz w:val="14"/>
                <w:szCs w:val="14"/>
                <w:color w:val="auto"/>
              </w:rPr>
            </w:pPr>
          </w:p>
        </w:tc>
      </w:tr>
      <w:tr>
        <w:trPr>
          <w:trHeight w:val="160"/>
        </w:trPr>
        <w:tc>
          <w:tcPr>
            <w:tcW w:w="1120" w:type="dxa"/>
            <w:vAlign w:val="bottom"/>
          </w:tcPr>
          <w:p>
            <w:pPr>
              <w:spacing w:after="0"/>
              <w:rPr>
                <w:sz w:val="13"/>
                <w:szCs w:val="13"/>
                <w:color w:val="auto"/>
              </w:rPr>
            </w:pPr>
          </w:p>
        </w:tc>
        <w:tc>
          <w:tcPr>
            <w:tcW w:w="3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liability related to sale of future royalties, end of year</w:t>
            </w:r>
          </w:p>
        </w:tc>
        <w:tc>
          <w:tcPr>
            <w:tcW w:w="3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4,060</w:t>
            </w:r>
          </w:p>
        </w:tc>
        <w:tc>
          <w:tcPr>
            <w:tcW w:w="114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39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Current portion</w:t>
            </w:r>
          </w:p>
        </w:tc>
        <w:tc>
          <w:tcPr>
            <w:tcW w:w="34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140" w:type="dxa"/>
            <w:vAlign w:val="bottom"/>
          </w:tcPr>
          <w:p>
            <w:pPr>
              <w:spacing w:after="0"/>
              <w:rPr>
                <w:sz w:val="14"/>
                <w:szCs w:val="14"/>
                <w:color w:val="auto"/>
              </w:rPr>
            </w:pPr>
          </w:p>
        </w:tc>
      </w:tr>
      <w:tr>
        <w:trPr>
          <w:trHeight w:val="160"/>
        </w:trPr>
        <w:tc>
          <w:tcPr>
            <w:tcW w:w="1120" w:type="dxa"/>
            <w:vAlign w:val="bottom"/>
          </w:tcPr>
          <w:p>
            <w:pPr>
              <w:spacing w:after="0"/>
              <w:rPr>
                <w:sz w:val="13"/>
                <w:szCs w:val="13"/>
                <w:color w:val="auto"/>
              </w:rPr>
            </w:pPr>
          </w:p>
        </w:tc>
        <w:tc>
          <w:tcPr>
            <w:tcW w:w="39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Long-term portion</w:t>
            </w:r>
          </w:p>
        </w:tc>
        <w:tc>
          <w:tcPr>
            <w:tcW w:w="3440" w:type="dxa"/>
            <w:vAlign w:val="bottom"/>
          </w:tcPr>
          <w:p>
            <w:pPr>
              <w:spacing w:after="0"/>
              <w:rPr>
                <w:sz w:val="13"/>
                <w:szCs w:val="13"/>
                <w:color w:val="auto"/>
              </w:rPr>
            </w:pP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2,679</w:t>
            </w:r>
          </w:p>
        </w:tc>
        <w:tc>
          <w:tcPr>
            <w:tcW w:w="114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60" w:type="dxa"/>
            <w:vAlign w:val="bottom"/>
            <w:gridSpan w:val="2"/>
          </w:tcPr>
          <w:p>
            <w:pPr>
              <w:jc w:val="right"/>
              <w:ind w:right="3289"/>
              <w:spacing w:after="0"/>
              <w:rPr>
                <w:sz w:val="20"/>
                <w:szCs w:val="20"/>
                <w:color w:val="auto"/>
              </w:rPr>
            </w:pPr>
            <w:r>
              <w:rPr>
                <w:rFonts w:ascii="Times New Roman" w:cs="Times New Roman" w:eastAsia="Times New Roman" w:hAnsi="Times New Roman"/>
                <w:sz w:val="14"/>
                <w:szCs w:val="14"/>
                <w:color w:val="auto"/>
              </w:rPr>
              <w:t>F- 50</w:t>
            </w: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398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Leases</w:t>
      </w:r>
    </w:p>
    <w:p>
      <w:pPr>
        <w:spacing w:after="0" w:line="18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The Company has obtained the right of use for office and manufacturing facilities under six operating lease agreements with initial terms exceeding one year. The lease term at the commencement date is determined by considering whether renewal options and termination options are reasonably assured of exercise.</w:t>
      </w:r>
    </w:p>
    <w:p>
      <w:pPr>
        <w:spacing w:after="0" w:line="1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Company obtained the right of use of real estate located in South San Francisco, California, in November 2020 under a lease that was scheduled to terminate on September 30, 2025, which had been extended until March 31, 2029, with no additional extension option. On December 18, 2025, the Company entered into an agreement to terminate this lease agreement effective May 15, 2026, which was originally scheduled to expire on March 31, 2029. The Company is not required to pay any termination fees or penalties in connection with the termination of the Lease. As a result of the lease modification, the Company remeasured the operating lease liability using the revised lease term. The adjustment to the related right-of-use asset was limited to its carrying amount, and the Company recognized a resulting gain of $1.0 million within operating expenses in the consolidated statement of operations and comprehensive income for the year ended December 31, 2025.</w:t>
      </w:r>
    </w:p>
    <w:p>
      <w:pPr>
        <w:spacing w:after="0" w:line="1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The Company obtained the right of use of another property also located in South San Francisco, California, in June 2015 that was scheduled to terminate on April 30, 2020, with a five-year extension option that the Company exercised in July 2019, extending the lease until April 30, 2025, which has been further extended until March 31, 2029, with an option to extend for an additional eight years. In September 2021, the Company executed a lease for a facility in South San Francisco, California, with an initial term expiring on March 31, 2029, with an option to extend for an additional eight years. This lease includes a component for tenant improvements that were substantially completed in the three months ended September 30, 2022, when the lease for this component was deemed to have commenced for accounting purposes. It also includes a component for which tenant improvements of $3.1 million were completed and were recorded within right-of-use assets in the consolidated balance sheets when they were substantially completed in the three months ended March 31, 2023. Further, the Company has the right of use of a facility located in South San Francisco, California, under a lease that terminates on March 30, 2029, with a five-year renewal option. On May 31, 2025, the leases of two facilities in Burlingame, California expired.</w:t>
      </w:r>
    </w:p>
    <w:p>
      <w:pPr>
        <w:spacing w:after="0" w:line="14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As of December 31, 2025, the weighted average discount rate for operating leases with initial terms of more than one year was 10.1% and the weighted average remaining term of these leases was 3.0 years. Discount rates were determined using the Company’s marginal rate of borrowing at the time each lease was executed or extended.</w:t>
      </w:r>
    </w:p>
    <w:p>
      <w:pPr>
        <w:spacing w:after="0" w:line="1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4"/>
          <w:szCs w:val="14"/>
          <w:color w:val="auto"/>
        </w:rPr>
        <w:t>The following table summarizes the Company’s undiscounted cash payment obligations for its operating lease liabilities with initial terms of more than 12 months as of December 31, 2025 (in thousands):</w:t>
      </w:r>
    </w:p>
    <w:p>
      <w:pPr>
        <w:sectPr>
          <w:pgSz w:w="11900" w:h="16838" w:orient="portrait"/>
          <w:cols w:equalWidth="0" w:num="1">
            <w:col w:w="11280"/>
          </w:cols>
          <w:pgMar w:left="300" w:top="125" w:right="319" w:bottom="1440" w:gutter="0" w:footer="0" w:header="0"/>
        </w:sectPr>
      </w:pPr>
    </w:p>
    <w:p>
      <w:pPr>
        <w:spacing w:after="0" w:line="13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color w:val="auto"/>
        </w:rPr>
        <w:t>Year Ending December 31,</w:t>
      </w:r>
    </w:p>
    <w:p>
      <w:pPr>
        <w:spacing w:after="0" w:line="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-101600</wp:posOffset>
            </wp:positionV>
            <wp:extent cx="4294505" cy="107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94505" cy="10795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4"/>
          <w:szCs w:val="14"/>
          <w:color w:val="auto"/>
        </w:rPr>
        <w:t>2027</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-101600</wp:posOffset>
            </wp:positionV>
            <wp:extent cx="4294505" cy="1079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94505" cy="10795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4"/>
          <w:szCs w:val="14"/>
          <w:color w:val="auto"/>
        </w:rPr>
        <w:t>2029</w:t>
      </w:r>
    </w:p>
    <w:p>
      <w:pPr>
        <w:spacing w:after="0" w:line="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Undiscounted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-101600</wp:posOffset>
            </wp:positionV>
            <wp:extent cx="4294505" cy="1079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94505" cy="10795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4"/>
          <w:szCs w:val="14"/>
          <w:color w:val="auto"/>
        </w:rPr>
        <w:t>Less: imputed interest</w:t>
      </w:r>
    </w:p>
    <w:p>
      <w:pPr>
        <w:spacing w:after="0" w:line="1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Present value of future minimum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-101600</wp:posOffset>
            </wp:positionV>
            <wp:extent cx="4294505" cy="1079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94505" cy="10795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4"/>
          <w:szCs w:val="14"/>
          <w:color w:val="auto"/>
        </w:rPr>
        <w:t>Current portion of operating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12700</wp:posOffset>
            </wp:positionV>
            <wp:extent cx="4294505" cy="1276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94505" cy="127635"/>
                    </a:xfrm>
                    <a:prstGeom prst="rect">
                      <a:avLst/>
                    </a:prstGeom>
                    <a:noFill/>
                  </pic:spPr>
                </pic:pic>
              </a:graphicData>
            </a:graphic>
          </wp:anchor>
        </w:drawing>
      </w:r>
    </w:p>
    <w:p>
      <w:pPr>
        <w:spacing w:after="0" w:line="17"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4"/>
          <w:szCs w:val="14"/>
          <w:color w:val="auto"/>
        </w:rPr>
        <w:t>Operating lease liability, net of current portion</w:t>
      </w:r>
    </w:p>
    <w:p>
      <w:pPr>
        <w:spacing w:after="0" w:line="178" w:lineRule="exact"/>
        <w:rPr>
          <w:sz w:val="20"/>
          <w:szCs w:val="20"/>
          <w:color w:val="auto"/>
        </w:rPr>
      </w:pPr>
    </w:p>
    <w:p>
      <w:pPr>
        <w:jc w:val="right"/>
        <w:ind w:right="1280"/>
        <w:spacing w:after="0"/>
        <w:rPr>
          <w:sz w:val="20"/>
          <w:szCs w:val="20"/>
          <w:color w:val="auto"/>
        </w:rPr>
      </w:pPr>
      <w:r>
        <w:rPr>
          <w:rFonts w:ascii="Times New Roman" w:cs="Times New Roman" w:eastAsia="Times New Roman" w:hAnsi="Times New Roman"/>
          <w:sz w:val="14"/>
          <w:szCs w:val="14"/>
          <w:color w:val="auto"/>
        </w:rPr>
        <w:t>F- 51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Amount</w:t>
      </w:r>
    </w:p>
    <w:p>
      <w:pPr>
        <w:spacing w:after="0" w:line="23" w:lineRule="exact"/>
        <w:rPr>
          <w:sz w:val="20"/>
          <w:szCs w:val="20"/>
          <w:color w:val="auto"/>
        </w:rPr>
      </w:pPr>
    </w:p>
    <w:p>
      <w:pPr>
        <w:ind w:left="840" w:hanging="836"/>
        <w:spacing w:after="0"/>
        <w:tabs>
          <w:tab w:leader="none" w:pos="8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3,651</w:t>
      </w:r>
    </w:p>
    <w:p>
      <w:pPr>
        <w:spacing w:after="0" w:line="19" w:lineRule="exact"/>
        <w:rPr>
          <w:rFonts w:ascii="Times New Roman" w:cs="Times New Roman" w:eastAsia="Times New Roman" w:hAnsi="Times New Roman"/>
          <w:sz w:val="14"/>
          <w:szCs w:val="14"/>
          <w:color w:val="auto"/>
        </w:rPr>
      </w:pPr>
    </w:p>
    <w:p>
      <w:pPr>
        <w:ind w:lef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2,947</w:t>
      </w:r>
    </w:p>
    <w:p>
      <w:pPr>
        <w:spacing w:after="0" w:line="8" w:lineRule="exact"/>
        <w:rPr>
          <w:rFonts w:ascii="Times New Roman" w:cs="Times New Roman" w:eastAsia="Times New Roman" w:hAnsi="Times New Roman"/>
          <w:sz w:val="14"/>
          <w:szCs w:val="14"/>
          <w:color w:val="auto"/>
        </w:rPr>
      </w:pPr>
    </w:p>
    <w:p>
      <w:pPr>
        <w:ind w:left="8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3,050</w:t>
      </w:r>
    </w:p>
    <w:p>
      <w:pPr>
        <w:spacing w:after="0" w:line="8" w:lineRule="exact"/>
        <w:rPr>
          <w:rFonts w:ascii="Times New Roman" w:cs="Times New Roman" w:eastAsia="Times New Roman" w:hAnsi="Times New Roman"/>
          <w:sz w:val="14"/>
          <w:szCs w:val="14"/>
          <w:color w:val="auto"/>
        </w:rPr>
      </w:pPr>
    </w:p>
    <w:p>
      <w:pPr>
        <w:ind w:left="9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-431165</wp:posOffset>
            </wp:positionV>
            <wp:extent cx="77406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065" cy="6985"/>
                    </a:xfrm>
                    <a:prstGeom prst="rect">
                      <a:avLst/>
                    </a:prstGeom>
                    <a:noFill/>
                  </pic:spPr>
                </pic:pic>
              </a:graphicData>
            </a:graphic>
          </wp:anchor>
        </w:drawing>
      </w:r>
    </w:p>
    <w:p>
      <w:pPr>
        <w:ind w:left="780"/>
        <w:spacing w:after="0"/>
        <w:rPr>
          <w:sz w:val="20"/>
          <w:szCs w:val="20"/>
          <w:color w:val="auto"/>
        </w:rPr>
      </w:pPr>
      <w:r>
        <w:rPr>
          <w:rFonts w:ascii="Times New Roman" w:cs="Times New Roman" w:eastAsia="Times New Roman" w:hAnsi="Times New Roman"/>
          <w:sz w:val="14"/>
          <w:szCs w:val="14"/>
          <w:color w:val="auto"/>
        </w:rPr>
        <w:t>10,408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3342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3425" cy="6985"/>
                    </a:xfrm>
                    <a:prstGeom prst="rect">
                      <a:avLst/>
                    </a:prstGeom>
                    <a:noFill/>
                  </pic:spPr>
                </pic:pic>
              </a:graphicData>
            </a:graphic>
          </wp:anchor>
        </w:drawing>
      </w:r>
    </w:p>
    <w:p>
      <w:pPr>
        <w:jc w:val="right"/>
        <w:ind w:right="2280"/>
        <w:spacing w:after="0"/>
        <w:rPr>
          <w:sz w:val="20"/>
          <w:szCs w:val="20"/>
          <w:color w:val="auto"/>
        </w:rPr>
      </w:pPr>
      <w:r>
        <w:rPr>
          <w:rFonts w:ascii="Times New Roman" w:cs="Times New Roman" w:eastAsia="Times New Roman" w:hAnsi="Times New Roman"/>
          <w:sz w:val="14"/>
          <w:szCs w:val="14"/>
          <w:color w:val="auto"/>
        </w:rPr>
        <w:t>(1,423)</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color w:val="auto"/>
        </w:rPr>
        <w:t>8,985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7406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065" cy="6985"/>
                    </a:xfrm>
                    <a:prstGeom prst="rect">
                      <a:avLst/>
                    </a:prstGeom>
                    <a:noFill/>
                  </pic:spPr>
                </pic:pic>
              </a:graphicData>
            </a:graphic>
          </wp:anchor>
        </w:drawing>
      </w:r>
    </w:p>
    <w:p>
      <w:pPr>
        <w:jc w:val="right"/>
        <w:ind w:right="2280"/>
        <w:spacing w:after="0"/>
        <w:rPr>
          <w:sz w:val="20"/>
          <w:szCs w:val="20"/>
          <w:color w:val="auto"/>
        </w:rPr>
      </w:pPr>
      <w:r>
        <w:rPr>
          <w:rFonts w:ascii="Times New Roman" w:cs="Times New Roman" w:eastAsia="Times New Roman" w:hAnsi="Times New Roman"/>
          <w:sz w:val="14"/>
          <w:szCs w:val="14"/>
          <w:color w:val="auto"/>
        </w:rPr>
        <w:t>(2,978)</w:t>
      </w:r>
    </w:p>
    <w:p>
      <w:pPr>
        <w:spacing w:after="0" w:line="9" w:lineRule="exact"/>
        <w:rPr>
          <w:sz w:val="20"/>
          <w:szCs w:val="20"/>
          <w:color w:val="auto"/>
        </w:rPr>
      </w:pPr>
    </w:p>
    <w:p>
      <w:pPr>
        <w:ind w:left="840" w:hanging="836"/>
        <w:spacing w:after="0"/>
        <w:tabs>
          <w:tab w:leader="none" w:pos="8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-101600</wp:posOffset>
            </wp:positionV>
            <wp:extent cx="77406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065" cy="6985"/>
                    </a:xfrm>
                    <a:prstGeom prst="rect">
                      <a:avLst/>
                    </a:prstGeom>
                    <a:noFill/>
                  </pic:spPr>
                </pic:pic>
              </a:graphicData>
            </a:graphic>
          </wp:anchor>
        </w:drawing>
      </w:r>
    </w:p>
    <w:p>
      <w:pPr>
        <w:sectPr>
          <w:pgSz w:w="11900" w:h="16838" w:orient="portrait"/>
          <w:cols w:equalWidth="0" w:num="2">
            <w:col w:w="7080" w:space="720"/>
            <w:col w:w="3480"/>
          </w:cols>
          <w:pgMar w:left="300" w:top="125" w:right="31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Company is also required to pay for operating expenses related to the leased space, including common area maintenance, taxes and insurance. The operating expenses are incurred separately and were not included in the present value of lease payments. Operating lease expenses for years ended December 31 are summarized as follows (in thousands):</w:t>
      </w:r>
    </w:p>
    <w:p>
      <w:pPr>
        <w:spacing w:after="0" w:line="134"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0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5,824</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6,214</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 cost</w:t>
            </w:r>
          </w:p>
        </w:tc>
        <w:tc>
          <w:tcPr>
            <w:tcW w:w="10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w:t>
            </w:r>
          </w:p>
        </w:tc>
        <w:tc>
          <w:tcPr>
            <w:tcW w:w="340" w:type="dxa"/>
            <w:vAlign w:val="bottom"/>
          </w:tcPr>
          <w:p>
            <w:pPr>
              <w:spacing w:after="0"/>
              <w:rPr>
                <w:sz w:val="14"/>
                <w:szCs w:val="14"/>
                <w:color w:val="auto"/>
              </w:rPr>
            </w:pP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10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1,425</w:t>
            </w:r>
          </w:p>
        </w:tc>
        <w:tc>
          <w:tcPr>
            <w:tcW w:w="34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1,876</w:t>
            </w:r>
          </w:p>
        </w:tc>
      </w:tr>
      <w:tr>
        <w:trPr>
          <w:trHeight w:val="18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108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3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57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12"/>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lease cost</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7,259</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8,056</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8. Commitments and Contingencies</w:t>
      </w:r>
    </w:p>
    <w:p>
      <w:pPr>
        <w:spacing w:after="0" w:line="178" w:lineRule="exact"/>
        <w:rPr>
          <w:sz w:val="20"/>
          <w:szCs w:val="20"/>
          <w:color w:val="auto"/>
        </w:rPr>
      </w:pPr>
    </w:p>
    <w:p>
      <w:pPr>
        <w:ind w:left="600" w:hanging="341"/>
        <w:spacing w:after="0"/>
        <w:tabs>
          <w:tab w:leader="none" w:pos="600" w:val="left"/>
        </w:tabs>
        <w:numPr>
          <w:ilvl w:val="0"/>
          <w:numId w:val="9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Purchase Commitments</w:t>
      </w:r>
    </w:p>
    <w:p>
      <w:pPr>
        <w:spacing w:after="0" w:line="18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4"/>
          <w:szCs w:val="14"/>
          <w:color w:val="auto"/>
        </w:rPr>
        <w:t xml:space="preserve">As of December 31, 2025, the Company had approximately $21.1 million of non-cancelable purchase commitments, principally for clinical services which are expected to be paid within the next year. Approximately $20.1 million of non-cancelable purchase commitments are attributable to a third-party vendor that provides clinical services, that is reimbursable at approximately $21.6 million under a cost-plus-fixed-fees arrangement in the ATI-RRPV Contract. In addition, the Company has operating lease commitments as detailed in </w:t>
      </w:r>
      <w:r>
        <w:rPr>
          <w:rFonts w:ascii="Times New Roman" w:cs="Times New Roman" w:eastAsia="Times New Roman" w:hAnsi="Times New Roman"/>
          <w:sz w:val="14"/>
          <w:szCs w:val="14"/>
          <w:u w:val="single" w:color="auto"/>
          <w:color w:val="0000EE"/>
        </w:rPr>
        <w:t>Note 7</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600" w:hanging="341"/>
        <w:spacing w:after="0"/>
        <w:tabs>
          <w:tab w:leader="none" w:pos="600" w:val="left"/>
        </w:tabs>
        <w:numPr>
          <w:ilvl w:val="0"/>
          <w:numId w:val="10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Indemnifications</w:t>
      </w:r>
    </w:p>
    <w:p>
      <w:pPr>
        <w:spacing w:after="0" w:line="18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agreements that may include indemnification provisions. Pursuant to such 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w:t>
      </w:r>
    </w:p>
    <w:p>
      <w:pPr>
        <w:spacing w:after="0" w:line="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4"/>
          <w:szCs w:val="14"/>
          <w:color w:val="auto"/>
        </w:rPr>
        <w:t>is not determinable. The Company has also entered into indemnification agreements with certain officers and directors which provide, among other things, that the Company will indemnify and advance expenses incurred in connection with certain actions, suits or proceedings to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 The Company currently has directors’ and officers’ insurance.</w:t>
      </w:r>
    </w:p>
    <w:p>
      <w:pPr>
        <w:spacing w:after="0" w:line="142" w:lineRule="exact"/>
        <w:rPr>
          <w:sz w:val="20"/>
          <w:szCs w:val="20"/>
          <w:color w:val="auto"/>
        </w:rPr>
      </w:pPr>
    </w:p>
    <w:p>
      <w:pPr>
        <w:ind w:left="600" w:hanging="341"/>
        <w:spacing w:after="0"/>
        <w:tabs>
          <w:tab w:leader="none" w:pos="600" w:val="left"/>
        </w:tabs>
        <w:numPr>
          <w:ilvl w:val="0"/>
          <w:numId w:val="10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Litigation</w:t>
      </w:r>
    </w:p>
    <w:p>
      <w:pPr>
        <w:spacing w:after="0" w:line="180" w:lineRule="exact"/>
        <w:rPr>
          <w:sz w:val="20"/>
          <w:szCs w:val="20"/>
          <w:color w:val="auto"/>
        </w:rPr>
      </w:pPr>
    </w:p>
    <w:p>
      <w:pPr>
        <w:jc w:val="both"/>
        <w:ind w:right="140"/>
        <w:spacing w:after="0" w:line="264" w:lineRule="auto"/>
        <w:rPr>
          <w:sz w:val="20"/>
          <w:szCs w:val="20"/>
          <w:color w:val="auto"/>
        </w:rPr>
      </w:pPr>
      <w:r>
        <w:rPr>
          <w:rFonts w:ascii="Times New Roman" w:cs="Times New Roman" w:eastAsia="Times New Roman" w:hAnsi="Times New Roman"/>
          <w:sz w:val="14"/>
          <w:szCs w:val="14"/>
          <w:color w:val="auto"/>
        </w:rPr>
        <w:t>From time to time the Company may be involved in legal proceedings arising in connection with its business. Based on information currently available, the Company believes that the amount, or range, of reasonably possible losses in connection with any pending actions against it in excess of established reserves, in the aggregate, is indeterminable to its consolidated financial condition or cash flows. However, any current or future dispute resolution or legal proceeding, regardless of the merits of any such proceeding, could result in substantial costs and a diversion of management’s attention and resources that are needed to run the Company successfully, and could have a material adverse impact on its business, financial condition and results of operations.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August and September 2020, two substantially similar securities class actions were filed in the U.S. District Court for the Northern District of California. The first action, titled </w:t>
      </w:r>
      <w:r>
        <w:rPr>
          <w:rFonts w:ascii="Times New Roman" w:cs="Times New Roman" w:eastAsia="Times New Roman" w:hAnsi="Times New Roman"/>
          <w:sz w:val="14"/>
          <w:szCs w:val="14"/>
          <w:i w:val="1"/>
          <w:iCs w:val="1"/>
          <w:u w:val="single" w:color="auto"/>
          <w:color w:val="auto"/>
        </w:rPr>
        <w:t>Himmelberg v.</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Vaxart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Inc. et 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filed on August 24, 2020. The second action, titled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Hovhannisyan v. Vaxart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auto"/>
        </w:rPr>
        <w:t>Inc. et 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was filed on September 1, 2020 (together, the “Putative Class Action”). By Order 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17, 2020, the two actions were deemed related. On December 9, 2020, the court appointed lead plaintiffs and lead plaintiffs’ counsel.</w:t>
      </w:r>
    </w:p>
    <w:p>
      <w:pPr>
        <w:spacing w:after="0" w:line="16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On January 29, 2021, lead plaintiffs filed their consolidated amended complaint. On July 8, 2021, all defendants moved to dismiss the consolidated amended complaint. On May 14, 2021, the court granted lead plaintiffs’ request to amend the consolidated amended complaint and denied defendants’ motions to dismiss as moot. On June 10, 2021, lead plaintiffs filed a first amended consolidated complaint, and on August 9, 2021, lead plaintiffs filed a corrected first amended consolidated complaint. The first amended consolidated complaint, as corrected, named certain of Vaxart’s current and former executive officers and directors, as well as Armistice Capital, LLC (“Armistice”), as defendants. It claimed three violations of federal civil securities laws; violation of Section 10(b) of the Exchange Act and SEC Rule 10b-5, as against the Company and all individual defendants; violation of Section 20(a) of the Exchange Act, as against Armistice and all individual defendants; and violation of Section 20A of the Exchange Act against Armistice. The first amended consolidated complaint, as corrected, alleged that the defendants violated securities laws by misstating and/or omitting information regarding the Company’s development of a norovirus vaccine, the vaccine manufacturing capabilities of a business counterparty, and the Company’s involvement with Operation Warp Speed (“OWS”); and by engaging in a scheme to inflate Vaxart’s stock price. The first amended consolidated complaint sought certification as a class action for similarly situated shareholders and sought, among other things, an unspecified amount of damages and attorneys’ fees and costs. On July 8, 2021, all defendants moved to dismiss the first amended consolidated complaint. By Order dated December 22, 2021, the court granted the motion to dismiss by Armistice with leave to amend and otherwise denied the motions to dismiss. On July 27, 2022, lead plaintiffs filed a notice announcing that they had reached a partial settlement (the “Partial Settlement”) to resolve all claims against the Company and its current or former officers and/or directors in their capacity as officers and/or directors of the Company (the “Settling Defendants”). Pursuant to the Partial Settlement, the Company agreed to a settlement amount of $12.0 million with $2.0 million to be paid by the Company and the remainder to be paid by the Company’s insurers. On November 2, 2022, the Company paid the $2.0 million settlement amount with respect to the Putative Class Action pursuant to the terms of the settlement agreement reached in that case. On November 14, 2022, lead plaintiffs filed a second amended consolidated class action complaint that purported to include new allegations to support claims against Armistice. By Orders dated January 25, 2023, the court approved the Partial Settlement and entered judgment dismissing with prejudice all claims asserted in the Putative Class Action against the Settling Defendants.</w:t>
      </w:r>
    </w:p>
    <w:p>
      <w:pPr>
        <w:spacing w:after="0" w:line="14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4"/>
          <w:szCs w:val="14"/>
          <w:color w:val="auto"/>
        </w:rPr>
        <w:t xml:space="preserve">On October 23, 2020, a complaint was filed in the U.S. District Court for the Southern District of New York, entitled </w:t>
      </w:r>
      <w:r>
        <w:rPr>
          <w:rFonts w:ascii="Times New Roman" w:cs="Times New Roman" w:eastAsia="Times New Roman" w:hAnsi="Times New Roman"/>
          <w:sz w:val="14"/>
          <w:szCs w:val="14"/>
          <w:i w:val="1"/>
          <w:iCs w:val="1"/>
          <w:u w:val="single" w:color="auto"/>
          <w:color w:val="auto"/>
        </w:rPr>
        <w:t>Roth v. Armistice Capital LLC</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et 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complaint names Armistice and certain Armistice-related parties as defendants, asserting a violation of Exchange Act Section 16(b) and seeking the disgorgement of short-swing profits. The complaint purports to bring the lawsuit on behalf of and for the benefit of the Company and names the Company as a “nominal defendant” for whose benefit damages are sought. Following discovery, a motion for summary judgment was filed by Armistice and the Armistice-related party defendants to dismiss the complaint. On March 27, 2024, the court granted the motion for summary judgment and dismissed all claims in the complaint in their entirety. On April 11, 2024, the Plaintiff timely filed a notice of appeal of the court’s decision to the Second Circuit Court of Appeals, commencing appellate proceedings. In June 2024, Plaintiff filed a motion to the court of appeals to stay the appeal pending efforts to re-instate the complaint in the district court, which was granted by the court of appeals. In July 2024, Plaintiff filed a motion with the district court seeking to set aside the judgment and to re-instate the complaint. On August 15, 2024, the district court denied Plaintiff’s motion to set aside the judgment. On September 10, 2024, Plaintiff re-filed its appeal with the Second Circuit Court of Appeals. On August 28, 2025, the Second Circuit Court of Appeals denied Plaintiff’s appeal and affirmed the decision of the district court dismissing all claims in the complaint. Plaintiff’s time to appeal from that decision has expired and no further proceedings remain.</w:t>
      </w:r>
    </w:p>
    <w:p>
      <w:pPr>
        <w:spacing w:after="0" w:line="1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 xml:space="preserve">On January 8, 2021, a purported shareholder, Phillip Chan, commenced a pro se lawsuit in the U.S. District Court for the Northern District of California titled </w:t>
      </w:r>
      <w:r>
        <w:rPr>
          <w:rFonts w:ascii="Times New Roman" w:cs="Times New Roman" w:eastAsia="Times New Roman" w:hAnsi="Times New Roman"/>
          <w:sz w:val="14"/>
          <w:szCs w:val="14"/>
          <w:i w:val="1"/>
          <w:iCs w:val="1"/>
          <w:u w:val="single" w:color="auto"/>
          <w:color w:val="auto"/>
        </w:rPr>
        <w:t>Chan v. Vaxart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Inc. et al</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“Opt-Out Action”), opting out of the consolidated Himmelberg v. Vaxart, Inc. et al. and Hovhannisyan v. Vaxart, Inc. et al. class actions, (together, the “Putative Class Action”). Because this complaint is nearly identical to an earlier version of a complaint filed in the Putative Class Action, the Opt-Out Action has been stayed while the Putative Class Action is pending.</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Stockholders’ Equity</w:t>
      </w:r>
    </w:p>
    <w:p>
      <w:pPr>
        <w:spacing w:after="0" w:line="178" w:lineRule="exact"/>
        <w:rPr>
          <w:sz w:val="20"/>
          <w:szCs w:val="20"/>
          <w:color w:val="auto"/>
        </w:rPr>
      </w:pPr>
    </w:p>
    <w:p>
      <w:pPr>
        <w:ind w:left="600" w:hanging="341"/>
        <w:spacing w:after="0"/>
        <w:tabs>
          <w:tab w:leader="none" w:pos="600" w:val="left"/>
        </w:tabs>
        <w:numPr>
          <w:ilvl w:val="0"/>
          <w:numId w:val="10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Preferred Stock</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The Company is authorized to issue 5,000,000 shares of preferred stock, $0.0001 par value per share. The Company’s board of directors may, without further action by the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deterring or preventing a change of control or other corporate action. No shares of preferred stock are currently outstanding, and the Company has no present plan to issue any shares of preferred stock.</w:t>
      </w:r>
    </w:p>
    <w:p>
      <w:pPr>
        <w:spacing w:after="0" w:line="143" w:lineRule="exact"/>
        <w:rPr>
          <w:sz w:val="20"/>
          <w:szCs w:val="20"/>
          <w:color w:val="auto"/>
        </w:rPr>
      </w:pPr>
    </w:p>
    <w:p>
      <w:pPr>
        <w:ind w:left="600" w:hanging="341"/>
        <w:spacing w:after="0"/>
        <w:tabs>
          <w:tab w:leader="none" w:pos="600" w:val="left"/>
        </w:tabs>
        <w:numPr>
          <w:ilvl w:val="0"/>
          <w:numId w:val="10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Common Stock</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of December 31, 2025, the Company was authorized to issue 350,000,000 shares of common stock, $0.0001 par value per share, which includes an increase of 100,000,000 on June 11, 2024, when the Company’s stockholders approved an amendment to the Company’s certificate of incorporation to increase the number of authorized shares of common stock from 250,000,000 to 350,000,000 shares. Except as otherwise required by law or as otherwise provided in any certificate of designation for any series of preferred stock, the holders of common stock possess all voting power for the election of the Company’s directors and all other matters requiring stockholder action. Holders of common stock are entitled to one vote per share on matters to be voted on by stockholders. Holders of common stock are entitled to receive such dividends, if any, as may be declared from time to time by the Company’s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 As of December 31, 2025, no dividends had been declared by the board of directors.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November 2025, the Company entered into a Purchase Agreement with Dynavax (as defined in Note 1), pursuant to which 11,111,111 shares of the Company's common stock were sold</w:t>
      </w:r>
    </w:p>
    <w:p>
      <w:pPr>
        <w:spacing w:after="0" w:line="23" w:lineRule="exact"/>
        <w:rPr>
          <w:sz w:val="20"/>
          <w:szCs w:val="20"/>
          <w:color w:val="auto"/>
        </w:rPr>
      </w:pPr>
    </w:p>
    <w:p>
      <w:pPr>
        <w:ind w:right="440"/>
        <w:spacing w:after="0" w:line="265" w:lineRule="auto"/>
        <w:rPr>
          <w:sz w:val="20"/>
          <w:szCs w:val="20"/>
          <w:color w:val="auto"/>
        </w:rPr>
      </w:pPr>
      <w:r>
        <w:rPr>
          <w:rFonts w:ascii="Times New Roman" w:cs="Times New Roman" w:eastAsia="Times New Roman" w:hAnsi="Times New Roman"/>
          <w:sz w:val="14"/>
          <w:szCs w:val="14"/>
          <w:color w:val="auto"/>
        </w:rPr>
        <w:t>to Dynavax at a price of $0.45 per share, resulting in gross proceeds of approximately $5.0 million, of which $0.8 million was determined to represent a premium and was allocated to deferred revenue.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June 2024, the Company entered into an underwriting agreement with Oppenheimer &amp; Co. Inc., relating to the issuance and sale by the Company in an underwritten registered direct offering</w:t>
      </w:r>
    </w:p>
    <w:p>
      <w:pPr>
        <w:spacing w:after="0" w:line="2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of 50,000,000 shares of the Company’s common stock, at a price of $0.80 per share. The gross proceeds to the Company from such offering were $40.0 million, and after deducting the underwriting discounts and commissions and estimated offering expenses payable by the Company, the net proceeds were $37.5 million.</w:t>
      </w:r>
    </w:p>
    <w:p>
      <w:pPr>
        <w:spacing w:after="0" w:line="139"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4"/>
          <w:szCs w:val="14"/>
          <w:color w:val="auto"/>
        </w:rPr>
        <w:t>In January 2024, the Company entered into the 2024 Securities Purchase Agreement with RA Capital Healthcare Fund, L.P. pursuant to which 15,384,615 shares of the Company's common stock were sold to RA Capital Healthcare Fund, L.P. at an offering price of $0.65 per share pursuant to the Company’s 2023 Shelf Registration. The gross proceeds from the 2024 Securities Purchase Agreement were $10.0 million and, after deducting offering expenses, the net proceeds were $9.9 million.</w:t>
      </w:r>
    </w:p>
    <w:p>
      <w:pPr>
        <w:spacing w:after="0" w:line="13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color w:val="auto"/>
        </w:rPr>
        <w:t>In the event of the Company’s voluntary or involuntary liquidation, dissolution, distribution of assets or winding-up, the holders of the common stock will be entitled to receive an equal amount per share of all the Company’s assets of whatever kind available for distribution to stockholders, after the rights of the holders of the preferred stock have been satisfied. There are no sinking fund provisions applicable to the common stock.</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shares of common stock reserved for issuance as follows:</w:t>
      </w:r>
    </w:p>
    <w:p>
      <w:pPr>
        <w:spacing w:after="0" w:line="191"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62"/>
        </w:trPr>
        <w:tc>
          <w:tcPr>
            <w:tcW w:w="3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issued and outstanding</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25,407,299</w:t>
            </w:r>
          </w:p>
        </w:tc>
        <w:tc>
          <w:tcPr>
            <w:tcW w:w="1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20,405,239</w:t>
            </w:r>
          </w:p>
        </w:tc>
      </w:tr>
      <w:tr>
        <w:trPr>
          <w:trHeight w:val="1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 issued and outstanding</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5,733,306</w:t>
            </w:r>
          </w:p>
        </w:tc>
        <w:tc>
          <w:tcPr>
            <w:tcW w:w="16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3,016,481</w:t>
            </w:r>
          </w:p>
        </w:tc>
      </w:tr>
      <w:tr>
        <w:trPr>
          <w:trHeight w:val="170"/>
        </w:trPr>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2019</w:t>
            </w:r>
          </w:p>
        </w:tc>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Incentive Plan available for future grant</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10,831,860</w:t>
            </w:r>
          </w:p>
        </w:tc>
        <w:tc>
          <w:tcPr>
            <w:tcW w:w="1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18,046,374</w:t>
            </w:r>
          </w:p>
        </w:tc>
      </w:tr>
      <w:tr>
        <w:trPr>
          <w:trHeight w:val="17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Inducement Award Plan available for future grant</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43,250</w:t>
            </w:r>
          </w:p>
        </w:tc>
        <w:tc>
          <w:tcPr>
            <w:tcW w:w="16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color w:val="auto"/>
              </w:rPr>
              <w:t>1,603,750</w:t>
            </w:r>
          </w:p>
        </w:tc>
      </w:tr>
      <w:tr>
        <w:trPr>
          <w:trHeight w:val="17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warrants</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10,914</w:t>
            </w:r>
          </w:p>
        </w:tc>
        <w:tc>
          <w:tcPr>
            <w:tcW w:w="16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140,596</w:t>
            </w:r>
          </w:p>
        </w:tc>
      </w:tr>
      <w:tr>
        <w:trPr>
          <w:trHeight w:val="170"/>
        </w:trPr>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2022</w:t>
            </w:r>
          </w:p>
        </w:tc>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1,823,454</w:t>
            </w:r>
          </w:p>
        </w:tc>
        <w:tc>
          <w:tcPr>
            <w:tcW w:w="80" w:type="dxa"/>
            <w:vAlign w:val="bottom"/>
          </w:tcPr>
          <w:p>
            <w:pPr>
              <w:spacing w:after="0"/>
              <w:rPr>
                <w:sz w:val="14"/>
                <w:szCs w:val="14"/>
                <w:color w:val="auto"/>
              </w:rPr>
            </w:pPr>
          </w:p>
        </w:tc>
        <w:tc>
          <w:tcPr>
            <w:tcW w:w="1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2,362,902</w:t>
            </w:r>
          </w:p>
        </w:tc>
      </w:tr>
      <w:tr>
        <w:trPr>
          <w:trHeight w:val="200"/>
        </w:trPr>
        <w:tc>
          <w:tcPr>
            <w:tcW w:w="5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43,850,083</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45,575,342</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approved increase of reserved common stock for 2019 Equity Incentive Plan and 2022 Employee Stock Purchase Plan is detailed in </w:t>
      </w:r>
      <w:r>
        <w:rPr>
          <w:rFonts w:ascii="Times New Roman" w:cs="Times New Roman" w:eastAsia="Times New Roman" w:hAnsi="Times New Roman"/>
          <w:sz w:val="14"/>
          <w:szCs w:val="14"/>
          <w:u w:val="single" w:color="auto"/>
          <w:color w:val="0000EE"/>
        </w:rPr>
        <w:t>Note 10</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left="600" w:hanging="341"/>
        <w:spacing w:after="0"/>
        <w:tabs>
          <w:tab w:leader="none" w:pos="600" w:val="left"/>
        </w:tabs>
        <w:numPr>
          <w:ilvl w:val="0"/>
          <w:numId w:val="10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February 2025 and March 2025, 100,532 and 29,150, respectively, of the warrants outstanding as of December 31, 2024, expired unexercised. The following 10,914 warrants for common</w:t>
      </w:r>
    </w:p>
    <w:p>
      <w:pPr>
        <w:spacing w:after="0" w:line="2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stock were outstanding as of December 31, 2025, all of which contain standard anti-dilution protections in the event of subsequent rights offerings, stock splits, stock dividends or other extraordinary dividends, or other similar changes in the Company’s common stock or capital structure, and none of which have any participating rights for any losses:</w:t>
      </w:r>
    </w:p>
    <w:p>
      <w:pPr>
        <w:spacing w:after="0" w:line="164" w:lineRule="exact"/>
        <w:rPr>
          <w:sz w:val="20"/>
          <w:szCs w:val="20"/>
          <w:color w:val="auto"/>
        </w:rPr>
      </w:pPr>
    </w:p>
    <w:tbl>
      <w:tblPr>
        <w:tblLayout w:type="fixed"/>
        <w:tblInd w:w="1120" w:type="dxa"/>
        <w:tblCellMar>
          <w:top w:w="0" w:type="dxa"/>
          <w:left w:w="0" w:type="dxa"/>
          <w:bottom w:w="0" w:type="dxa"/>
          <w:right w:w="0" w:type="dxa"/>
        </w:tblCellMar>
      </w:tblPr>
      <w:tr>
        <w:trPr>
          <w:trHeight w:val="168"/>
        </w:trPr>
        <w:tc>
          <w:tcPr>
            <w:tcW w:w="412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Securities into which warrants are convertible</w:t>
            </w:r>
          </w:p>
        </w:tc>
        <w:tc>
          <w:tcPr>
            <w:tcW w:w="80" w:type="dxa"/>
            <w:vAlign w:val="bottom"/>
          </w:tcPr>
          <w:p>
            <w:pPr>
              <w:spacing w:after="0"/>
              <w:rPr>
                <w:sz w:val="14"/>
                <w:szCs w:val="14"/>
                <w:color w:val="auto"/>
              </w:rPr>
            </w:pPr>
          </w:p>
        </w:tc>
        <w:tc>
          <w:tcPr>
            <w:tcW w:w="1640" w:type="dxa"/>
            <w:vAlign w:val="bottom"/>
          </w:tcPr>
          <w:p>
            <w:pPr>
              <w:jc w:val="right"/>
              <w:ind w:right="253"/>
              <w:spacing w:after="0"/>
              <w:rPr>
                <w:sz w:val="20"/>
                <w:szCs w:val="20"/>
                <w:color w:val="auto"/>
              </w:rPr>
            </w:pPr>
            <w:r>
              <w:rPr>
                <w:rFonts w:ascii="Times New Roman" w:cs="Times New Roman" w:eastAsia="Times New Roman" w:hAnsi="Times New Roman"/>
                <w:sz w:val="13"/>
                <w:szCs w:val="13"/>
                <w:color w:val="auto"/>
              </w:rPr>
              <w:t>Warrants outstanding</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Exercise Price</w:t>
            </w:r>
          </w:p>
        </w:tc>
        <w:tc>
          <w:tcPr>
            <w:tcW w:w="14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Expiration Date</w:t>
            </w:r>
          </w:p>
        </w:tc>
      </w:tr>
      <w:tr>
        <w:trPr>
          <w:trHeight w:val="162"/>
        </w:trPr>
        <w:tc>
          <w:tcPr>
            <w:tcW w:w="41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17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Borders>
              <w:bottom w:val="single" w:sz="8" w:color="CCEEFF"/>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10,914</w:t>
            </w: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22.99</w:t>
            </w:r>
          </w:p>
        </w:tc>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December 2026</w:t>
            </w:r>
          </w:p>
        </w:tc>
      </w:tr>
      <w:tr>
        <w:trPr>
          <w:trHeight w:val="160"/>
        </w:trPr>
        <w:tc>
          <w:tcPr>
            <w:tcW w:w="4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color w:val="auto"/>
              </w:rPr>
              <w:t>10,914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Equity Incentive Plans</w:t>
      </w:r>
    </w:p>
    <w:p>
      <w:pPr>
        <w:spacing w:after="0" w:line="18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4"/>
          <w:szCs w:val="14"/>
          <w:color w:val="auto"/>
        </w:rPr>
        <w:t>On April 23, 2019, the Company’s stockholders approved the adoption of the 2019 Equity Incentive Plan (the “2019 Plan”), under which the Company is authorized to issue incentive stock options, nonqualified stock options, stock appreciation rights, restricted stock awards, restricted stock units (“RSUs”), other stock awards and performance awards that may be settled in cash, stock, or other property. The 2019 Plan is designed to secure and retain the services of employees, directors and consultants, provide incentives for the Company’s employees, directors and consultants to exert maximum efforts for the success of the Company and its affiliates, and provide a means by which employees, directors and consultants may be given an opportunity to benefit from increases in the value of the Company’s common stock. Following adoption of the 2019 Plan, all previous plans were frozen, and on forfeiture, cancellation and expiration, awards under those plans are not assumed by the 2019 Plan.</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aggregate number of shares of common stock authorized for issuance under the 2019 Plan was initially 1,600,000 shares, which was increased through an amendment to the 2019 Plan adopted by the Company’s stockholders (a “Plan Amendment”) on June 8, 2020, to 8,000,000, by a Plan Amendment on June 16, 2021, to 16,900,000, by a Plan Amendment on August 4, 2022, to 28,900,000, and by a Plan Amendment on June 11, 2024, to 43,900,000. Further amendments to the 2019 Plan to increase the share reserve would require stockholder approval. Awards that are forfeited</w:t>
      </w:r>
    </w:p>
    <w:p>
      <w:pPr>
        <w:spacing w:after="0" w:line="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4"/>
          <w:szCs w:val="14"/>
          <w:color w:val="auto"/>
        </w:rPr>
        <w:t>or canceled generally become available for issuance again under the 2019 Plan. Awards have a maximum term of ten years from the grant date and may vest over varying periods, as specified by the Company’s board of directors for each grant.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February 27, 2024, the Company’s board of directors adopted the Vaxart, Inc. 2024 Inducement Award Plan (the “2024 Inducement Plan”). The 2024 Inducement Plan was adopted without stockholder approval pursuant to Nasdaq Listing Rule 5635(c)(4) and is administered by the Compensation Committee of the board of directors or the independent members of the board of directors. The board of directors reserved 3,000,000 shares of the Company’s common stock for issuance under the 2024 Inducement Plan, subject to adjustment as provided in the plan document. The terms of the 2024 Inducement Plan are substantially similar to the terms of the 2019 Plan, with the exception that incentive stock options may not be issued under the 2024 Inducement Plan and equity awards under the 2024 Inducement Plan (including nonqualified stock options, restricted stock, restricted stock units, and other stock-based awards) may be issued only to an employee who is commencing employment with the Company or any subsidiary or who is being rehired following a bona fide interruption of employment by the Company or any subsidiary, in either case if he or she is granted such award in connection with his or her commencement of employment and such grant is an inducement material to his or her entering into employment with the Company or such subsidiary.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stock option and RSU transactions for the years ended December 31, 2025 and 2024 are as follows:</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70"/>
        </w:trPr>
        <w:tc>
          <w:tcPr>
            <w:tcW w:w="2500" w:type="dxa"/>
            <w:vAlign w:val="bottom"/>
          </w:tcPr>
          <w:p>
            <w:pPr>
              <w:spacing w:after="0"/>
              <w:rPr>
                <w:sz w:val="14"/>
                <w:szCs w:val="14"/>
                <w:color w:val="auto"/>
              </w:rPr>
            </w:pPr>
          </w:p>
        </w:tc>
        <w:tc>
          <w:tcPr>
            <w:tcW w:w="13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Option Average</w:t>
            </w: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8"/>
              </w:rPr>
              <w:t>RSU Average</w:t>
            </w:r>
          </w:p>
        </w:tc>
      </w:tr>
      <w:tr>
        <w:trPr>
          <w:trHeight w:val="170"/>
        </w:trPr>
        <w:tc>
          <w:tcPr>
            <w:tcW w:w="2500" w:type="dxa"/>
            <w:vAlign w:val="bottom"/>
          </w:tcPr>
          <w:p>
            <w:pPr>
              <w:spacing w:after="0"/>
              <w:rPr>
                <w:sz w:val="14"/>
                <w:szCs w:val="14"/>
                <w:color w:val="auto"/>
              </w:rPr>
            </w:pPr>
          </w:p>
        </w:tc>
        <w:tc>
          <w:tcPr>
            <w:tcW w:w="136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80" w:type="dxa"/>
            <w:vAlign w:val="bottom"/>
          </w:tcPr>
          <w:p>
            <w:pPr>
              <w:spacing w:after="0"/>
              <w:rPr>
                <w:sz w:val="14"/>
                <w:szCs w:val="14"/>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86"/>
        </w:trPr>
        <w:tc>
          <w:tcPr>
            <w:tcW w:w="2500" w:type="dxa"/>
            <w:vAlign w:val="bottom"/>
          </w:tcPr>
          <w:p>
            <w:pPr>
              <w:spacing w:after="0"/>
              <w:rPr>
                <w:sz w:val="16"/>
                <w:szCs w:val="16"/>
                <w:color w:val="auto"/>
              </w:rPr>
            </w:pPr>
          </w:p>
        </w:tc>
        <w:tc>
          <w:tcPr>
            <w:tcW w:w="13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60"/>
        </w:trPr>
        <w:tc>
          <w:tcPr>
            <w:tcW w:w="25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5,685,806</w:t>
            </w:r>
          </w:p>
        </w:tc>
        <w:tc>
          <w:tcPr>
            <w:tcW w:w="14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17,938,726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2.90</w:t>
            </w:r>
          </w:p>
        </w:tc>
        <w:tc>
          <w:tcPr>
            <w:tcW w:w="14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2,126,373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1.37</w:t>
            </w:r>
          </w:p>
        </w:tc>
      </w:tr>
      <w:tr>
        <w:trPr>
          <w:trHeight w:val="170"/>
        </w:trPr>
        <w:tc>
          <w:tcPr>
            <w:tcW w:w="2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Authorized under 2024 Inducement Plan</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3,000,000</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Authorized under 2019 Plan Amendment</w:t>
            </w:r>
          </w:p>
        </w:tc>
        <w:tc>
          <w:tcPr>
            <w:tcW w:w="1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15,000,000</w:t>
            </w:r>
          </w:p>
        </w:tc>
        <w:tc>
          <w:tcPr>
            <w:tcW w:w="80" w:type="dxa"/>
            <w:vAlign w:val="bottom"/>
          </w:tcPr>
          <w:p>
            <w:pPr>
              <w:spacing w:after="0"/>
              <w:rPr>
                <w:sz w:val="14"/>
                <w:szCs w:val="14"/>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(7,258,980)</w:t>
            </w:r>
          </w:p>
        </w:tc>
        <w:tc>
          <w:tcPr>
            <w:tcW w:w="14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5,309,437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1.12</w:t>
            </w:r>
          </w:p>
        </w:tc>
        <w:tc>
          <w:tcPr>
            <w:tcW w:w="14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1,949,543</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1.13</w:t>
            </w: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(38,030)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0.78</w:t>
            </w:r>
          </w:p>
        </w:tc>
        <w:tc>
          <w:tcPr>
            <w:tcW w:w="80" w:type="dxa"/>
            <w:vAlign w:val="bottom"/>
          </w:tcPr>
          <w:p>
            <w:pPr>
              <w:spacing w:after="0"/>
              <w:rPr>
                <w:sz w:val="14"/>
                <w:szCs w:val="14"/>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Released</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(599,260)</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1.48</w:t>
            </w: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1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1,944,001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(1,483,826)</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2.29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(460,175)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1.41</w:t>
            </w: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Canceled</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1,279,297</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(1,321,068)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2.87</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50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60"/>
        </w:trPr>
        <w:tc>
          <w:tcPr>
            <w:tcW w:w="25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19,650,124</w:t>
            </w:r>
          </w:p>
        </w:tc>
        <w:tc>
          <w:tcPr>
            <w:tcW w:w="80" w:type="dxa"/>
            <w:vAlign w:val="bottom"/>
          </w:tcPr>
          <w:p>
            <w:pPr>
              <w:spacing w:after="0"/>
              <w:rPr>
                <w:sz w:val="13"/>
                <w:szCs w:val="13"/>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20,405,239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2.49</w:t>
            </w:r>
          </w:p>
        </w:tc>
        <w:tc>
          <w:tcPr>
            <w:tcW w:w="14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3,016,481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w:t>
            </w:r>
          </w:p>
        </w:tc>
      </w:tr>
      <w:tr>
        <w:trPr>
          <w:trHeight w:val="170"/>
        </w:trPr>
        <w:tc>
          <w:tcPr>
            <w:tcW w:w="25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(12,969,746)</w:t>
            </w:r>
          </w:p>
        </w:tc>
        <w:tc>
          <w:tcPr>
            <w:tcW w:w="14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8,281,792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0.53</w:t>
            </w:r>
          </w:p>
        </w:tc>
        <w:tc>
          <w:tcPr>
            <w:tcW w:w="142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4,687,954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0.51</w:t>
            </w: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Exercised</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0.78</w:t>
            </w:r>
          </w:p>
        </w:tc>
        <w:tc>
          <w:tcPr>
            <w:tcW w:w="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Released</w:t>
            </w:r>
          </w:p>
        </w:tc>
        <w:tc>
          <w:tcPr>
            <w:tcW w:w="1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(1,041,423)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1.13</w:t>
            </w:r>
          </w:p>
        </w:tc>
      </w:tr>
      <w:tr>
        <w:trPr>
          <w:trHeight w:val="17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Forfeited</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2,781,683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(1,851,977)</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0.94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(929,706)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0.83</w:t>
            </w:r>
          </w:p>
        </w:tc>
      </w:tr>
      <w:tr>
        <w:trPr>
          <w:trHeight w:val="17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Canceled</w:t>
            </w:r>
          </w:p>
        </w:tc>
        <w:tc>
          <w:tcPr>
            <w:tcW w:w="13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1,413,049</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(1,424,130)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4"/>
                <w:szCs w:val="14"/>
                <w:color w:val="auto"/>
              </w:rPr>
            </w:pPr>
          </w:p>
        </w:tc>
        <w:tc>
          <w:tcPr>
            <w:tcW w:w="13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5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8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3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10,875,110</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25,407,299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1.96</w:t>
            </w:r>
          </w:p>
        </w:tc>
        <w:tc>
          <w:tcPr>
            <w:tcW w:w="142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5,733,306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0.70</w:t>
            </w: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4"/>
          <w:szCs w:val="14"/>
          <w:color w:val="auto"/>
        </w:rPr>
        <w:t>As of December 31, 2025, there were 25,407,299 options outstanding with a weighted average exercise price of $1.96, a weighted average remaining term of 7.28 years, and an aggregate intrinsic value of $4,000. Of these options, 14,808,497 were vested, with a weighted average exercise price of $2.84, a weighted average remaining term of 6.16 years, and an aggregate intrinsic value of $4,000.</w:t>
      </w:r>
    </w:p>
    <w:p>
      <w:pPr>
        <w:spacing w:after="0" w:line="13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4"/>
          <w:szCs w:val="14"/>
          <w:color w:val="auto"/>
        </w:rPr>
        <w:t>The Company received $3,000 for the 3,625 options exercised in the year ended December 31, 2025, which had a minimal intrinsic value. The aggregate intrinsic value represents the total pre-tax value (i.e., the difference between the Company’s stock price and the exercise price) of stock options outstanding as of December 31, 2025, based on the Company’s common stock closing price of $0.35 on December 31, 2025, which would have been received by the option holders had all their in-the-money options been exercised as of that date. The Company received $30,000 for the 38,030 options exercised in the year ended December 31, 2024, which had an intrinsic value of $7,000.</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The weighted average grant date fair value of options awarded in the years ended December 31, 2025 and 2024, was $0.47 and $1.01, respectively. Fair values were estimated using the following assumptions: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3340" w:type="dxa"/>
            <w:vAlign w:val="bottom"/>
            <w:tcBorders>
              <w:bottom w:val="single" w:sz="8" w:color="auto"/>
            </w:tcBorders>
            <w:gridSpan w:val="3"/>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0"/>
        </w:trPr>
        <w:tc>
          <w:tcPr>
            <w:tcW w:w="5680" w:type="dxa"/>
            <w:vAlign w:val="bottom"/>
          </w:tcPr>
          <w:p>
            <w:pPr>
              <w:spacing w:after="0"/>
              <w:rPr>
                <w:sz w:val="13"/>
                <w:szCs w:val="13"/>
                <w:color w:val="auto"/>
              </w:rPr>
            </w:pPr>
          </w:p>
        </w:tc>
        <w:tc>
          <w:tcPr>
            <w:tcW w:w="1660" w:type="dxa"/>
            <w:vAlign w:val="bottom"/>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56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r>
      <w:tr>
        <w:trPr>
          <w:trHeight w:val="21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6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 - 4.4%</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 - 4.4%</w:t>
            </w:r>
          </w:p>
        </w:tc>
      </w:tr>
      <w:tr>
        <w:trPr>
          <w:trHeight w:val="141"/>
        </w:trPr>
        <w:tc>
          <w:tcPr>
            <w:tcW w:w="5680" w:type="dxa"/>
            <w:vAlign w:val="bottom"/>
          </w:tcPr>
          <w:p>
            <w:pPr>
              <w:ind w:left="20"/>
              <w:spacing w:after="0" w:line="141" w:lineRule="exact"/>
              <w:rPr>
                <w:sz w:val="20"/>
                <w:szCs w:val="20"/>
                <w:color w:val="auto"/>
              </w:rPr>
            </w:pPr>
            <w:r>
              <w:rPr>
                <w:rFonts w:ascii="Times New Roman" w:cs="Times New Roman" w:eastAsia="Times New Roman" w:hAnsi="Times New Roman"/>
                <w:sz w:val="14"/>
                <w:szCs w:val="14"/>
                <w:color w:val="auto"/>
              </w:rPr>
              <w:t>Expected term (in years)</w:t>
            </w:r>
          </w:p>
        </w:tc>
        <w:tc>
          <w:tcPr>
            <w:tcW w:w="1660" w:type="dxa"/>
            <w:vAlign w:val="bottom"/>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5.50 - 6.00</w:t>
            </w:r>
          </w:p>
        </w:tc>
        <w:tc>
          <w:tcPr>
            <w:tcW w:w="1680" w:type="dxa"/>
            <w:vAlign w:val="bottom"/>
            <w:gridSpan w:val="2"/>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5.50 - 6.00</w:t>
            </w:r>
          </w:p>
        </w:tc>
      </w:tr>
      <w:tr>
        <w:trPr>
          <w:trHeight w:val="20"/>
        </w:trPr>
        <w:tc>
          <w:tcPr>
            <w:tcW w:w="56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181"/>
        </w:trPr>
        <w:tc>
          <w:tcPr>
            <w:tcW w:w="56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Expected volatility</w:t>
            </w:r>
          </w:p>
        </w:tc>
        <w:tc>
          <w:tcPr>
            <w:tcW w:w="1660" w:type="dxa"/>
            <w:vAlign w:val="bottom"/>
            <w:shd w:val="clear" w:color="auto" w:fill="CCEEFF"/>
          </w:tcPr>
          <w:p>
            <w:pPr>
              <w:jc w:val="right"/>
              <w:ind w:right="49"/>
              <w:spacing w:after="0" w:line="141" w:lineRule="exact"/>
              <w:rPr>
                <w:sz w:val="20"/>
                <w:szCs w:val="20"/>
                <w:color w:val="auto"/>
              </w:rPr>
            </w:pPr>
            <w:r>
              <w:rPr>
                <w:rFonts w:ascii="Times New Roman" w:cs="Times New Roman" w:eastAsia="Times New Roman" w:hAnsi="Times New Roman"/>
                <w:sz w:val="14"/>
                <w:szCs w:val="14"/>
                <w:color w:val="auto"/>
              </w:rPr>
              <w:t>125.6% - 128.6%</w:t>
            </w:r>
          </w:p>
        </w:tc>
        <w:tc>
          <w:tcPr>
            <w:tcW w:w="1680" w:type="dxa"/>
            <w:vAlign w:val="bottom"/>
            <w:gridSpan w:val="2"/>
            <w:shd w:val="clear" w:color="auto" w:fill="CCEEFF"/>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128.9% - 130.8%</w:t>
            </w:r>
          </w:p>
        </w:tc>
      </w:tr>
      <w:tr>
        <w:trPr>
          <w:trHeight w:val="141"/>
        </w:trPr>
        <w:tc>
          <w:tcPr>
            <w:tcW w:w="5680" w:type="dxa"/>
            <w:vAlign w:val="bottom"/>
            <w:tcBorders>
              <w:top w:val="single" w:sz="8" w:color="CCEEFF"/>
            </w:tcBorders>
          </w:tcPr>
          <w:p>
            <w:pPr>
              <w:ind w:left="20"/>
              <w:spacing w:after="0" w:line="141" w:lineRule="exact"/>
              <w:rPr>
                <w:sz w:val="20"/>
                <w:szCs w:val="20"/>
                <w:color w:val="auto"/>
              </w:rPr>
            </w:pPr>
            <w:r>
              <w:rPr>
                <w:rFonts w:ascii="Times New Roman" w:cs="Times New Roman" w:eastAsia="Times New Roman" w:hAnsi="Times New Roman"/>
                <w:sz w:val="14"/>
                <w:szCs w:val="14"/>
                <w:color w:val="auto"/>
              </w:rPr>
              <w:t>Dividend yield</w:t>
            </w:r>
          </w:p>
        </w:tc>
        <w:tc>
          <w:tcPr>
            <w:tcW w:w="166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9"/>
              <w:spacing w:after="0" w:line="141"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56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4"/>
          <w:szCs w:val="14"/>
          <w:color w:val="auto"/>
        </w:rPr>
        <w:t>The Company measures the fair value of all stock-based awards on the grant date and records the fair value of these awards, net of estimated forfeitures, to compensation expense over the service period. Total stock-based compensation recognized for options, RSUs and ESPP was as follows (in thousands):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60"/>
        </w:trPr>
        <w:tc>
          <w:tcPr>
            <w:tcW w:w="5700" w:type="dxa"/>
            <w:vAlign w:val="bottom"/>
          </w:tcPr>
          <w:p>
            <w:pPr>
              <w:spacing w:after="0"/>
              <w:rPr>
                <w:sz w:val="13"/>
                <w:szCs w:val="13"/>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3"/>
                <w:szCs w:val="13"/>
                <w:color w:val="auto"/>
              </w:rPr>
            </w:pPr>
          </w:p>
        </w:tc>
        <w:tc>
          <w:tcPr>
            <w:tcW w:w="110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3"/>
                <w:szCs w:val="13"/>
                <w:color w:val="auto"/>
              </w:rPr>
            </w:pPr>
          </w:p>
        </w:tc>
      </w:tr>
      <w:tr>
        <w:trPr>
          <w:trHeight w:val="160"/>
        </w:trPr>
        <w:tc>
          <w:tcPr>
            <w:tcW w:w="57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80" w:type="dxa"/>
            <w:vAlign w:val="bottom"/>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5,554</w:t>
            </w:r>
          </w:p>
        </w:tc>
        <w:tc>
          <w:tcPr>
            <w:tcW w:w="1100" w:type="dxa"/>
            <w:vAlign w:val="bottom"/>
            <w:gridSpan w:val="2"/>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7,246</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2,760</w:t>
            </w:r>
          </w:p>
        </w:tc>
        <w:tc>
          <w:tcPr>
            <w:tcW w:w="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4,255</w:t>
            </w:r>
          </w:p>
        </w:tc>
      </w:tr>
      <w:tr>
        <w:trPr>
          <w:trHeight w:val="20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8,314</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11,501</w:t>
            </w:r>
          </w:p>
        </w:tc>
      </w:tr>
    </w:tbl>
    <w:p>
      <w:pPr>
        <w:spacing w:after="0" w:line="15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4"/>
          <w:szCs w:val="14"/>
          <w:color w:val="auto"/>
        </w:rPr>
        <w:t>As of December 31, 2025, the unrecognized stock-based compensation cost related to outstanding unvested stock options and RSUs expected to vest was $9.2 million, which the Company expects to recognize over an estimated weighted average period of 2.4 years.</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On August 4, 2022, the 2022 Employee Stock Purchase Plan (the “2022 ESPP”) was approved by the Company’s stockholders. The Company initially reserved 1,800,000 shares of the Company’s common stock for purchase under the 2022 ESPP, which was increased by 1,800,000 shares through an amendment to the 2022 ESPP adopted by the Company’s stockholders on June 11, 2024, to 3,600,000 shares. The 2022 ESPP generally has a six-month offering period comprised of one purchase period. In May 2024, the 2022 ESPP had a one-time modification following the end of the six-month offering period ended May 31, 2024, to commence the follow-on offering period on July 1, 2024 for a five-month offering period. The purchase price of the stock is equal to 85% of the lesser of the market value of such shares at the beginning of the six-month offering period or the end of such offering period. During the year ended December 31, 2025, the Company received $0.2 million and issued 539,448 treasury shares under the 2022 ESPP. During the year ended December 31, 2024, the Company received $0.5 million and issued 782,939 shares under the 2022 ESPP. As of December 31, 2025, 1,823,454 shares are available and reserved for future issuance under the 2022 ESPP.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 related to the ESPP was $0.2 million for each of the years ended December 31, 2025 and 2024.</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Benefit Plan</w:t>
      </w:r>
    </w:p>
    <w:p>
      <w:pPr>
        <w:spacing w:after="0" w:line="18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The Company provides a tax-qualified employee savings and retirement plan commonly known as a 401(k) plan (the “Plan”), which covers the Company’s eligible employees. Pursuant to the Plan, employees may elect to defer their current compensation up to the IRS annual contribution limit of $23,500 for calendar year 2025 and $23,000 for calendar year 2024. Employees age 50 or over may elect to contribute an additional $7,500 annually for 2025 and 2024.</w:t>
      </w:r>
    </w:p>
    <w:p>
      <w:pPr>
        <w:spacing w:after="0" w:line="137"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4"/>
          <w:szCs w:val="14"/>
          <w:color w:val="auto"/>
        </w:rPr>
        <w:t>Employees direct their contributions, which vest immediately, across a series of mutual funds. In the years ended December 31, 2025 and 2024, the Company matched employee contributions up to 3% of each employee’s eligible earnings, vesting immediately. The Company’s matching contributions totaled $0.5 million for each of the years ended December 31, 2025 and 2024. The costs of administering the Plan totaled $30,000 and $38,000 in the years ended December 31, 2025 and 2024, respectively.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worldwide pretax earnings by United States and foreign jurisdictions consist of the following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14,703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(67,489)</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2,100</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801</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worldwide pretax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16,803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line="201" w:lineRule="exact"/>
              <w:rPr>
                <w:sz w:val="20"/>
                <w:szCs w:val="20"/>
                <w:color w:val="auto"/>
              </w:rPr>
            </w:pPr>
            <w:r>
              <w:rPr>
                <w:rFonts w:ascii="Times New Roman" w:cs="Times New Roman" w:eastAsia="Times New Roman" w:hAnsi="Times New Roman"/>
                <w:sz w:val="12"/>
                <w:szCs w:val="12"/>
                <w:color w:val="auto"/>
              </w:rPr>
              <w:t>(66,688</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provision for income taxes consists of the following (in thousands):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40" w:type="dxa"/>
            <w:vAlign w:val="bottom"/>
          </w:tcPr>
          <w:p>
            <w:pPr>
              <w:spacing w:after="0"/>
              <w:rPr>
                <w:sz w:val="14"/>
                <w:szCs w:val="14"/>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w:t>
            </w: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Deferred</w:t>
            </w: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311"/>
        </w:trPr>
        <w:tc>
          <w:tcPr>
            <w:tcW w:w="6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tax effect of significant items comprising deferred tax assets are as follows (in thousands):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120" w:type="dxa"/>
            <w:vAlign w:val="bottom"/>
          </w:tcPr>
          <w:p>
            <w:pPr>
              <w:spacing w:after="0"/>
              <w:rPr>
                <w:sz w:val="24"/>
                <w:szCs w:val="24"/>
                <w:color w:val="auto"/>
              </w:rPr>
            </w:pPr>
          </w:p>
        </w:tc>
        <w:tc>
          <w:tcPr>
            <w:tcW w:w="57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54,574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48,154</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tax credits</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20,387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12,949</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research and development</w:t>
            </w:r>
          </w:p>
        </w:tc>
        <w:tc>
          <w:tcPr>
            <w:tcW w:w="140" w:type="dxa"/>
            <w:vAlign w:val="bottom"/>
          </w:tcPr>
          <w:p>
            <w:pPr>
              <w:spacing w:after="0"/>
              <w:rPr>
                <w:sz w:val="14"/>
                <w:szCs w:val="14"/>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18,283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27,892</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future royalties</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1,179</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w:t>
            </w:r>
          </w:p>
        </w:tc>
        <w:tc>
          <w:tcPr>
            <w:tcW w:w="140" w:type="dxa"/>
            <w:vAlign w:val="bottom"/>
          </w:tcPr>
          <w:p>
            <w:pPr>
              <w:spacing w:after="0"/>
              <w:rPr>
                <w:sz w:val="14"/>
                <w:szCs w:val="14"/>
                <w:color w:val="auto"/>
              </w:rPr>
            </w:pPr>
          </w:p>
        </w:tc>
        <w:tc>
          <w:tcPr>
            <w:tcW w:w="1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2,068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3,682</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Accruals, reserves and other</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1,790</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4,886</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104,880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100,532</w:t>
            </w: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Valuation allowance</w:t>
            </w: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(100,494)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(94,119)</w:t>
            </w: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Deferred tax assets net of valuation allowance</w:t>
            </w:r>
          </w:p>
        </w:tc>
        <w:tc>
          <w:tcPr>
            <w:tcW w:w="14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4,386</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6,413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159"/>
          </w:cols>
          <w:pgMar w:left="300" w:top="125" w:right="1440" w:bottom="1440" w:gutter="0" w:footer="0" w:header="0"/>
        </w:sectPr>
      </w:pPr>
    </w:p>
    <w:p>
      <w:pPr>
        <w:ind w:left="1140"/>
        <w:spacing w:after="0"/>
        <w:rPr>
          <w:sz w:val="20"/>
          <w:szCs w:val="20"/>
          <w:color w:val="auto"/>
        </w:rPr>
      </w:pPr>
      <w:r>
        <w:rPr>
          <w:rFonts w:ascii="Times New Roman" w:cs="Times New Roman" w:eastAsia="Times New Roman" w:hAnsi="Times New Roman"/>
          <w:sz w:val="14"/>
          <w:szCs w:val="14"/>
          <w:color w:val="auto"/>
        </w:rPr>
        <w:t>Deferred tax liabilities:</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Intangible assets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Right-of-use assets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Depreciation on property and equipment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Total deferred tax liabilities</w:t>
      </w:r>
    </w:p>
    <w:p>
      <w:pPr>
        <w:spacing w:after="0" w:line="1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Net deferred tax assets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1320" w:type="dxa"/>
        <w:tblCellMar>
          <w:top w:w="0" w:type="dxa"/>
          <w:left w:w="0" w:type="dxa"/>
          <w:bottom w:w="0" w:type="dxa"/>
          <w:right w:w="0" w:type="dxa"/>
        </w:tblCellMar>
      </w:tblPr>
      <w:tr>
        <w:trPr>
          <w:trHeight w:val="170"/>
        </w:trPr>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700" w:type="dxa"/>
            <w:vAlign w:val="bottom"/>
            <w:gridSpan w:val="2"/>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r>
      <w:tr>
        <w:trPr>
          <w:trHeight w:val="170"/>
        </w:trPr>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(2,631)</w:t>
            </w:r>
          </w:p>
        </w:tc>
        <w:tc>
          <w:tcPr>
            <w:tcW w:w="700" w:type="dxa"/>
            <w:vAlign w:val="bottom"/>
            <w:gridSpan w:val="2"/>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(4,309)</w:t>
            </w:r>
          </w:p>
        </w:tc>
      </w:tr>
      <w:tr>
        <w:trPr>
          <w:trHeight w:val="184"/>
        </w:trPr>
        <w:tc>
          <w:tcPr>
            <w:tcW w:w="6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60"/>
        </w:trPr>
        <w:tc>
          <w:tcPr>
            <w:tcW w:w="6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(4,386)</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(6,413)</w:t>
            </w:r>
          </w:p>
        </w:tc>
      </w:tr>
      <w:tr>
        <w:trPr>
          <w:trHeight w:val="330"/>
        </w:trPr>
        <w:tc>
          <w:tcPr>
            <w:tcW w:w="64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-679450</wp:posOffset>
            </wp:positionV>
            <wp:extent cx="5728335" cy="1079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28335" cy="1079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-463550</wp:posOffset>
            </wp:positionV>
            <wp:extent cx="5728335" cy="1079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28335" cy="107950"/>
                    </a:xfrm>
                    <a:prstGeom prst="rect">
                      <a:avLst/>
                    </a:prstGeom>
                    <a:noFill/>
                  </pic:spPr>
                </pic:pic>
              </a:graphicData>
            </a:graphic>
          </wp:anchor>
        </w:drawing>
        <w:drawing>
          <wp:anchor simplePos="0" relativeHeight="251657728" behindDoc="1" locked="0" layoutInCell="0" allowOverlap="1">
            <wp:simplePos x="0" y="0"/>
            <wp:positionH relativeFrom="column">
              <wp:posOffset>-2775585</wp:posOffset>
            </wp:positionH>
            <wp:positionV relativeFrom="paragraph">
              <wp:posOffset>-241935</wp:posOffset>
            </wp:positionV>
            <wp:extent cx="5728335" cy="1143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28335" cy="11430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68580</wp:posOffset>
            </wp:positionV>
            <wp:extent cx="7161530" cy="133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2">
            <w:col w:w="4780" w:space="720"/>
            <w:col w:w="4659"/>
          </w:cols>
          <w:pgMar w:left="300" w:top="125" w:right="1440" w:bottom="1440" w:gutter="0" w:footer="0" w:header="0"/>
          <w:type w:val="continuous"/>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1530" cy="133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33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 xml:space="preserve">As further described in Recently Adopted Accounting Pronouncements in Note 2, we have elected to prospectively adopt the guidance in ASU 2023-09, </w:t>
      </w:r>
      <w:r>
        <w:rPr>
          <w:rFonts w:ascii="Times New Roman" w:cs="Times New Roman" w:eastAsia="Times New Roman" w:hAnsi="Times New Roman"/>
          <w:sz w:val="14"/>
          <w:szCs w:val="14"/>
          <w:i w:val="1"/>
          <w:iCs w:val="1"/>
          <w:color w:val="auto"/>
        </w:rPr>
        <w:t>Income Taxes (Topic 740): Improvements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Income Tax Disclosures.</w:t>
      </w:r>
    </w:p>
    <w:p>
      <w:pPr>
        <w:spacing w:after="0" w:line="12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Companies can adopt the new requirements prospectively without revisions of comparative period disclosures but the income tax footnote disclosures in the year of adoption would not be comparable (2025 disclosures would follow the new requirements of ASU 2023-09, while the comparative-period disclosures of 2024 would follow the current disclosure requirements in ASC 740-50 and related SEC requirements). To maintain comparability, retroactive application to comparative-period disclosures is allowed. The Company is electing to report the new requirements using the prospective method.</w:t>
      </w:r>
    </w:p>
    <w:p>
      <w:pPr>
        <w:spacing w:after="0" w:line="14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4"/>
          <w:szCs w:val="14"/>
          <w:color w:val="auto"/>
        </w:rPr>
        <w:t>The following table is a reconciliation of the provision for income taxes with the expected provision for income taxes computed by applying the federal statutory income tax rate of 21% to the net income (loss) before provision for income taxes in accordance with ASU 2023-09, as follows (in thousands):</w:t>
      </w:r>
    </w:p>
    <w:p>
      <w:pPr>
        <w:spacing w:after="0" w:line="123"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86"/>
        </w:trPr>
        <w:tc>
          <w:tcPr>
            <w:tcW w:w="3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60"/>
        </w:trPr>
        <w:tc>
          <w:tcPr>
            <w:tcW w:w="39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76"/>
        </w:trPr>
        <w:tc>
          <w:tcPr>
            <w:tcW w:w="3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0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153"/>
        </w:trPr>
        <w:tc>
          <w:tcPr>
            <w:tcW w:w="3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taxes at statutory rate</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3,528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21.0%</w:t>
            </w:r>
          </w:p>
        </w:tc>
      </w:tr>
      <w:tr>
        <w:trPr>
          <w:trHeight w:val="17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taxes (net of federal benefit)</w:t>
            </w:r>
          </w:p>
        </w:tc>
        <w:tc>
          <w:tcPr>
            <w:tcW w:w="460" w:type="dxa"/>
            <w:vAlign w:val="bottom"/>
          </w:tcPr>
          <w:p>
            <w:pPr>
              <w:spacing w:after="0"/>
              <w:rPr>
                <w:sz w:val="14"/>
                <w:szCs w:val="1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w:t>
            </w:r>
          </w:p>
        </w:tc>
      </w:tr>
      <w:tr>
        <w:trPr>
          <w:trHeight w:val="1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7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rate differential</w:t>
            </w:r>
          </w:p>
        </w:tc>
        <w:tc>
          <w:tcPr>
            <w:tcW w:w="460" w:type="dxa"/>
            <w:vAlign w:val="bottom"/>
          </w:tcPr>
          <w:p>
            <w:pPr>
              <w:spacing w:after="0"/>
              <w:rPr>
                <w:sz w:val="14"/>
                <w:szCs w:val="14"/>
                <w:color w:val="auto"/>
              </w:rPr>
            </w:pPr>
          </w:p>
        </w:tc>
        <w:tc>
          <w:tcPr>
            <w:tcW w:w="2200" w:type="dxa"/>
            <w:vAlign w:val="bottom"/>
            <w:gridSpan w:val="3"/>
          </w:tcPr>
          <w:p>
            <w:pPr>
              <w:jc w:val="right"/>
              <w:ind w:right="1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(0.7)</w:t>
            </w:r>
          </w:p>
        </w:tc>
      </w:tr>
      <w:tr>
        <w:trPr>
          <w:trHeight w:val="1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nondeductible items</w:t>
            </w: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(0.1)</w:t>
            </w:r>
          </w:p>
        </w:tc>
      </w:tr>
      <w:tr>
        <w:trPr>
          <w:trHeight w:val="17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credits</w:t>
            </w:r>
          </w:p>
        </w:tc>
        <w:tc>
          <w:tcPr>
            <w:tcW w:w="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(11,442)</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(68.1)</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r>
      <w:tr>
        <w:trPr>
          <w:trHeight w:val="1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4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(17.4)</w:t>
            </w:r>
          </w:p>
        </w:tc>
      </w:tr>
      <w:tr>
        <w:trPr>
          <w:trHeight w:val="17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unrecognized tax benefits</w:t>
            </w:r>
          </w:p>
        </w:tc>
        <w:tc>
          <w:tcPr>
            <w:tcW w:w="460" w:type="dxa"/>
            <w:vAlign w:val="bottom"/>
          </w:tcPr>
          <w:p>
            <w:pPr>
              <w:spacing w:after="0"/>
              <w:rPr>
                <w:sz w:val="14"/>
                <w:szCs w:val="14"/>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4,577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1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Prior year true-up</w:t>
            </w:r>
          </w:p>
        </w:tc>
        <w:tc>
          <w:tcPr>
            <w:tcW w:w="460" w:type="dxa"/>
            <w:vAlign w:val="bottom"/>
            <w:shd w:val="clear" w:color="auto" w:fill="CCEEFF"/>
          </w:tcPr>
          <w:p>
            <w:pPr>
              <w:spacing w:after="0"/>
              <w:rPr>
                <w:sz w:val="14"/>
                <w:szCs w:val="14"/>
                <w:color w:val="auto"/>
              </w:rPr>
            </w:pPr>
          </w:p>
        </w:tc>
        <w:tc>
          <w:tcPr>
            <w:tcW w:w="2200" w:type="dxa"/>
            <w:vAlign w:val="bottom"/>
            <w:gridSpan w:val="3"/>
            <w:shd w:val="clear" w:color="auto" w:fill="CCEEFF"/>
          </w:tcPr>
          <w:p>
            <w:pPr>
              <w:jc w:val="right"/>
              <w:ind w:right="1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(5.5)</w:t>
            </w:r>
          </w:p>
        </w:tc>
      </w:tr>
      <w:tr>
        <w:trPr>
          <w:trHeight w:val="18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(2.0)</w:t>
            </w:r>
          </w:p>
        </w:tc>
      </w:tr>
      <w:tr>
        <w:trPr>
          <w:trHeight w:val="160"/>
        </w:trPr>
        <w:tc>
          <w:tcPr>
            <w:tcW w:w="39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91"/>
        </w:trPr>
        <w:tc>
          <w:tcPr>
            <w:tcW w:w="39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(0.4)%</w:t>
            </w:r>
          </w:p>
        </w:tc>
      </w:tr>
      <w:tr>
        <w:trPr>
          <w:trHeight w:val="20"/>
        </w:trPr>
        <w:tc>
          <w:tcPr>
            <w:tcW w:w="3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4"/>
          <w:szCs w:val="14"/>
          <w:color w:val="auto"/>
        </w:rPr>
        <w:t>The Company’s actual tax expense differed from the statutory federal income tax expense using a tax rate of 21% for the years ended December 31, 2025 and 2024, respectively, primarily due to foreign income taxes being taxed at different rates, non-deductible expenses, research and development tax credits, and the change in valuation allowance.</w:t>
      </w:r>
    </w:p>
    <w:p>
      <w:pPr>
        <w:spacing w:after="0" w:line="12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As of December 31, 2025 and 2024, the Company had net operating loss (“NOL”) carryforwards of $254.0 million and $221.1 million for federal purposes, and $18.9 million and $8.9 million for state purposes, respectively. If not utilized, federal net operating losses of $1.7 million will begin to expire in 2026 and $252.3 million will be carried forward indefinitely; state net operating losses of $7.3 million will begin to expire in 2028 and $11.6 million will be carried forward indefinitely.</w:t>
      </w:r>
    </w:p>
    <w:p>
      <w:pPr>
        <w:spacing w:after="0" w:line="13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4"/>
          <w:szCs w:val="14"/>
          <w:color w:val="auto"/>
        </w:rPr>
        <w:t>As of December 31, 2025, the Company also has accumulated tax losses of $0.5 million for Australia available for carryforward against future earnings, which under relevant tax laws do not expire but may not be available under certain circumstances.</w:t>
      </w:r>
    </w:p>
    <w:p>
      <w:pPr>
        <w:spacing w:after="0" w:line="12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4"/>
          <w:szCs w:val="14"/>
          <w:color w:val="auto"/>
        </w:rPr>
        <w:t>As of December 31, 2025 and 2024, the Company had research and development tax credit carryforwards for federal purposes of $24.3 million and $12.8 million, respectively, and state research and development tax credit carryforwards of $11.3 million and $10.0 million, respectively. The federal research and development tax credit carryforwards will expire at various dates between 2039 and 2045. The state research and development tax credit carryforwards do not expire.</w:t>
      </w:r>
    </w:p>
    <w:p>
      <w:pPr>
        <w:spacing w:after="0" w:line="13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Beginning on January 1, 2022, the Tax Cuts and Jobs Act (“the Act”), enacted in December 2017, eliminated the option to deduct research and development expenditures in the current period and requires taxpayers to capitalize and amortize U.S.-based and non-U.S. based research and development expenditures over five and fifteen years, respectively. However, the enactment of the bipartisan OBBB Act, signed into law in July 2025, repeals the mandatory capitalization requirement for domestic R&amp;D expenditures for tax years beginning after December 31, 2024. As a result, beginning with the 2025 tax year, domestic R&amp;D expenses are once again eligible for immediate deduction in the year incurred, while costs related to foreign R&amp;D activities remain subject to 15-year amortization under Section 174. The Company elects to amortize any remaining unamortized amount with respect to the domestic R&amp;D expenditures capitalized over the past few years ratably over the 2-taxable year period beginning with the first taxable year beginning after December 31, 2024. This legislation does not impact the Company's current tax obligations.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Sections 382 and 383 of the Internal Revenue Code provide for a limitation on the annual use of NOL and tax credit carryforwards following certain ownership changes that could limit the Company’s ability to utilize these carryforwards. The Company has completed an analysis to determine if such ownership changes have occurred and concluded it was more likely than not that there were changes in ownership. Due to the existence of a full valuation allowance, limitations under Section 382 and 383 will not impact the Company’s effective tax rate. Further analyses will be performed prior to recognizing the benefits of any losses or credits in the consolidated financial statements.</w:t>
      </w:r>
    </w:p>
    <w:p>
      <w:pPr>
        <w:spacing w:after="0" w:line="14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4"/>
          <w:szCs w:val="14"/>
          <w:color w:val="auto"/>
        </w:rPr>
        <w:t>The Company is required to reduce its deferred tax assets by a valuation allowance if it is more likely than not that some or all of its deferred tax assets will not be realized. Management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the valuation allowance, if any, the Company assesses the likelihood that it will be able to recover its deferred tax assets using historical levels of income, estimates of future income and tax planning strategies. As a result of historical cumulative losses, the Company determined that, based on all available evidence, there was substantial uncertainty as to whether it will recover recorded net deferred taxes in future periods. Accordingly, the Company recorded a valuation allowance against all of its net deferred tax assets as of December 31, 2025 and 2024. The net change in total valuation allowance was an increase of approximately $6.4 million and $11.6 million for the years ended December 31, 2025 and 2024, respectively.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cash paid for income taxes (net of refunds) during the year was as follows (in dollars):</w:t>
            </w:r>
          </w:p>
        </w:tc>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23"/>
        </w:trPr>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Year Ended December</w:t>
            </w:r>
          </w:p>
        </w:tc>
        <w:tc>
          <w:tcPr>
            <w:tcW w:w="1140" w:type="dxa"/>
            <w:vAlign w:val="bottom"/>
          </w:tcPr>
          <w:p>
            <w:pPr>
              <w:spacing w:after="0"/>
              <w:rPr>
                <w:sz w:val="24"/>
                <w:szCs w:val="24"/>
                <w:color w:val="auto"/>
              </w:rPr>
            </w:pPr>
          </w:p>
        </w:tc>
      </w:tr>
      <w:tr>
        <w:trPr>
          <w:trHeight w:val="186"/>
        </w:trPr>
        <w:tc>
          <w:tcPr>
            <w:tcW w:w="11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60"/>
        </w:trPr>
        <w:tc>
          <w:tcPr>
            <w:tcW w:w="11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w:t>
            </w: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California Extension</w:t>
            </w:r>
          </w:p>
        </w:tc>
        <w:tc>
          <w:tcPr>
            <w:tcW w:w="3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1,600</w:t>
            </w:r>
          </w:p>
        </w:tc>
        <w:tc>
          <w:tcPr>
            <w:tcW w:w="1140" w:type="dxa"/>
            <w:vAlign w:val="bottom"/>
          </w:tcPr>
          <w:p>
            <w:pPr>
              <w:spacing w:after="0"/>
              <w:rPr>
                <w:sz w:val="14"/>
                <w:szCs w:val="14"/>
                <w:color w:val="auto"/>
              </w:rPr>
            </w:pPr>
          </w:p>
        </w:tc>
      </w:tr>
      <w:tr>
        <w:trPr>
          <w:trHeight w:val="170"/>
        </w:trPr>
        <w:tc>
          <w:tcPr>
            <w:tcW w:w="1120" w:type="dxa"/>
            <w:vAlign w:val="bottom"/>
          </w:tcPr>
          <w:p>
            <w:pPr>
              <w:spacing w:after="0"/>
              <w:rPr>
                <w:sz w:val="14"/>
                <w:szCs w:val="14"/>
                <w:color w:val="auto"/>
              </w:rPr>
            </w:pPr>
          </w:p>
        </w:tc>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Massachusetts Extension</w:t>
            </w: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1,000</w:t>
            </w:r>
          </w:p>
        </w:tc>
        <w:tc>
          <w:tcPr>
            <w:tcW w:w="1140" w:type="dxa"/>
            <w:vAlign w:val="bottom"/>
          </w:tcPr>
          <w:p>
            <w:pPr>
              <w:spacing w:after="0"/>
              <w:rPr>
                <w:sz w:val="14"/>
                <w:szCs w:val="14"/>
                <w:color w:val="auto"/>
              </w:rPr>
            </w:pPr>
          </w:p>
        </w:tc>
      </w:tr>
      <w:tr>
        <w:trPr>
          <w:trHeight w:val="180"/>
        </w:trPr>
        <w:tc>
          <w:tcPr>
            <w:tcW w:w="1120" w:type="dxa"/>
            <w:vAlign w:val="bottom"/>
          </w:tcPr>
          <w:p>
            <w:pPr>
              <w:spacing w:after="0"/>
              <w:rPr>
                <w:sz w:val="15"/>
                <w:szCs w:val="15"/>
                <w:color w:val="auto"/>
              </w:rPr>
            </w:pP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New York Refund</w:t>
            </w:r>
          </w:p>
        </w:tc>
        <w:tc>
          <w:tcPr>
            <w:tcW w:w="3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1140" w:type="dxa"/>
            <w:vAlign w:val="bottom"/>
          </w:tcPr>
          <w:p>
            <w:pPr>
              <w:spacing w:after="0"/>
              <w:rPr>
                <w:sz w:val="15"/>
                <w:szCs w:val="15"/>
                <w:color w:val="auto"/>
              </w:rPr>
            </w:pPr>
          </w:p>
        </w:tc>
      </w:tr>
      <w:tr>
        <w:trPr>
          <w:trHeight w:val="160"/>
        </w:trPr>
        <w:tc>
          <w:tcPr>
            <w:tcW w:w="1120" w:type="dxa"/>
            <w:vAlign w:val="bottom"/>
          </w:tcPr>
          <w:p>
            <w:pPr>
              <w:spacing w:after="0"/>
              <w:rPr>
                <w:sz w:val="13"/>
                <w:szCs w:val="13"/>
                <w:color w:val="auto"/>
              </w:rPr>
            </w:pPr>
          </w:p>
        </w:tc>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State and Local</w:t>
            </w:r>
          </w:p>
        </w:tc>
        <w:tc>
          <w:tcPr>
            <w:tcW w:w="32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80" w:type="dxa"/>
            <w:vAlign w:val="bottom"/>
            <w:tcBorders>
              <w:bottom w:val="single" w:sz="8" w:color="CCEEFF"/>
            </w:tcBorders>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3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1120" w:type="dxa"/>
            <w:vAlign w:val="bottom"/>
          </w:tcPr>
          <w:p>
            <w:pPr>
              <w:spacing w:after="0"/>
              <w:rPr>
                <w:sz w:val="15"/>
                <w:szCs w:val="15"/>
                <w:color w:val="auto"/>
              </w:rPr>
            </w:pPr>
          </w:p>
        </w:tc>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 Tax on Daiichi Royalty</w:t>
            </w:r>
          </w:p>
        </w:tc>
        <w:tc>
          <w:tcPr>
            <w:tcW w:w="3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96,464</w:t>
            </w:r>
          </w:p>
        </w:tc>
        <w:tc>
          <w:tcPr>
            <w:tcW w:w="1140" w:type="dxa"/>
            <w:vAlign w:val="bottom"/>
          </w:tcPr>
          <w:p>
            <w:pPr>
              <w:spacing w:after="0"/>
              <w:rPr>
                <w:sz w:val="15"/>
                <w:szCs w:val="15"/>
                <w:color w:val="auto"/>
              </w:rPr>
            </w:pPr>
          </w:p>
        </w:tc>
      </w:tr>
      <w:tr>
        <w:trPr>
          <w:trHeight w:val="160"/>
        </w:trPr>
        <w:tc>
          <w:tcPr>
            <w:tcW w:w="1120" w:type="dxa"/>
            <w:vAlign w:val="bottom"/>
          </w:tcPr>
          <w:p>
            <w:pPr>
              <w:spacing w:after="0"/>
              <w:rPr>
                <w:sz w:val="13"/>
                <w:szCs w:val="13"/>
                <w:color w:val="auto"/>
              </w:rPr>
            </w:pPr>
          </w:p>
        </w:tc>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Foreign</w:t>
            </w:r>
          </w:p>
        </w:tc>
        <w:tc>
          <w:tcPr>
            <w:tcW w:w="32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96,464</w:t>
            </w:r>
          </w:p>
        </w:tc>
        <w:tc>
          <w:tcPr>
            <w:tcW w:w="80" w:type="dxa"/>
            <w:vAlign w:val="bottom"/>
            <w:tcBorders>
              <w:bottom w:val="single" w:sz="8" w:color="CCEEFF"/>
            </w:tcBorders>
          </w:tcPr>
          <w:p>
            <w:pPr>
              <w:spacing w:after="0"/>
              <w:rPr>
                <w:sz w:val="13"/>
                <w:szCs w:val="13"/>
                <w:color w:val="auto"/>
              </w:rPr>
            </w:pPr>
          </w:p>
        </w:tc>
        <w:tc>
          <w:tcPr>
            <w:tcW w:w="11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42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tcPr>
          <w:p>
            <w:pPr>
              <w:spacing w:after="0"/>
              <w:rPr>
                <w:sz w:val="13"/>
                <w:szCs w:val="13"/>
                <w:color w:val="auto"/>
              </w:rPr>
            </w:pPr>
          </w:p>
        </w:tc>
      </w:tr>
      <w:tr>
        <w:trPr>
          <w:trHeight w:val="191"/>
        </w:trPr>
        <w:tc>
          <w:tcPr>
            <w:tcW w:w="1120" w:type="dxa"/>
            <w:vAlign w:val="bottom"/>
          </w:tcPr>
          <w:p>
            <w:pPr>
              <w:spacing w:after="0"/>
              <w:rPr>
                <w:sz w:val="16"/>
                <w:szCs w:val="16"/>
                <w:color w:val="auto"/>
              </w:rPr>
            </w:pPr>
          </w:p>
        </w:tc>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Taxes Paid</w:t>
            </w:r>
          </w:p>
        </w:tc>
        <w:tc>
          <w:tcPr>
            <w:tcW w:w="3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98,989</w:t>
            </w: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11"/>
        </w:trPr>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300" w:type="dxa"/>
            <w:vAlign w:val="bottom"/>
            <w:gridSpan w:val="2"/>
          </w:tcPr>
          <w:p>
            <w:pPr>
              <w:jc w:val="right"/>
              <w:ind w:right="2749"/>
              <w:spacing w:after="0"/>
              <w:rPr>
                <w:sz w:val="20"/>
                <w:szCs w:val="20"/>
                <w:color w:val="auto"/>
              </w:rPr>
            </w:pPr>
            <w:r>
              <w:rPr>
                <w:rFonts w:ascii="Times New Roman" w:cs="Times New Roman" w:eastAsia="Times New Roman" w:hAnsi="Times New Roman"/>
                <w:sz w:val="14"/>
                <w:szCs w:val="14"/>
                <w:color w:val="auto"/>
              </w:rPr>
              <w:t>F- 60</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4200" w:type="dxa"/>
            <w:vAlign w:val="bottom"/>
            <w:tcBorders>
              <w:bottom w:val="single" w:sz="8" w:color="auto"/>
            </w:tcBorders>
          </w:tcPr>
          <w:p>
            <w:pPr>
              <w:spacing w:after="0"/>
              <w:rPr>
                <w:sz w:val="7"/>
                <w:szCs w:val="7"/>
                <w:color w:val="auto"/>
              </w:rPr>
            </w:pPr>
          </w:p>
        </w:tc>
        <w:tc>
          <w:tcPr>
            <w:tcW w:w="3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each year, the state and local income taxes which comprise the majority of the state and local income taxes, net of federal effect category were as follows (in dollars):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60" w:type="dxa"/>
            <w:vAlign w:val="bottom"/>
            <w:tcBorders>
              <w:bottom w:val="single" w:sz="8" w:color="auto"/>
            </w:tcBorders>
          </w:tcPr>
          <w:p>
            <w:pPr>
              <w:spacing w:after="0"/>
              <w:rPr>
                <w:sz w:val="16"/>
                <w:szCs w:val="16"/>
                <w:color w:val="auto"/>
              </w:rPr>
            </w:pPr>
          </w:p>
        </w:tc>
      </w:tr>
      <w:tr>
        <w:trPr>
          <w:trHeight w:val="160"/>
        </w:trPr>
        <w:tc>
          <w:tcPr>
            <w:tcW w:w="56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3"/>
                <w:szCs w:val="13"/>
                <w:color w:val="auto"/>
              </w:rPr>
            </w:pPr>
          </w:p>
        </w:tc>
      </w:tr>
      <w:tr>
        <w:trPr>
          <w:trHeight w:val="160"/>
        </w:trPr>
        <w:tc>
          <w:tcPr>
            <w:tcW w:w="5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160"/>
        </w:trPr>
        <w:tc>
          <w:tcPr>
            <w:tcW w:w="56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6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1,600</w:t>
            </w:r>
          </w:p>
        </w:tc>
        <w:tc>
          <w:tcPr>
            <w:tcW w:w="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r>
      <w:tr>
        <w:trPr>
          <w:trHeight w:val="20"/>
        </w:trPr>
        <w:tc>
          <w:tcPr>
            <w:tcW w:w="5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The Company records unrecognized tax benefits, where appropriate, for all uncertain income tax positions. The Company recorded unrecognized tax benefits for uncertain tax positions of approximately $13.6 million and $8.5 million as of December 31, 2025 and 2024, respectively, of which none would impact the effective tax rate, if recognized, because the benefit would be offset by an increase in the valuation allowance.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reconciliation of the beginning and ending balance of total unrecognized tax benefits is as follows (in thousands):</w:t>
            </w: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339"/>
        </w:trPr>
        <w:tc>
          <w:tcPr>
            <w:tcW w:w="11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r>
      <w:tr>
        <w:trPr>
          <w:trHeight w:val="160"/>
        </w:trPr>
        <w:tc>
          <w:tcPr>
            <w:tcW w:w="1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3"/>
                <w:szCs w:val="13"/>
                <w:color w:val="auto"/>
              </w:rPr>
            </w:pPr>
          </w:p>
        </w:tc>
        <w:tc>
          <w:tcPr>
            <w:tcW w:w="11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3"/>
                <w:szCs w:val="13"/>
                <w:color w:val="auto"/>
              </w:rPr>
            </w:pPr>
          </w:p>
        </w:tc>
      </w:tr>
      <w:tr>
        <w:trPr>
          <w:trHeight w:val="160"/>
        </w:trPr>
        <w:tc>
          <w:tcPr>
            <w:tcW w:w="1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r>
      <w:tr>
        <w:trPr>
          <w:trHeight w:val="170"/>
        </w:trPr>
        <w:tc>
          <w:tcPr>
            <w:tcW w:w="1120" w:type="dxa"/>
            <w:vAlign w:val="bottom"/>
          </w:tcPr>
          <w:p>
            <w:pPr>
              <w:spacing w:after="0"/>
              <w:rPr>
                <w:sz w:val="14"/>
                <w:szCs w:val="14"/>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8,537</w:t>
            </w:r>
          </w:p>
        </w:tc>
        <w:tc>
          <w:tcPr>
            <w:tcW w:w="1140" w:type="dxa"/>
            <w:vAlign w:val="bottom"/>
            <w:gridSpan w:val="2"/>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6,566</w:t>
            </w:r>
          </w:p>
        </w:tc>
      </w:tr>
      <w:tr>
        <w:trPr>
          <w:trHeight w:val="170"/>
        </w:trPr>
        <w:tc>
          <w:tcPr>
            <w:tcW w:w="1120" w:type="dxa"/>
            <w:vAlign w:val="bottom"/>
          </w:tcPr>
          <w:p>
            <w:pPr>
              <w:spacing w:after="0"/>
              <w:rPr>
                <w:sz w:val="14"/>
                <w:szCs w:val="1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 based on tax positions related to the current year</w:t>
            </w:r>
          </w:p>
        </w:tc>
        <w:tc>
          <w:tcPr>
            <w:tcW w:w="10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5,061</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1,977</w:t>
            </w:r>
          </w:p>
        </w:tc>
      </w:tr>
      <w:tr>
        <w:trPr>
          <w:trHeight w:val="170"/>
        </w:trPr>
        <w:tc>
          <w:tcPr>
            <w:tcW w:w="1120" w:type="dxa"/>
            <w:vAlign w:val="bottom"/>
          </w:tcPr>
          <w:p>
            <w:pPr>
              <w:spacing w:after="0"/>
              <w:rPr>
                <w:sz w:val="14"/>
                <w:szCs w:val="14"/>
                <w:color w:val="auto"/>
              </w:rPr>
            </w:pPr>
          </w:p>
        </w:tc>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Decreases related to prior years’ tax positions</w:t>
            </w:r>
          </w:p>
        </w:tc>
        <w:tc>
          <w:tcPr>
            <w:tcW w:w="10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0"/>
        </w:trPr>
        <w:tc>
          <w:tcPr>
            <w:tcW w:w="1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10"/>
        </w:trPr>
        <w:tc>
          <w:tcPr>
            <w:tcW w:w="11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Ending Balance</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8,537</w:t>
            </w:r>
          </w:p>
        </w:tc>
      </w:tr>
    </w:tbl>
    <w:p>
      <w:pPr>
        <w:spacing w:after="0" w:line="155" w:lineRule="exact"/>
        <w:rPr>
          <w:sz w:val="20"/>
          <w:szCs w:val="20"/>
          <w:color w:val="auto"/>
        </w:rPr>
      </w:pPr>
    </w:p>
    <w:p>
      <w:pPr>
        <w:jc w:val="both"/>
        <w:ind w:right="140"/>
        <w:spacing w:after="0" w:line="269" w:lineRule="auto"/>
        <w:rPr>
          <w:sz w:val="20"/>
          <w:szCs w:val="20"/>
          <w:color w:val="auto"/>
        </w:rPr>
      </w:pPr>
      <w:r>
        <w:rPr>
          <w:rFonts w:ascii="Times New Roman" w:cs="Times New Roman" w:eastAsia="Times New Roman" w:hAnsi="Times New Roman"/>
          <w:sz w:val="14"/>
          <w:szCs w:val="14"/>
          <w:color w:val="auto"/>
        </w:rPr>
        <w:t>The Company’s policy is to recognize interest and penalties accrued on any unrecognized tax benefits as a component of income tax expense. During the years ended December 31, 2025 and 2024, the Company recognized no interest and penalties associated with unrecognized tax benefits. There are no tax positions for which it is reasonably possible that the total amounts of unrecognized tax benefits will significantly increase or decrease within twelve months of the reporting date.</w:t>
      </w:r>
    </w:p>
    <w:p>
      <w:pPr>
        <w:spacing w:after="0" w:line="13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The Company files income tax returns in the U.S., Australia, as well as with various U.S. states. The Company is subject to tax audits in all jurisdictions in which it files income tax returns. Tax audits by their very nature are often complex and can require several years to complete. There are currently no tax audits that have commenced with respect to income tax returns in any jurisdiction.</w:t>
      </w:r>
    </w:p>
    <w:p>
      <w:pPr>
        <w:spacing w:after="0" w:line="1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4"/>
          <w:szCs w:val="14"/>
          <w:color w:val="auto"/>
        </w:rPr>
        <w:t>Under the tax statute of limitations applicable to the Internal Revenue Code, the Company and its U.S. subsidiary, either standalone or as part of the consolidated group, is no longer subject to U.S. federal income tax examinations by the Internal Revenue Service for tax years before tax year 2021. Under the statute of limitations applicable to most state income tax laws, the Company is no longer subject to state income tax examinations by tax authorities for tax year before 2020 in states in which it has filed income tax returns. However, because the Company is carrying forward income tax attributes, such as net operating losses and tax credits from 2005 and earlier tax years, these attributes can still be audited when utilized on returns filed in the future. The Company is subject to foreign tax examinations by tax authorities for fiscal year 2021 and forward.</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Net Income (Loss) Per Share Attributable to Common Stockholders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Basic net income (loss) per share is computed by dividing net income (loss) by the weighted-average number of shares of our common stock outstanding.</w:t>
      </w:r>
    </w:p>
    <w:p>
      <w:pPr>
        <w:spacing w:after="0" w:line="17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4"/>
          <w:szCs w:val="14"/>
          <w:color w:val="auto"/>
        </w:rPr>
        <w:t>For the calculation of diluted net income (loss) per share, net income for basic net income per share is adjusted by the effect of dilutive securities, including awards under our equity compensation plans. Diluted net income (loss) per share is computed by dividing net income by the weighted-average number of fully diluted common shares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income (loss) per share (in thousands, except share and per share amounts):</w:t>
      </w:r>
    </w:p>
    <w:p>
      <w:pPr>
        <w:spacing w:after="0" w:line="17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p>
      <w:pPr>
        <w:ind w:left="7460"/>
        <w:spacing w:after="0"/>
        <w:tabs>
          <w:tab w:leader="none" w:pos="91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-101600</wp:posOffset>
            </wp:positionV>
            <wp:extent cx="211328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13280" cy="6985"/>
                    </a:xfrm>
                    <a:prstGeom prst="rect">
                      <a:avLst/>
                    </a:prstGeom>
                    <a:noFill/>
                  </pic:spPr>
                </pic:pic>
              </a:graphicData>
            </a:graphic>
          </wp:anchor>
        </w:drawing>
        <w:drawing>
          <wp:anchor simplePos="0" relativeHeight="251657728" behindDoc="1" locked="0" layoutInCell="0" allowOverlap="1">
            <wp:simplePos x="0" y="0"/>
            <wp:positionH relativeFrom="column">
              <wp:posOffset>4331335</wp:posOffset>
            </wp:positionH>
            <wp:positionV relativeFrom="paragraph">
              <wp:posOffset>12700</wp:posOffset>
            </wp:positionV>
            <wp:extent cx="211328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13280" cy="6985"/>
                    </a:xfrm>
                    <a:prstGeom prst="rect">
                      <a:avLst/>
                    </a:prstGeom>
                    <a:noFill/>
                  </pic:spPr>
                </pic:pic>
              </a:graphicData>
            </a:graphic>
          </wp:anchor>
        </w:drawing>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4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16,327</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(66,948)</w:t>
            </w:r>
          </w:p>
        </w:tc>
      </w:tr>
      <w:tr>
        <w:trPr>
          <w:trHeight w:val="20"/>
        </w:trPr>
        <w:tc>
          <w:tcPr>
            <w:tcW w:w="5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5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 used to compute net income (loss) per share, basic</w:t>
            </w:r>
          </w:p>
        </w:tc>
        <w:tc>
          <w:tcPr>
            <w:tcW w:w="4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230,269,605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202,137,531</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dilutive shares:</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4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76,596</w:t>
            </w:r>
          </w:p>
        </w:tc>
        <w:tc>
          <w:tcPr>
            <w:tcW w:w="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Weighted average shares used to compute net income (loss) per share, diluted</w:t>
            </w:r>
          </w:p>
        </w:tc>
        <w:tc>
          <w:tcPr>
            <w:tcW w:w="460" w:type="dxa"/>
            <w:vAlign w:val="bottom"/>
          </w:tcPr>
          <w:p>
            <w:pPr>
              <w:spacing w:after="0"/>
              <w:rPr>
                <w:sz w:val="13"/>
                <w:szCs w:val="13"/>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230,346,201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202,137,531</w:t>
            </w:r>
          </w:p>
        </w:tc>
      </w:tr>
      <w:tr>
        <w:trPr>
          <w:trHeight w:val="20"/>
        </w:trPr>
        <w:tc>
          <w:tcPr>
            <w:tcW w:w="5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5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share:</w:t>
            </w: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0.07</w:t>
            </w:r>
          </w:p>
        </w:tc>
        <w:tc>
          <w:tcPr>
            <w:tcW w:w="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184"/>
        </w:trPr>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Diluted</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0.07</w:t>
            </w:r>
          </w:p>
        </w:tc>
        <w:tc>
          <w:tcPr>
            <w:tcW w:w="5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adjustment has been made to the net income (loss) in the years ended December 31, 2025 and 2024, as the effect would be anti-dilutive due to the net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potentially dilutive weighted average securities were excluded from the computation of weighted average shares outstanding because they would have been antidilutive: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24,809,770</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20,659,336</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 to purchase common stock</w:t>
            </w: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5,182,676</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2,828,395</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to purchase common stock</w:t>
            </w:r>
          </w:p>
        </w:tc>
        <w:tc>
          <w:tcPr>
            <w:tcW w:w="16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10,914</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158,262</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120" w:type="dxa"/>
            <w:vAlign w:val="bottom"/>
          </w:tcPr>
          <w:p>
            <w:pPr>
              <w:spacing w:after="0"/>
              <w:rPr>
                <w:sz w:val="14"/>
                <w:szCs w:val="14"/>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6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335,190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5720" w:type="dxa"/>
            <w:vAlign w:val="bottom"/>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57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potentially dilutive securities excluded from denominator of the diluted earnings per share</w:t>
            </w:r>
          </w:p>
        </w:tc>
        <w:tc>
          <w:tcPr>
            <w:tcW w:w="16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30,003,360</w:t>
            </w:r>
          </w:p>
        </w:tc>
        <w:tc>
          <w:tcPr>
            <w:tcW w:w="16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23,981,183</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572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computation</w:t>
            </w:r>
          </w:p>
        </w:tc>
        <w:tc>
          <w:tcPr>
            <w:tcW w:w="1620" w:type="dxa"/>
            <w:vAlign w:val="bottom"/>
            <w:vMerge w:val="continue"/>
          </w:tcPr>
          <w:p>
            <w:pPr>
              <w:spacing w:after="0"/>
              <w:rPr>
                <w:sz w:val="13"/>
                <w:szCs w:val="13"/>
                <w:color w:val="auto"/>
              </w:rPr>
            </w:pPr>
          </w:p>
        </w:tc>
        <w:tc>
          <w:tcPr>
            <w:tcW w:w="168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20" w:type="dxa"/>
            <w:vAlign w:val="bottom"/>
            <w:vMerge w:val="restart"/>
          </w:tcPr>
          <w:p>
            <w:pPr>
              <w:ind w:left="4380"/>
              <w:spacing w:after="0"/>
              <w:rPr>
                <w:sz w:val="20"/>
                <w:szCs w:val="20"/>
                <w:color w:val="auto"/>
              </w:rPr>
            </w:pPr>
            <w:r>
              <w:rPr>
                <w:rFonts w:ascii="Times New Roman" w:cs="Times New Roman" w:eastAsia="Times New Roman" w:hAnsi="Times New Roman"/>
                <w:sz w:val="14"/>
                <w:szCs w:val="14"/>
                <w:color w:val="auto"/>
              </w:rPr>
              <w:t>F- 62</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12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1120" w:type="dxa"/>
            <w:vAlign w:val="bottom"/>
            <w:tcBorders>
              <w:bottom w:val="single" w:sz="8" w:color="auto"/>
            </w:tcBorders>
          </w:tcPr>
          <w:p>
            <w:pPr>
              <w:spacing w:after="0"/>
              <w:rPr>
                <w:sz w:val="7"/>
                <w:szCs w:val="7"/>
                <w:color w:val="auto"/>
              </w:rPr>
            </w:pPr>
          </w:p>
        </w:tc>
        <w:tc>
          <w:tcPr>
            <w:tcW w:w="572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VAXART, INC. AND SUBSIDIARIES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Segment Reporting</w:t>
      </w:r>
    </w:p>
    <w:p>
      <w:pPr>
        <w:spacing w:after="0" w:line="180"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The Company operates in one reportable segment, which is the discovery and development of oral recombinant protein vaccines, based on its proprietary oral vaccine platform. The accounting policies of the segment are the same as those described in the summary of significant accounting policies. The determination of a single business segment is consistent with the consolidated financial information regularly reviewed by the Chief Executive Officer as chief operating decision maker (the “CODM”) in assessing segment performance and deciding how to allocate resources on a consolidated basis.</w:t>
      </w:r>
    </w:p>
    <w:p>
      <w:pPr>
        <w:spacing w:after="0" w:line="14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4"/>
          <w:szCs w:val="14"/>
          <w:color w:val="auto"/>
        </w:rPr>
        <w:t>The CODM uses consolidated net income (loss) to evaluate the Company's spend and monitor budget versus actual results. The monitoring of budgeted versus actual results is used in assessing performance of the segment and in establishing resource allocation across the organization. The measure of segment assets is reported on the consolidated balance sheets as total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segment revenue, segment loss, significant segment expenses, and other segment items consist of the following (in thousands):</w:t>
      </w:r>
    </w:p>
    <w:p>
      <w:pPr>
        <w:spacing w:after="0" w:line="176"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160"/>
        </w:trPr>
        <w:tc>
          <w:tcPr>
            <w:tcW w:w="5700" w:type="dxa"/>
            <w:vAlign w:val="bottom"/>
          </w:tcPr>
          <w:p>
            <w:pPr>
              <w:spacing w:after="0"/>
              <w:rPr>
                <w:sz w:val="13"/>
                <w:szCs w:val="13"/>
                <w:color w:val="auto"/>
              </w:rPr>
            </w:pPr>
          </w:p>
        </w:tc>
        <w:tc>
          <w:tcPr>
            <w:tcW w:w="10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3"/>
                <w:szCs w:val="13"/>
                <w:color w:val="auto"/>
              </w:rPr>
            </w:pPr>
          </w:p>
        </w:tc>
      </w:tr>
      <w:tr>
        <w:trPr>
          <w:trHeight w:val="16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237,258</w:t>
            </w:r>
          </w:p>
        </w:tc>
        <w:tc>
          <w:tcPr>
            <w:tcW w:w="1080" w:type="dxa"/>
            <w:vAlign w:val="bottom"/>
            <w:gridSpan w:val="2"/>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28,700</w:t>
            </w: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r>
      <w:tr>
        <w:trPr>
          <w:trHeight w:val="170"/>
        </w:trPr>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 program costs:</w:t>
            </w: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5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Norovirus program</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3,638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3,178</w:t>
            </w:r>
          </w:p>
        </w:tc>
      </w:tr>
      <w:tr>
        <w:trPr>
          <w:trHeight w:val="170"/>
        </w:trPr>
        <w:tc>
          <w:tcPr>
            <w:tcW w:w="5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COVID-19 program</w:t>
            </w:r>
          </w:p>
        </w:tc>
        <w:tc>
          <w:tcPr>
            <w:tcW w:w="100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155,049</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16,883</w:t>
            </w:r>
          </w:p>
        </w:tc>
      </w:tr>
      <w:tr>
        <w:trPr>
          <w:trHeight w:val="170"/>
        </w:trPr>
        <w:tc>
          <w:tcPr>
            <w:tcW w:w="5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Other programs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r>
      <w:tr>
        <w:trPr>
          <w:trHeight w:val="170"/>
        </w:trPr>
        <w:tc>
          <w:tcPr>
            <w:tcW w:w="5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Preclinical research</w:t>
            </w:r>
          </w:p>
        </w:tc>
        <w:tc>
          <w:tcPr>
            <w:tcW w:w="100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767</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1,909</w:t>
            </w:r>
          </w:p>
        </w:tc>
      </w:tr>
      <w:tr>
        <w:trPr>
          <w:trHeight w:val="170"/>
        </w:trPr>
        <w:tc>
          <w:tcPr>
            <w:tcW w:w="5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Process Development</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271</w:t>
            </w:r>
          </w:p>
        </w:tc>
      </w:tr>
      <w:tr>
        <w:trPr>
          <w:trHeight w:val="170"/>
        </w:trPr>
        <w:tc>
          <w:tcPr>
            <w:tcW w:w="5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Internal research and development costs</w:t>
            </w:r>
          </w:p>
        </w:tc>
        <w:tc>
          <w:tcPr>
            <w:tcW w:w="100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41,731</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51,940</w:t>
            </w:r>
          </w:p>
        </w:tc>
      </w:tr>
      <w:tr>
        <w:trPr>
          <w:trHeight w:val="17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17,608</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20,780</w:t>
            </w:r>
          </w:p>
        </w:tc>
      </w:tr>
      <w:tr>
        <w:trPr>
          <w:trHeight w:val="170"/>
        </w:trPr>
        <w:tc>
          <w:tcPr>
            <w:tcW w:w="5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w:t>
            </w:r>
          </w:p>
        </w:tc>
      </w:tr>
      <w:tr>
        <w:trPr>
          <w:trHeight w:val="17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expense related to sale of future royalties</w:t>
            </w: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2,823</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2,969</w:t>
            </w:r>
          </w:p>
        </w:tc>
      </w:tr>
      <w:tr>
        <w:trPr>
          <w:trHeight w:val="170"/>
        </w:trPr>
        <w:tc>
          <w:tcPr>
            <w:tcW w:w="5700" w:type="dxa"/>
            <w:vAlign w:val="bottom"/>
          </w:tcPr>
          <w:p>
            <w:pPr>
              <w:ind w:left="140"/>
              <w:spacing w:after="0" w:line="170" w:lineRule="exact"/>
              <w:rPr>
                <w:sz w:val="20"/>
                <w:szCs w:val="20"/>
                <w:color w:val="auto"/>
              </w:rPr>
            </w:pPr>
            <w:r>
              <w:rPr>
                <w:rFonts w:ascii="Times New Roman" w:cs="Times New Roman" w:eastAsia="Times New Roman" w:hAnsi="Times New Roman"/>
                <w:sz w:val="12"/>
                <w:szCs w:val="12"/>
                <w:color w:val="auto"/>
              </w:rPr>
              <w:t>Other segment items</w:t>
            </w:r>
            <w:r>
              <w:rPr>
                <w:rFonts w:ascii="Times New Roman" w:cs="Times New Roman" w:eastAsia="Times New Roman" w:hAnsi="Times New Roman"/>
                <w:sz w:val="19"/>
                <w:szCs w:val="19"/>
                <w:color w:val="auto"/>
                <w:vertAlign w:val="superscript"/>
              </w:rPr>
              <w:t>(A)</w:t>
            </w:r>
          </w:p>
        </w:tc>
        <w:tc>
          <w:tcPr>
            <w:tcW w:w="100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70"/>
        </w:trPr>
        <w:tc>
          <w:tcPr>
            <w:tcW w:w="5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476</w:t>
            </w:r>
          </w:p>
        </w:tc>
        <w:tc>
          <w:tcPr>
            <w:tcW w:w="8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260</w:t>
            </w:r>
          </w:p>
        </w:tc>
      </w:tr>
      <w:tr>
        <w:trPr>
          <w:trHeight w:val="16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net income (loss)</w:t>
            </w:r>
          </w:p>
        </w:tc>
        <w:tc>
          <w:tcPr>
            <w:tcW w:w="1000" w:type="dxa"/>
            <w:vAlign w:val="bottom"/>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16,327</w:t>
            </w:r>
          </w:p>
        </w:tc>
        <w:tc>
          <w:tcPr>
            <w:tcW w:w="1080" w:type="dxa"/>
            <w:vAlign w:val="bottom"/>
            <w:gridSpan w:val="2"/>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(66,948)</w:t>
            </w:r>
          </w:p>
        </w:tc>
      </w:tr>
      <w:tr>
        <w:trPr>
          <w:trHeight w:val="20"/>
        </w:trPr>
        <w:tc>
          <w:tcPr>
            <w:tcW w:w="5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141"/>
        </w:trPr>
        <w:tc>
          <w:tcPr>
            <w:tcW w:w="5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Reconciliation of net income (loss)</w:t>
            </w:r>
          </w:p>
        </w:tc>
        <w:tc>
          <w:tcPr>
            <w:tcW w:w="1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70"/>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and reconciling items</w:t>
            </w: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16,327</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(66,948)</w:t>
            </w:r>
          </w:p>
        </w:tc>
      </w:tr>
    </w:tbl>
    <w:p>
      <w:pPr>
        <w:spacing w:after="0" w:line="1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 Other segment items included in other income (expense), net.</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Subsequent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Sanofi Acquisition of Dynavax</w:t>
      </w:r>
    </w:p>
    <w:p>
      <w:pPr>
        <w:spacing w:after="0" w:line="180"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4"/>
          <w:szCs w:val="14"/>
          <w:color w:val="auto"/>
        </w:rPr>
        <w:t>On December 23, 2025, Sanofi, a French société anonyme, entered into an Agreement and Plan of Merger with Dynavax Technologies Corporation (“Dynavax”), pursuant to which Sanofi agreed to acquire all outstanding shares of Dynavax common stock for $15.50 per share in cash, reflecting a total equity value of approximately $2.2 billion. On January 12, 2026, Sanofi commenced a tender offer to acquire all outstanding shares of Dynavax. The tender offer expired on February 9, 2026, at which time approximately 73.92% of Dynavax’s outstanding shares were validly tendered. On February 10, 2026, Sanofi completed the acquisition through a merger in which Dynavax became an indirect wholly owned subsidiary of Sanofi.</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disclosed in Note 5, the Company entered into the 2025 License and Collaboration Agreement with Dynavax on November 4, 2025. Pursuant to the terms of the 2025 License and Collaboration Agreement, the agreement permits assignment without the Company’s consent in connection with a change of control involving the transfer or sale of substantially all of a party’s business related to the licensed products. Accordingly, upon completion of the Sanofi acquisition, the rights and obligations under the 2025 License and Collaboration Agreement were assigned to or assumed by Sanofi (or its affiliates) as the successor to Dynavax. In addition, the 2025 License and Collaboration Agreement provides Dynavax (or its successor) with the right to terminate the agreement for any reason upon 90 days’ prior written notice to the Company.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Modification of 2024 ATI-RRPV Contract</w:t>
      </w:r>
    </w:p>
    <w:p>
      <w:pPr>
        <w:spacing w:after="0" w:line="18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4"/>
          <w:szCs w:val="14"/>
          <w:color w:val="auto"/>
        </w:rPr>
        <w:t>On March 10, 2026, the Company entered into Modification No. 6 (the “Modification”) to the ATI-RRPV Project Award Agreement No. 001, dated June 13, 2024 (the “Project Agreement”), with Advanced Technology International, the Rapid Response Partnership Vehicle’s Consortium Management Firm funded by BARDA of the U.S. Department of Health and Human Services. As previously disclosed, pursuant to the Project Agreement, the Company received funding to conduct a Phase 2b comparative study (the “Trial”) evaluating the Company’s oral pill COVID-19 vaccine candidate against an mRNA vaccine comparator approved by the U.S. Food and Drug Administration. The Company previously announced that it had completed enrollment of the sentinel cohort portion of the study comprising approximately 400 participants comparing its oral pill XBB candidate against an mRNA XBB comparator and an independent data safety monitoring board recommended the study to proceed without modifications based on initial safety assessment of 30-day data from the sentinel cohort.</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4"/>
          <w:szCs w:val="14"/>
          <w:color w:val="auto"/>
        </w:rPr>
        <w:t>The Modification increased the total amount of funding currently allotted to the Trial and available for payment to approximately $316.0 million. The Company anticipates a further modification to the 2024 ATI-RRPV Contract that will reflect the reduced scope of work and corresponding reduction in funding that resulted from previously issued stop work orders.</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180" w:lineRule="exact"/>
        <w:rPr>
          <w:sz w:val="20"/>
          <w:szCs w:val="20"/>
          <w:color w:val="auto"/>
        </w:rPr>
      </w:pPr>
    </w:p>
    <w:p>
      <w:pPr>
        <w:ind w:right="360" w:firstLine="283"/>
        <w:spacing w:after="0" w:line="286" w:lineRule="auto"/>
        <w:rPr>
          <w:sz w:val="20"/>
          <w:szCs w:val="20"/>
          <w:color w:val="auto"/>
        </w:rPr>
      </w:pPr>
      <w:r>
        <w:rPr>
          <w:rFonts w:ascii="Times New Roman" w:cs="Times New Roman" w:eastAsia="Times New Roman" w:hAnsi="Times New Roman"/>
          <w:sz w:val="14"/>
          <w:szCs w:val="14"/>
          <w:color w:val="auto"/>
        </w:rPr>
        <w:t>The following table sets forth the costs and expenses, payable by the Company in connection with the registration and sale of the common stock being registered. All amounts are estimates except the SEC registration fee.</w:t>
      </w:r>
    </w:p>
    <w:p>
      <w:pPr>
        <w:sectPr>
          <w:pgSz w:w="11900" w:h="16838" w:orient="portrait"/>
          <w:cols w:equalWidth="0" w:num="1">
            <w:col w:w="11280"/>
          </w:cols>
          <w:pgMar w:left="300" w:top="125" w:right="319" w:bottom="1440" w:gutter="0" w:footer="0" w:header="0"/>
        </w:sect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079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1276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1530" cy="12763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expenses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486"/>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5" w:lineRule="exact"/>
        <w:rPr>
          <w:sz w:val="20"/>
          <w:szCs w:val="20"/>
          <w:color w:val="auto"/>
        </w:rPr>
      </w:pPr>
    </w:p>
    <w:p>
      <w:pPr>
        <w:ind w:left="966" w:hanging="966"/>
        <w:spacing w:after="0"/>
        <w:tabs>
          <w:tab w:leader="none" w:pos="966"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3,477.32</w:t>
      </w:r>
    </w:p>
    <w:p>
      <w:pPr>
        <w:spacing w:after="0" w:line="19" w:lineRule="exact"/>
        <w:rPr>
          <w:rFonts w:ascii="Times New Roman" w:cs="Times New Roman" w:eastAsia="Times New Roman" w:hAnsi="Times New Roman"/>
          <w:sz w:val="14"/>
          <w:szCs w:val="14"/>
          <w:color w:val="auto"/>
        </w:rPr>
      </w:pPr>
    </w:p>
    <w:p>
      <w:pPr>
        <w:ind w:left="106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20,500</w:t>
      </w:r>
    </w:p>
    <w:p>
      <w:pPr>
        <w:spacing w:after="0" w:line="8" w:lineRule="exact"/>
        <w:rPr>
          <w:rFonts w:ascii="Times New Roman" w:cs="Times New Roman" w:eastAsia="Times New Roman" w:hAnsi="Times New Roman"/>
          <w:sz w:val="14"/>
          <w:szCs w:val="14"/>
          <w:color w:val="auto"/>
        </w:rPr>
      </w:pPr>
    </w:p>
    <w:p>
      <w:pPr>
        <w:ind w:left="106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85,000</w:t>
      </w:r>
    </w:p>
    <w:p>
      <w:pPr>
        <w:spacing w:after="0" w:line="9" w:lineRule="exact"/>
        <w:rPr>
          <w:sz w:val="20"/>
          <w:szCs w:val="20"/>
          <w:color w:val="auto"/>
        </w:rPr>
      </w:pPr>
    </w:p>
    <w:p>
      <w:pPr>
        <w:ind w:left="966"/>
        <w:spacing w:after="0"/>
        <w:rPr>
          <w:sz w:val="20"/>
          <w:szCs w:val="20"/>
          <w:color w:val="auto"/>
        </w:rPr>
      </w:pPr>
      <w:r>
        <w:rPr>
          <w:rFonts w:ascii="Times New Roman" w:cs="Times New Roman" w:eastAsia="Times New Roman" w:hAnsi="Times New Roman"/>
          <w:sz w:val="14"/>
          <w:szCs w:val="14"/>
          <w:color w:val="auto"/>
        </w:rPr>
        <w:t>6,052.00</w:t>
      </w:r>
    </w:p>
    <w:p>
      <w:pPr>
        <w:spacing w:after="0" w:line="16" w:lineRule="exact"/>
        <w:rPr>
          <w:sz w:val="20"/>
          <w:szCs w:val="20"/>
          <w:color w:val="auto"/>
        </w:rPr>
      </w:pPr>
    </w:p>
    <w:p>
      <w:pPr>
        <w:ind w:left="1006" w:hanging="1006"/>
        <w:spacing w:after="0"/>
        <w:tabs>
          <w:tab w:leader="none" w:pos="1006"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92900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8994" w:space="720"/>
            <w:col w:w="1566"/>
          </w:cols>
          <w:pgMar w:left="300" w:top="125"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180" w:lineRule="exact"/>
        <w:rPr>
          <w:sz w:val="20"/>
          <w:szCs w:val="20"/>
          <w:color w:val="auto"/>
        </w:rPr>
      </w:pPr>
    </w:p>
    <w:p>
      <w:pPr>
        <w:ind w:right="220" w:firstLine="283"/>
        <w:spacing w:after="0" w:line="269" w:lineRule="auto"/>
        <w:rPr>
          <w:sz w:val="20"/>
          <w:szCs w:val="20"/>
          <w:color w:val="auto"/>
        </w:rPr>
      </w:pPr>
      <w:r>
        <w:rPr>
          <w:rFonts w:ascii="Times New Roman" w:cs="Times New Roman" w:eastAsia="Times New Roman" w:hAnsi="Times New Roman"/>
          <w:sz w:val="14"/>
          <w:szCs w:val="14"/>
          <w:color w:val="auto"/>
        </w:rPr>
        <w:t>The Delaware General Corporation Law and certain provisions of our certificate of incorporation and bylaws under certain circumstances provide for indemnification of our officers, directors and controlling persons against liabilities which they may incur in such capacities. A summary of the circumstances in which such indemnification is provided for is contained herein, but this description is qualified in its entirety by reference to our certificate of incorporation, bylaws and to the statutory provisions.</w:t>
      </w:r>
    </w:p>
    <w:p>
      <w:pPr>
        <w:spacing w:after="0" w:line="137" w:lineRule="exact"/>
        <w:rPr>
          <w:sz w:val="20"/>
          <w:szCs w:val="20"/>
          <w:color w:val="auto"/>
        </w:rPr>
      </w:pPr>
    </w:p>
    <w:p>
      <w:pPr>
        <w:ind w:right="120" w:firstLine="283"/>
        <w:spacing w:after="0" w:line="264" w:lineRule="auto"/>
        <w:rPr>
          <w:sz w:val="20"/>
          <w:szCs w:val="20"/>
          <w:color w:val="auto"/>
        </w:rPr>
      </w:pPr>
      <w:r>
        <w:rPr>
          <w:rFonts w:ascii="Times New Roman" w:cs="Times New Roman" w:eastAsia="Times New Roman" w:hAnsi="Times New Roman"/>
          <w:sz w:val="14"/>
          <w:szCs w:val="14"/>
          <w:color w:val="auto"/>
        </w:rPr>
        <w:t>In general, any officer, director, employee or agent may be indemnified against expenses, fines, settlements or judgments arising in connection with a legal proceeding to which such person is a party, if that person’s actions were in good faith, were believed to be in our best interest, and with respect to any criminal action or proceeding, such person had no reasonable cause to believe their actions were unlawful. Unless such person is successful upon the merits in such an action, indemnification may be awarded only after a determination by independent decision of the board of directors, by legal counsel, or by a vote of the stockholders, that the applicable standard of conduct was met by the person to be indemnified.</w:t>
      </w:r>
    </w:p>
    <w:p>
      <w:pPr>
        <w:spacing w:after="0" w:line="140" w:lineRule="exact"/>
        <w:rPr>
          <w:sz w:val="20"/>
          <w:szCs w:val="20"/>
          <w:color w:val="auto"/>
        </w:rPr>
      </w:pPr>
    </w:p>
    <w:p>
      <w:pPr>
        <w:ind w:firstLine="283"/>
        <w:spacing w:after="0" w:line="269" w:lineRule="auto"/>
        <w:rPr>
          <w:sz w:val="20"/>
          <w:szCs w:val="20"/>
          <w:color w:val="auto"/>
        </w:rPr>
      </w:pPr>
      <w:r>
        <w:rPr>
          <w:rFonts w:ascii="Times New Roman" w:cs="Times New Roman" w:eastAsia="Times New Roman" w:hAnsi="Times New Roman"/>
          <w:sz w:val="14"/>
          <w:szCs w:val="14"/>
          <w:color w:val="auto"/>
        </w:rPr>
        <w:t>The circumstances under which indemnification is granted in connection with an action brought on our behalf is generally the same as those set forth above; however, with respect to such actions, indemnification is granted only with respect to expenses actually incurred in connection with the defense or settlement of the action. In such actions, unless the court determines otherwise, the person to be indemnified must have acted in good faith and in a manner believed to have been in our best interest, and have not been adjudged liable to the corporation.</w:t>
      </w:r>
    </w:p>
    <w:p>
      <w:pPr>
        <w:spacing w:after="0" w:line="137" w:lineRule="exact"/>
        <w:rPr>
          <w:sz w:val="20"/>
          <w:szCs w:val="20"/>
          <w:color w:val="auto"/>
        </w:rPr>
      </w:pPr>
    </w:p>
    <w:p>
      <w:pPr>
        <w:jc w:val="both"/>
        <w:ind w:firstLine="283"/>
        <w:spacing w:after="0" w:line="269" w:lineRule="auto"/>
        <w:rPr>
          <w:sz w:val="20"/>
          <w:szCs w:val="20"/>
          <w:color w:val="auto"/>
        </w:rPr>
      </w:pPr>
      <w:r>
        <w:rPr>
          <w:rFonts w:ascii="Times New Roman" w:cs="Times New Roman" w:eastAsia="Times New Roman" w:hAnsi="Times New Roman"/>
          <w:sz w:val="14"/>
          <w:szCs w:val="14"/>
          <w:color w:val="auto"/>
        </w:rPr>
        <w:t>Indemnification may also be granted pursuant to the terms of agreements which we are currently party to with each of our directors and executive officers, agreements which we may enter into in the future or pursuant to a vote of stockholders or directors. Delaware law and our certificate of incorporation also grant the power to us to purchase and maintain insurance which protects our officers and directors against any liabilities incurred in connection with their service in such a position, and such a policy may be obtained by us.</w:t>
      </w:r>
    </w:p>
    <w:p>
      <w:pPr>
        <w:spacing w:after="0" w:line="137" w:lineRule="exact"/>
        <w:rPr>
          <w:sz w:val="20"/>
          <w:szCs w:val="20"/>
          <w:color w:val="auto"/>
        </w:rPr>
      </w:pPr>
    </w:p>
    <w:p>
      <w:pPr>
        <w:ind w:right="300" w:firstLine="283"/>
        <w:spacing w:after="0" w:line="269" w:lineRule="auto"/>
        <w:rPr>
          <w:sz w:val="20"/>
          <w:szCs w:val="20"/>
          <w:color w:val="auto"/>
        </w:rPr>
      </w:pPr>
      <w:r>
        <w:rPr>
          <w:rFonts w:ascii="Times New Roman" w:cs="Times New Roman" w:eastAsia="Times New Roman" w:hAnsi="Times New Roman"/>
          <w:sz w:val="14"/>
          <w:szCs w:val="14"/>
          <w:color w:val="auto"/>
        </w:rPr>
        <w:t>A stockholder’s investment may be adversely affected to the extent we pay the costs of settlement and damage awards against directors and officers as required by these indemnification provisions. There is no pending litigation or proceeding involving any of our directors, officers or employees regarding which indemnification by us is sought, nor are we aware of any threatened litigation that may result in claims for indemnification.</w:t>
      </w:r>
    </w:p>
    <w:p>
      <w:pPr>
        <w:spacing w:after="0" w:line="158" w:lineRule="exact"/>
        <w:rPr>
          <w:sz w:val="20"/>
          <w:szCs w:val="20"/>
          <w:color w:val="auto"/>
        </w:rPr>
      </w:pPr>
    </w:p>
    <w:p>
      <w:pPr>
        <w:ind w:right="380" w:firstLine="283"/>
        <w:spacing w:after="0" w:line="286"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or persons controlling us pursuant to the foregoing provisions, we have been informed that, in the opinion of the SEC, this indemnification is against public policy as expressed in the Securities Act and is therefore unenforceable.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8"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Exhibits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exhibits are filed herewith as part of this registration statement:</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11"/>
          </w:tcPr>
          <w:p>
            <w:pPr>
              <w:ind w:left="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93"/>
        </w:trPr>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2"/>
        </w:trPr>
        <w:tc>
          <w:tcPr>
            <w:tcW w:w="84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0" w:type="dxa"/>
            <w:vAlign w:val="bottom"/>
            <w:gridSpan w:val="31"/>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r>
      <w:tr>
        <w:trPr>
          <w:trHeight w:val="152"/>
        </w:trPr>
        <w:tc>
          <w:tcPr>
            <w:tcW w:w="840" w:type="dxa"/>
            <w:vAlign w:val="bottom"/>
          </w:tcPr>
          <w:p>
            <w:pPr>
              <w:jc w:val="center"/>
              <w:ind w:right="249"/>
              <w:spacing w:after="0" w:line="153" w:lineRule="exact"/>
              <w:rPr>
                <w:sz w:val="20"/>
                <w:szCs w:val="20"/>
                <w:color w:val="auto"/>
              </w:rPr>
            </w:pPr>
            <w:r>
              <w:rPr>
                <w:rFonts w:ascii="Times New Roman" w:cs="Times New Roman" w:eastAsia="Times New Roman" w:hAnsi="Times New Roman"/>
                <w:sz w:val="14"/>
                <w:szCs w:val="14"/>
                <w:color w:val="auto"/>
                <w:w w:val="91"/>
              </w:rPr>
              <w:t>2.1</w:t>
            </w:r>
          </w:p>
        </w:tc>
        <w:tc>
          <w:tcPr>
            <w:tcW w:w="5140" w:type="dxa"/>
            <w:vAlign w:val="bottom"/>
            <w:tcBorders>
              <w:bottom w:val="single" w:sz="8" w:color="0000EE"/>
            </w:tcBorders>
            <w:gridSpan w:val="27"/>
          </w:tcPr>
          <w:p>
            <w:pPr>
              <w:spacing w:after="0" w:line="153"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Agreement and Plan of Merger and Reorganization dated October 27, 2017, by and among</w:t>
              </w:r>
            </w:hyperlink>
          </w:p>
        </w:tc>
        <w:tc>
          <w:tcPr>
            <w:tcW w:w="260" w:type="dxa"/>
            <w:vAlign w:val="bottom"/>
            <w:gridSpan w:val="4"/>
          </w:tcPr>
          <w:p>
            <w:pPr>
              <w:spacing w:after="0"/>
              <w:rPr>
                <w:sz w:val="13"/>
                <w:szCs w:val="13"/>
                <w:color w:val="auto"/>
              </w:rPr>
            </w:pPr>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gridSpan w:val="30"/>
          </w:tcPr>
          <w:p>
            <w:pPr>
              <w:spacing w:after="0" w:line="150" w:lineRule="exact"/>
              <w:rPr>
                <w:rFonts w:ascii="Times New Roman" w:cs="Times New Roman" w:eastAsia="Times New Roman" w:hAnsi="Times New Roman"/>
                <w:sz w:val="14"/>
                <w:szCs w:val="14"/>
                <w:color w:val="0000EE"/>
              </w:rPr>
            </w:pPr>
            <w:hyperlink r:id="rId246">
              <w:r>
                <w:rPr>
                  <w:rFonts w:ascii="Times New Roman" w:cs="Times New Roman" w:eastAsia="Times New Roman" w:hAnsi="Times New Roman"/>
                  <w:sz w:val="14"/>
                  <w:szCs w:val="14"/>
                  <w:color w:val="0000EE"/>
                </w:rPr>
                <w:t>Aviragen Therapeutics, Inc., Vaxart, Inc. and Agora Merger Sub, Inc.</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2.2</w:t>
            </w:r>
          </w:p>
        </w:tc>
        <w:tc>
          <w:tcPr>
            <w:tcW w:w="5400" w:type="dxa"/>
            <w:vAlign w:val="bottom"/>
            <w:gridSpan w:val="31"/>
          </w:tcPr>
          <w:p>
            <w:pPr>
              <w:spacing w:after="0" w:line="150"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Amendment No. 1, dated as of February 7, 2018, to the Agreement and Plan of Merger and</w:t>
              </w:r>
            </w:hyperlink>
          </w:p>
        </w:tc>
      </w:tr>
      <w:tr>
        <w:trPr>
          <w:trHeight w:val="20"/>
        </w:trPr>
        <w:tc>
          <w:tcPr>
            <w:tcW w:w="8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gridSpan w:val="30"/>
          </w:tcPr>
          <w:p>
            <w:pPr>
              <w:spacing w:after="0" w:line="150"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Reorganization dated October 27, 2017, by and among Aviragen Therapeutics, Inc., Vaxart,</w:t>
              </w:r>
            </w:hyperlink>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Borders>
              <w:top w:val="single" w:sz="8" w:color="0000EE"/>
              <w:bottom w:val="single" w:sz="8" w:color="0000EE"/>
            </w:tcBorders>
            <w:gridSpan w:val="6"/>
          </w:tcPr>
          <w:p>
            <w:pPr>
              <w:spacing w:after="0" w:line="150" w:lineRule="exact"/>
              <w:rPr>
                <w:rFonts w:ascii="Times New Roman" w:cs="Times New Roman" w:eastAsia="Times New Roman" w:hAnsi="Times New Roman"/>
                <w:sz w:val="14"/>
                <w:szCs w:val="14"/>
                <w:color w:val="0000EE"/>
              </w:rPr>
            </w:pPr>
            <w:hyperlink r:id="rId247">
              <w:r>
                <w:rPr>
                  <w:rFonts w:ascii="Times New Roman" w:cs="Times New Roman" w:eastAsia="Times New Roman" w:hAnsi="Times New Roman"/>
                  <w:sz w:val="14"/>
                  <w:szCs w:val="14"/>
                  <w:color w:val="0000EE"/>
                </w:rPr>
                <w:t>Inc. and Agora Merger Sub, Inc.</w:t>
              </w:r>
            </w:hyperlink>
          </w:p>
        </w:tc>
        <w:tc>
          <w:tcPr>
            <w:tcW w:w="3320" w:type="dxa"/>
            <w:vAlign w:val="bottom"/>
            <w:tcBorders>
              <w:top w:val="single" w:sz="8" w:color="0000EE"/>
            </w:tcBorders>
            <w:gridSpan w:val="23"/>
          </w:tcPr>
          <w:p>
            <w:pPr>
              <w:spacing w:after="0"/>
              <w:rPr>
                <w:sz w:val="13"/>
                <w:szCs w:val="13"/>
                <w:color w:val="auto"/>
              </w:rPr>
            </w:pPr>
          </w:p>
        </w:tc>
        <w:tc>
          <w:tcPr>
            <w:tcW w:w="120" w:type="dxa"/>
            <w:vAlign w:val="bottom"/>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3.1</w:t>
            </w:r>
          </w:p>
        </w:tc>
        <w:tc>
          <w:tcPr>
            <w:tcW w:w="5400" w:type="dxa"/>
            <w:vAlign w:val="bottom"/>
            <w:gridSpan w:val="31"/>
          </w:tcPr>
          <w:p>
            <w:pPr>
              <w:spacing w:after="0" w:line="150" w:lineRule="exact"/>
              <w:rPr>
                <w:rFonts w:ascii="Times New Roman" w:cs="Times New Roman" w:eastAsia="Times New Roman" w:hAnsi="Times New Roman"/>
                <w:sz w:val="14"/>
                <w:szCs w:val="14"/>
                <w:color w:val="0000EE"/>
              </w:rPr>
            </w:pPr>
            <w:hyperlink r:id="rId248">
              <w:r>
                <w:rPr>
                  <w:rFonts w:ascii="Times New Roman" w:cs="Times New Roman" w:eastAsia="Times New Roman" w:hAnsi="Times New Roman"/>
                  <w:sz w:val="14"/>
                  <w:szCs w:val="14"/>
                  <w:color w:val="0000EE"/>
                </w:rPr>
                <w:t>Restated Certificate of Incorporation of Aviragen Therapeutics, Inc.</w:t>
              </w:r>
            </w:hyperlink>
          </w:p>
        </w:tc>
      </w:tr>
      <w:tr>
        <w:trPr>
          <w:trHeight w:val="20"/>
        </w:trPr>
        <w:tc>
          <w:tcPr>
            <w:tcW w:w="8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3.2</w:t>
            </w:r>
          </w:p>
        </w:tc>
        <w:tc>
          <w:tcPr>
            <w:tcW w:w="5240" w:type="dxa"/>
            <w:vAlign w:val="bottom"/>
            <w:tcBorders>
              <w:bottom w:val="single" w:sz="8" w:color="0000EE"/>
            </w:tcBorders>
            <w:gridSpan w:val="28"/>
          </w:tcPr>
          <w:p>
            <w:pPr>
              <w:spacing w:after="0" w:line="150" w:lineRule="exact"/>
              <w:rPr>
                <w:rFonts w:ascii="Times New Roman" w:cs="Times New Roman" w:eastAsia="Times New Roman" w:hAnsi="Times New Roman"/>
                <w:sz w:val="14"/>
                <w:szCs w:val="14"/>
                <w:color w:val="0000EE"/>
              </w:rPr>
            </w:pPr>
            <w:hyperlink r:id="rId249">
              <w:r>
                <w:rPr>
                  <w:rFonts w:ascii="Times New Roman" w:cs="Times New Roman" w:eastAsia="Times New Roman" w:hAnsi="Times New Roman"/>
                  <w:sz w:val="14"/>
                  <w:szCs w:val="14"/>
                  <w:color w:val="0000EE"/>
                </w:rPr>
                <w:t>Certificate of Amendment to Restated Certificate of Incorporation of Aviragen Therapeutics,</w:t>
              </w:r>
            </w:hyperlink>
          </w:p>
        </w:tc>
        <w:tc>
          <w:tcPr>
            <w:tcW w:w="160" w:type="dxa"/>
            <w:vAlign w:val="bottom"/>
            <w:gridSpan w:val="3"/>
          </w:tcPr>
          <w:p>
            <w:pPr>
              <w:spacing w:after="0"/>
              <w:rPr>
                <w:sz w:val="13"/>
                <w:szCs w:val="13"/>
                <w:color w:val="auto"/>
              </w:rPr>
            </w:pPr>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bottom w:val="single" w:sz="8" w:color="0000EE"/>
            </w:tcBorders>
          </w:tcPr>
          <w:p>
            <w:pPr>
              <w:spacing w:after="0" w:line="150" w:lineRule="exact"/>
              <w:rPr>
                <w:rFonts w:ascii="Times New Roman" w:cs="Times New Roman" w:eastAsia="Times New Roman" w:hAnsi="Times New Roman"/>
                <w:sz w:val="14"/>
                <w:szCs w:val="14"/>
                <w:color w:val="0000EE"/>
                <w:w w:val="93"/>
              </w:rPr>
            </w:pPr>
            <w:hyperlink r:id="rId249">
              <w:r>
                <w:rPr>
                  <w:rFonts w:ascii="Times New Roman" w:cs="Times New Roman" w:eastAsia="Times New Roman" w:hAnsi="Times New Roman"/>
                  <w:sz w:val="14"/>
                  <w:szCs w:val="14"/>
                  <w:color w:val="0000EE"/>
                  <w:w w:val="93"/>
                </w:rPr>
                <w:t>Inc.</w:t>
              </w:r>
            </w:hyperlink>
          </w:p>
        </w:tc>
        <w:tc>
          <w:tcPr>
            <w:tcW w:w="5060" w:type="dxa"/>
            <w:vAlign w:val="bottom"/>
            <w:gridSpan w:val="29"/>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3.3</w:t>
            </w:r>
          </w:p>
        </w:tc>
        <w:tc>
          <w:tcPr>
            <w:tcW w:w="460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250">
              <w:r>
                <w:rPr>
                  <w:rFonts w:ascii="Times New Roman" w:cs="Times New Roman" w:eastAsia="Times New Roman" w:hAnsi="Times New Roman"/>
                  <w:sz w:val="14"/>
                  <w:szCs w:val="14"/>
                  <w:color w:val="0000EE"/>
                </w:rPr>
                <w:t>Certificate of Amendment to Restated Certificate of Incorporation of Vaxart, Inc.</w:t>
              </w:r>
            </w:hyperlink>
          </w:p>
        </w:tc>
        <w:tc>
          <w:tcPr>
            <w:tcW w:w="800" w:type="dxa"/>
            <w:vAlign w:val="bottom"/>
            <w:gridSpan w:val="8"/>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3.4</w:t>
            </w:r>
          </w:p>
        </w:tc>
        <w:tc>
          <w:tcPr>
            <w:tcW w:w="460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251">
              <w:r>
                <w:rPr>
                  <w:rFonts w:ascii="Times New Roman" w:cs="Times New Roman" w:eastAsia="Times New Roman" w:hAnsi="Times New Roman"/>
                  <w:sz w:val="14"/>
                  <w:szCs w:val="14"/>
                  <w:color w:val="0000EE"/>
                </w:rPr>
                <w:t>Certificate of Amendment to Restated Certificate of Incorporation of Vaxart, Inc.</w:t>
              </w:r>
            </w:hyperlink>
          </w:p>
        </w:tc>
        <w:tc>
          <w:tcPr>
            <w:tcW w:w="800" w:type="dxa"/>
            <w:vAlign w:val="bottom"/>
            <w:gridSpan w:val="8"/>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3.5</w:t>
            </w:r>
          </w:p>
        </w:tc>
        <w:tc>
          <w:tcPr>
            <w:tcW w:w="460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252">
              <w:r>
                <w:rPr>
                  <w:rFonts w:ascii="Times New Roman" w:cs="Times New Roman" w:eastAsia="Times New Roman" w:hAnsi="Times New Roman"/>
                  <w:sz w:val="14"/>
                  <w:szCs w:val="14"/>
                  <w:color w:val="0000EE"/>
                </w:rPr>
                <w:t>Certificate of Amendment to Restated Certificate of Incorporation of Vaxart, Inc.</w:t>
              </w:r>
            </w:hyperlink>
          </w:p>
        </w:tc>
        <w:tc>
          <w:tcPr>
            <w:tcW w:w="800" w:type="dxa"/>
            <w:vAlign w:val="bottom"/>
            <w:gridSpan w:val="8"/>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3.6</w:t>
            </w:r>
          </w:p>
        </w:tc>
        <w:tc>
          <w:tcPr>
            <w:tcW w:w="460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253">
              <w:r>
                <w:rPr>
                  <w:rFonts w:ascii="Times New Roman" w:cs="Times New Roman" w:eastAsia="Times New Roman" w:hAnsi="Times New Roman"/>
                  <w:sz w:val="14"/>
                  <w:szCs w:val="14"/>
                  <w:color w:val="0000EE"/>
                </w:rPr>
                <w:t>Certificate of Amendment to Restated Certificate of Incorporation of Vaxart, Inc.</w:t>
              </w:r>
            </w:hyperlink>
          </w:p>
        </w:tc>
        <w:tc>
          <w:tcPr>
            <w:tcW w:w="800" w:type="dxa"/>
            <w:vAlign w:val="bottom"/>
            <w:gridSpan w:val="8"/>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3.7</w:t>
            </w:r>
          </w:p>
        </w:tc>
        <w:tc>
          <w:tcPr>
            <w:tcW w:w="4580" w:type="dxa"/>
            <w:vAlign w:val="bottom"/>
            <w:tcBorders>
              <w:bottom w:val="single" w:sz="8" w:color="0000EE"/>
            </w:tcBorders>
            <w:gridSpan w:val="22"/>
          </w:tcPr>
          <w:p>
            <w:pPr>
              <w:spacing w:after="0" w:line="150" w:lineRule="exact"/>
              <w:rPr>
                <w:rFonts w:ascii="Times New Roman" w:cs="Times New Roman" w:eastAsia="Times New Roman" w:hAnsi="Times New Roman"/>
                <w:sz w:val="14"/>
                <w:szCs w:val="14"/>
                <w:color w:val="0000EE"/>
              </w:rPr>
            </w:pPr>
            <w:hyperlink r:id="rId254">
              <w:r>
                <w:rPr>
                  <w:rFonts w:ascii="Times New Roman" w:cs="Times New Roman" w:eastAsia="Times New Roman" w:hAnsi="Times New Roman"/>
                  <w:sz w:val="14"/>
                  <w:szCs w:val="14"/>
                  <w:color w:val="0000EE"/>
                </w:rPr>
                <w:t>Certificate of Amendment to Restated Certificate of Incorporation of Vaxart, Inc.</w:t>
              </w:r>
            </w:hyperlink>
          </w:p>
        </w:tc>
        <w:tc>
          <w:tcPr>
            <w:tcW w:w="820" w:type="dxa"/>
            <w:vAlign w:val="bottom"/>
            <w:gridSpan w:val="9"/>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3.8</w:t>
            </w:r>
          </w:p>
        </w:tc>
        <w:tc>
          <w:tcPr>
            <w:tcW w:w="5400" w:type="dxa"/>
            <w:vAlign w:val="bottom"/>
            <w:gridSpan w:val="31"/>
          </w:tcPr>
          <w:p>
            <w:pPr>
              <w:spacing w:after="0" w:line="150" w:lineRule="exact"/>
              <w:rPr>
                <w:rFonts w:ascii="Times New Roman" w:cs="Times New Roman" w:eastAsia="Times New Roman" w:hAnsi="Times New Roman"/>
                <w:sz w:val="14"/>
                <w:szCs w:val="14"/>
                <w:color w:val="0000EE"/>
              </w:rPr>
            </w:pPr>
            <w:hyperlink r:id="rId255">
              <w:r>
                <w:rPr>
                  <w:rFonts w:ascii="Times New Roman" w:cs="Times New Roman" w:eastAsia="Times New Roman" w:hAnsi="Times New Roman"/>
                  <w:sz w:val="14"/>
                  <w:szCs w:val="14"/>
                  <w:color w:val="0000EE"/>
                </w:rPr>
                <w:t>Amended and Restated By-laws of Vaxart, Inc., effective as of October 18, 2023</w:t>
              </w:r>
            </w:hyperlink>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4.1</w:t>
            </w:r>
          </w:p>
        </w:tc>
        <w:tc>
          <w:tcPr>
            <w:tcW w:w="4540" w:type="dxa"/>
            <w:vAlign w:val="bottom"/>
            <w:tcBorders>
              <w:top w:val="single" w:sz="8" w:color="0000EE"/>
            </w:tcBorders>
            <w:gridSpan w:val="21"/>
          </w:tcPr>
          <w:p>
            <w:pPr>
              <w:spacing w:after="0" w:line="15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Reference is made to Exhibits </w:t>
            </w:r>
            <w:hyperlink r:id="rId248">
              <w:r>
                <w:rPr>
                  <w:rFonts w:ascii="Times New Roman" w:cs="Times New Roman" w:eastAsia="Times New Roman" w:hAnsi="Times New Roman"/>
                  <w:sz w:val="14"/>
                  <w:szCs w:val="14"/>
                  <w:color w:val="0000EE"/>
                </w:rPr>
                <w:t>3.1</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 xml:space="preserve">to </w:t>
            </w:r>
            <w:hyperlink r:id="rId255">
              <w:r>
                <w:rPr>
                  <w:rFonts w:ascii="Times New Roman" w:cs="Times New Roman" w:eastAsia="Times New Roman" w:hAnsi="Times New Roman"/>
                  <w:sz w:val="14"/>
                  <w:szCs w:val="14"/>
                  <w:color w:val="0000EE"/>
                </w:rPr>
                <w:t>3.8</w:t>
              </w:r>
            </w:hyperlink>
          </w:p>
        </w:tc>
        <w:tc>
          <w:tcPr>
            <w:tcW w:w="860" w:type="dxa"/>
            <w:vAlign w:val="bottom"/>
            <w:gridSpan w:val="10"/>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4.2</w:t>
            </w:r>
          </w:p>
        </w:tc>
        <w:tc>
          <w:tcPr>
            <w:tcW w:w="2100" w:type="dxa"/>
            <w:vAlign w:val="bottom"/>
            <w:tcBorders>
              <w:bottom w:val="single" w:sz="8" w:color="0000EE"/>
            </w:tcBorders>
            <w:gridSpan w:val="8"/>
          </w:tcPr>
          <w:p>
            <w:pPr>
              <w:spacing w:after="0" w:line="150" w:lineRule="exact"/>
              <w:rPr>
                <w:rFonts w:ascii="Times New Roman" w:cs="Times New Roman" w:eastAsia="Times New Roman" w:hAnsi="Times New Roman"/>
                <w:sz w:val="14"/>
                <w:szCs w:val="14"/>
                <w:color w:val="0000EE"/>
                <w:w w:val="98"/>
              </w:rPr>
            </w:pPr>
            <w:hyperlink r:id="rId256">
              <w:r>
                <w:rPr>
                  <w:rFonts w:ascii="Times New Roman" w:cs="Times New Roman" w:eastAsia="Times New Roman" w:hAnsi="Times New Roman"/>
                  <w:sz w:val="14"/>
                  <w:szCs w:val="14"/>
                  <w:color w:val="0000EE"/>
                  <w:w w:val="98"/>
                </w:rPr>
                <w:t>Specimen Common Stock Certificate</w:t>
              </w:r>
            </w:hyperlink>
          </w:p>
        </w:tc>
        <w:tc>
          <w:tcPr>
            <w:tcW w:w="3300" w:type="dxa"/>
            <w:vAlign w:val="bottom"/>
            <w:gridSpan w:val="23"/>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4.3</w:t>
            </w:r>
          </w:p>
        </w:tc>
        <w:tc>
          <w:tcPr>
            <w:tcW w:w="2400" w:type="dxa"/>
            <w:vAlign w:val="bottom"/>
            <w:tcBorders>
              <w:bottom w:val="single" w:sz="8" w:color="0000EE"/>
            </w:tcBorders>
            <w:gridSpan w:val="11"/>
          </w:tcPr>
          <w:p>
            <w:pPr>
              <w:spacing w:after="0" w:line="150" w:lineRule="exact"/>
              <w:rPr>
                <w:rFonts w:ascii="Times New Roman" w:cs="Times New Roman" w:eastAsia="Times New Roman" w:hAnsi="Times New Roman"/>
                <w:sz w:val="14"/>
                <w:szCs w:val="14"/>
                <w:color w:val="0000EE"/>
              </w:rPr>
            </w:pPr>
            <w:hyperlink r:id="rId257">
              <w:r>
                <w:rPr>
                  <w:rFonts w:ascii="Times New Roman" w:cs="Times New Roman" w:eastAsia="Times New Roman" w:hAnsi="Times New Roman"/>
                  <w:sz w:val="14"/>
                  <w:szCs w:val="14"/>
                  <w:color w:val="0000EE"/>
                </w:rPr>
                <w:t>Form of Pre-Funded Warrant (April 2019)</w:t>
              </w:r>
            </w:hyperlink>
          </w:p>
        </w:tc>
        <w:tc>
          <w:tcPr>
            <w:tcW w:w="3000" w:type="dxa"/>
            <w:vAlign w:val="bottom"/>
            <w:gridSpan w:val="20"/>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4.4</w:t>
            </w:r>
          </w:p>
        </w:tc>
        <w:tc>
          <w:tcPr>
            <w:tcW w:w="5400" w:type="dxa"/>
            <w:vAlign w:val="bottom"/>
            <w:gridSpan w:val="31"/>
          </w:tcPr>
          <w:p>
            <w:pPr>
              <w:spacing w:after="0" w:line="150" w:lineRule="exact"/>
              <w:rPr>
                <w:rFonts w:ascii="Times New Roman" w:cs="Times New Roman" w:eastAsia="Times New Roman" w:hAnsi="Times New Roman"/>
                <w:sz w:val="14"/>
                <w:szCs w:val="14"/>
                <w:color w:val="0000EE"/>
              </w:rPr>
            </w:pPr>
            <w:hyperlink r:id="rId258">
              <w:r>
                <w:rPr>
                  <w:rFonts w:ascii="Times New Roman" w:cs="Times New Roman" w:eastAsia="Times New Roman" w:hAnsi="Times New Roman"/>
                  <w:sz w:val="14"/>
                  <w:szCs w:val="14"/>
                  <w:color w:val="0000EE"/>
                </w:rPr>
                <w:t>Form of Common Stock Warrant (April 2019)</w:t>
              </w:r>
            </w:hyperlink>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4.5</w:t>
            </w:r>
          </w:p>
        </w:tc>
        <w:tc>
          <w:tcPr>
            <w:tcW w:w="2560" w:type="dxa"/>
            <w:vAlign w:val="bottom"/>
            <w:tcBorders>
              <w:top w:val="single" w:sz="8" w:color="0000EE"/>
              <w:bottom w:val="single" w:sz="8" w:color="0000EE"/>
            </w:tcBorders>
            <w:gridSpan w:val="12"/>
          </w:tcPr>
          <w:p>
            <w:pPr>
              <w:spacing w:after="0" w:line="150" w:lineRule="exact"/>
              <w:rPr>
                <w:rFonts w:ascii="Times New Roman" w:cs="Times New Roman" w:eastAsia="Times New Roman" w:hAnsi="Times New Roman"/>
                <w:sz w:val="14"/>
                <w:szCs w:val="14"/>
                <w:color w:val="0000EE"/>
                <w:w w:val="99"/>
              </w:rPr>
            </w:pPr>
            <w:hyperlink r:id="rId259">
              <w:r>
                <w:rPr>
                  <w:rFonts w:ascii="Times New Roman" w:cs="Times New Roman" w:eastAsia="Times New Roman" w:hAnsi="Times New Roman"/>
                  <w:sz w:val="14"/>
                  <w:szCs w:val="14"/>
                  <w:color w:val="0000EE"/>
                  <w:w w:val="99"/>
                </w:rPr>
                <w:t>Form of Representative Warrant (April 2019)</w:t>
              </w:r>
            </w:hyperlink>
          </w:p>
        </w:tc>
        <w:tc>
          <w:tcPr>
            <w:tcW w:w="40" w:type="dxa"/>
            <w:vAlign w:val="bottom"/>
            <w:tcBorders>
              <w:top w:val="single" w:sz="8" w:color="0000EE"/>
            </w:tcBorders>
          </w:tcPr>
          <w:p>
            <w:pPr>
              <w:spacing w:after="0"/>
              <w:rPr>
                <w:sz w:val="13"/>
                <w:szCs w:val="13"/>
                <w:color w:val="auto"/>
              </w:rPr>
            </w:pPr>
          </w:p>
        </w:tc>
        <w:tc>
          <w:tcPr>
            <w:tcW w:w="2800" w:type="dxa"/>
            <w:vAlign w:val="bottom"/>
            <w:gridSpan w:val="18"/>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4.6</w:t>
            </w:r>
          </w:p>
        </w:tc>
        <w:tc>
          <w:tcPr>
            <w:tcW w:w="2700" w:type="dxa"/>
            <w:vAlign w:val="bottom"/>
            <w:tcBorders>
              <w:bottom w:val="single" w:sz="8" w:color="0000EE"/>
            </w:tcBorders>
            <w:gridSpan w:val="15"/>
          </w:tcPr>
          <w:p>
            <w:pPr>
              <w:spacing w:after="0" w:line="150" w:lineRule="exact"/>
              <w:rPr>
                <w:rFonts w:ascii="Times New Roman" w:cs="Times New Roman" w:eastAsia="Times New Roman" w:hAnsi="Times New Roman"/>
                <w:sz w:val="14"/>
                <w:szCs w:val="14"/>
                <w:color w:val="0000EE"/>
              </w:rPr>
            </w:pPr>
            <w:hyperlink r:id="rId260">
              <w:r>
                <w:rPr>
                  <w:rFonts w:ascii="Times New Roman" w:cs="Times New Roman" w:eastAsia="Times New Roman" w:hAnsi="Times New Roman"/>
                  <w:sz w:val="14"/>
                  <w:szCs w:val="14"/>
                  <w:color w:val="0000EE"/>
                </w:rPr>
                <w:t>Form of Pre-Funded Warrant (September 2019)</w:t>
              </w:r>
            </w:hyperlink>
          </w:p>
        </w:tc>
        <w:tc>
          <w:tcPr>
            <w:tcW w:w="2700" w:type="dxa"/>
            <w:vAlign w:val="bottom"/>
            <w:gridSpan w:val="16"/>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4.7</w:t>
            </w:r>
          </w:p>
        </w:tc>
        <w:tc>
          <w:tcPr>
            <w:tcW w:w="5400" w:type="dxa"/>
            <w:vAlign w:val="bottom"/>
            <w:gridSpan w:val="31"/>
          </w:tcPr>
          <w:p>
            <w:pPr>
              <w:spacing w:after="0" w:line="150" w:lineRule="exact"/>
              <w:rPr>
                <w:rFonts w:ascii="Times New Roman" w:cs="Times New Roman" w:eastAsia="Times New Roman" w:hAnsi="Times New Roman"/>
                <w:sz w:val="14"/>
                <w:szCs w:val="14"/>
                <w:color w:val="0000EE"/>
              </w:rPr>
            </w:pPr>
            <w:hyperlink r:id="rId261">
              <w:r>
                <w:rPr>
                  <w:rFonts w:ascii="Times New Roman" w:cs="Times New Roman" w:eastAsia="Times New Roman" w:hAnsi="Times New Roman"/>
                  <w:sz w:val="14"/>
                  <w:szCs w:val="14"/>
                  <w:color w:val="0000EE"/>
                </w:rPr>
                <w:t>Form of Common Stock Warrant (September 2019)</w:t>
              </w:r>
            </w:hyperlink>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4.8</w:t>
            </w:r>
          </w:p>
        </w:tc>
        <w:tc>
          <w:tcPr>
            <w:tcW w:w="2900" w:type="dxa"/>
            <w:vAlign w:val="bottom"/>
            <w:tcBorders>
              <w:top w:val="single" w:sz="8" w:color="0000EE"/>
            </w:tcBorders>
            <w:gridSpan w:val="18"/>
          </w:tcPr>
          <w:p>
            <w:pPr>
              <w:spacing w:after="0" w:line="150" w:lineRule="exact"/>
              <w:rPr>
                <w:rFonts w:ascii="Times New Roman" w:cs="Times New Roman" w:eastAsia="Times New Roman" w:hAnsi="Times New Roman"/>
                <w:sz w:val="14"/>
                <w:szCs w:val="14"/>
                <w:color w:val="0000EE"/>
              </w:rPr>
            </w:pPr>
            <w:hyperlink r:id="rId262">
              <w:r>
                <w:rPr>
                  <w:rFonts w:ascii="Times New Roman" w:cs="Times New Roman" w:eastAsia="Times New Roman" w:hAnsi="Times New Roman"/>
                  <w:sz w:val="14"/>
                  <w:szCs w:val="14"/>
                  <w:color w:val="0000EE"/>
                </w:rPr>
                <w:t>Form of Representative Warrant (September 2019)</w:t>
              </w:r>
            </w:hyperlink>
          </w:p>
        </w:tc>
        <w:tc>
          <w:tcPr>
            <w:tcW w:w="2500" w:type="dxa"/>
            <w:vAlign w:val="bottom"/>
            <w:gridSpan w:val="13"/>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1"/>
              </w:rPr>
              <w:t>4.9</w:t>
            </w:r>
          </w:p>
        </w:tc>
        <w:tc>
          <w:tcPr>
            <w:tcW w:w="2680" w:type="dxa"/>
            <w:vAlign w:val="bottom"/>
            <w:tcBorders>
              <w:top w:val="single" w:sz="8" w:color="0000EE"/>
              <w:bottom w:val="single" w:sz="8" w:color="0000EE"/>
            </w:tcBorders>
            <w:gridSpan w:val="14"/>
          </w:tcPr>
          <w:p>
            <w:pPr>
              <w:spacing w:after="0" w:line="150" w:lineRule="exact"/>
              <w:rPr>
                <w:rFonts w:ascii="Times New Roman" w:cs="Times New Roman" w:eastAsia="Times New Roman" w:hAnsi="Times New Roman"/>
                <w:sz w:val="14"/>
                <w:szCs w:val="14"/>
                <w:color w:val="0000EE"/>
                <w:w w:val="99"/>
              </w:rPr>
            </w:pPr>
            <w:hyperlink r:id="rId263">
              <w:r>
                <w:rPr>
                  <w:rFonts w:ascii="Times New Roman" w:cs="Times New Roman" w:eastAsia="Times New Roman" w:hAnsi="Times New Roman"/>
                  <w:sz w:val="14"/>
                  <w:szCs w:val="14"/>
                  <w:color w:val="0000EE"/>
                  <w:w w:val="99"/>
                </w:rPr>
                <w:t>Form of Common Stock Warrant (March 2020)</w:t>
              </w:r>
            </w:hyperlink>
          </w:p>
        </w:tc>
        <w:tc>
          <w:tcPr>
            <w:tcW w:w="180" w:type="dxa"/>
            <w:vAlign w:val="bottom"/>
            <w:tcBorders>
              <w:top w:val="single" w:sz="8" w:color="0000EE"/>
            </w:tcBorders>
            <w:gridSpan w:val="3"/>
          </w:tcPr>
          <w:p>
            <w:pPr>
              <w:spacing w:after="0"/>
              <w:rPr>
                <w:sz w:val="13"/>
                <w:szCs w:val="13"/>
                <w:color w:val="auto"/>
              </w:rPr>
            </w:pPr>
          </w:p>
        </w:tc>
        <w:tc>
          <w:tcPr>
            <w:tcW w:w="2540" w:type="dxa"/>
            <w:vAlign w:val="bottom"/>
            <w:gridSpan w:val="14"/>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7"/>
              </w:rPr>
              <w:t>4.10</w:t>
            </w:r>
          </w:p>
        </w:tc>
        <w:tc>
          <w:tcPr>
            <w:tcW w:w="2760" w:type="dxa"/>
            <w:vAlign w:val="bottom"/>
            <w:tcBorders>
              <w:bottom w:val="single" w:sz="8" w:color="0000EE"/>
            </w:tcBorders>
            <w:gridSpan w:val="16"/>
          </w:tcPr>
          <w:p>
            <w:pPr>
              <w:spacing w:after="0" w:line="150" w:lineRule="exact"/>
              <w:rPr>
                <w:rFonts w:ascii="Times New Roman" w:cs="Times New Roman" w:eastAsia="Times New Roman" w:hAnsi="Times New Roman"/>
                <w:sz w:val="14"/>
                <w:szCs w:val="14"/>
                <w:color w:val="0000EE"/>
                <w:w w:val="99"/>
              </w:rPr>
            </w:pPr>
            <w:hyperlink r:id="rId264">
              <w:r>
                <w:rPr>
                  <w:rFonts w:ascii="Times New Roman" w:cs="Times New Roman" w:eastAsia="Times New Roman" w:hAnsi="Times New Roman"/>
                  <w:sz w:val="14"/>
                  <w:szCs w:val="14"/>
                  <w:color w:val="0000EE"/>
                  <w:w w:val="99"/>
                </w:rPr>
                <w:t>Form of Placement Agent Warrant (March 2020)</w:t>
              </w:r>
            </w:hyperlink>
          </w:p>
        </w:tc>
        <w:tc>
          <w:tcPr>
            <w:tcW w:w="2640" w:type="dxa"/>
            <w:vAlign w:val="bottom"/>
            <w:gridSpan w:val="15"/>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7"/>
              </w:rPr>
              <w:t>4.11</w:t>
            </w:r>
          </w:p>
        </w:tc>
        <w:tc>
          <w:tcPr>
            <w:tcW w:w="2380" w:type="dxa"/>
            <w:vAlign w:val="bottom"/>
            <w:tcBorders>
              <w:bottom w:val="single" w:sz="8" w:color="0000EE"/>
            </w:tcBorders>
            <w:gridSpan w:val="10"/>
          </w:tcPr>
          <w:p>
            <w:pPr>
              <w:spacing w:after="0" w:line="150" w:lineRule="exact"/>
              <w:rPr>
                <w:rFonts w:ascii="Times New Roman" w:cs="Times New Roman" w:eastAsia="Times New Roman" w:hAnsi="Times New Roman"/>
                <w:sz w:val="14"/>
                <w:szCs w:val="14"/>
                <w:color w:val="0000EE"/>
                <w:w w:val="99"/>
              </w:rPr>
            </w:pPr>
            <w:hyperlink r:id="rId265">
              <w:r>
                <w:rPr>
                  <w:rFonts w:ascii="Times New Roman" w:cs="Times New Roman" w:eastAsia="Times New Roman" w:hAnsi="Times New Roman"/>
                  <w:sz w:val="14"/>
                  <w:szCs w:val="14"/>
                  <w:color w:val="0000EE"/>
                  <w:w w:val="99"/>
                </w:rPr>
                <w:t>Description of Securities of the Registrant</w:t>
              </w:r>
            </w:hyperlink>
          </w:p>
        </w:tc>
        <w:tc>
          <w:tcPr>
            <w:tcW w:w="3020" w:type="dxa"/>
            <w:vAlign w:val="bottom"/>
            <w:gridSpan w:val="21"/>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7"/>
              </w:rPr>
              <w:t>4.12</w:t>
            </w:r>
          </w:p>
        </w:tc>
        <w:tc>
          <w:tcPr>
            <w:tcW w:w="5400" w:type="dxa"/>
            <w:vAlign w:val="bottom"/>
            <w:gridSpan w:val="31"/>
          </w:tcPr>
          <w:p>
            <w:pPr>
              <w:spacing w:after="0" w:line="150" w:lineRule="exact"/>
              <w:rPr>
                <w:rFonts w:ascii="Times New Roman" w:cs="Times New Roman" w:eastAsia="Times New Roman" w:hAnsi="Times New Roman"/>
                <w:sz w:val="14"/>
                <w:szCs w:val="14"/>
                <w:color w:val="0000EE"/>
              </w:rPr>
            </w:pPr>
            <w:hyperlink r:id="rId266">
              <w:r>
                <w:rPr>
                  <w:rFonts w:ascii="Times New Roman" w:cs="Times New Roman" w:eastAsia="Times New Roman" w:hAnsi="Times New Roman"/>
                  <w:sz w:val="14"/>
                  <w:szCs w:val="14"/>
                  <w:color w:val="0000EE"/>
                </w:rPr>
                <w:t>Amended and Restated Warrant issued to Oxford Finance LLC, dated February 13, 2018</w:t>
              </w:r>
            </w:hyperlink>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7"/>
              </w:rPr>
              <w:t>5.1*</w:t>
            </w:r>
          </w:p>
        </w:tc>
        <w:tc>
          <w:tcPr>
            <w:tcW w:w="5000" w:type="dxa"/>
            <w:vAlign w:val="bottom"/>
            <w:tcBorders>
              <w:top w:val="single" w:sz="8" w:color="0000EE"/>
            </w:tcBorders>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Opinion of Thomspon Hine LLP</w:t>
            </w:r>
          </w:p>
        </w:tc>
        <w:tc>
          <w:tcPr>
            <w:tcW w:w="400" w:type="dxa"/>
            <w:vAlign w:val="bottom"/>
            <w:gridSpan w:val="6"/>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19"/>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rPr>
              <w:t>10.1 +</w:t>
            </w:r>
          </w:p>
        </w:tc>
        <w:tc>
          <w:tcPr>
            <w:tcW w:w="5100" w:type="dxa"/>
            <w:vAlign w:val="bottom"/>
            <w:tcBorders>
              <w:bottom w:val="single" w:sz="8" w:color="0000EE"/>
            </w:tcBorders>
            <w:gridSpan w:val="26"/>
          </w:tcPr>
          <w:p>
            <w:pPr>
              <w:spacing w:after="0" w:line="150" w:lineRule="exact"/>
              <w:rPr>
                <w:rFonts w:ascii="Times New Roman" w:cs="Times New Roman" w:eastAsia="Times New Roman" w:hAnsi="Times New Roman"/>
                <w:sz w:val="14"/>
                <w:szCs w:val="14"/>
                <w:color w:val="0000EE"/>
              </w:rPr>
            </w:pPr>
            <w:hyperlink r:id="rId267">
              <w:r>
                <w:rPr>
                  <w:rFonts w:ascii="Times New Roman" w:cs="Times New Roman" w:eastAsia="Times New Roman" w:hAnsi="Times New Roman"/>
                  <w:sz w:val="14"/>
                  <w:szCs w:val="14"/>
                  <w:color w:val="0000EE"/>
                </w:rPr>
                <w:t>Collaboration and License Agreement dated September 29, 2003, between Biota Holdings</w:t>
              </w:r>
            </w:hyperlink>
          </w:p>
        </w:tc>
        <w:tc>
          <w:tcPr>
            <w:tcW w:w="300" w:type="dxa"/>
            <w:vAlign w:val="bottom"/>
            <w:gridSpan w:val="5"/>
          </w:tcPr>
          <w:p>
            <w:pPr>
              <w:spacing w:after="0"/>
              <w:rPr>
                <w:sz w:val="13"/>
                <w:szCs w:val="13"/>
                <w:color w:val="auto"/>
              </w:rPr>
            </w:pPr>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gridSpan w:val="30"/>
          </w:tcPr>
          <w:p>
            <w:pPr>
              <w:spacing w:after="0" w:line="150" w:lineRule="exact"/>
              <w:rPr>
                <w:rFonts w:ascii="Times New Roman" w:cs="Times New Roman" w:eastAsia="Times New Roman" w:hAnsi="Times New Roman"/>
                <w:sz w:val="14"/>
                <w:szCs w:val="14"/>
                <w:color w:val="0000EE"/>
              </w:rPr>
            </w:pPr>
            <w:hyperlink r:id="rId267">
              <w:r>
                <w:rPr>
                  <w:rFonts w:ascii="Times New Roman" w:cs="Times New Roman" w:eastAsia="Times New Roman" w:hAnsi="Times New Roman"/>
                  <w:sz w:val="14"/>
                  <w:szCs w:val="14"/>
                  <w:color w:val="0000EE"/>
                </w:rPr>
                <w:t>Limited and Sankyo Co., Ltd.</w:t>
              </w:r>
            </w:hyperlink>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140" w:type="dxa"/>
            <w:vAlign w:val="bottom"/>
            <w:gridSpan w:val="19"/>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rPr>
              <w:t>10.2 +</w:t>
            </w:r>
          </w:p>
        </w:tc>
        <w:tc>
          <w:tcPr>
            <w:tcW w:w="5260" w:type="dxa"/>
            <w:vAlign w:val="bottom"/>
            <w:tcBorders>
              <w:bottom w:val="single" w:sz="8" w:color="0000EE"/>
            </w:tcBorders>
            <w:gridSpan w:val="29"/>
          </w:tcPr>
          <w:p>
            <w:pPr>
              <w:spacing w:after="0" w:line="150" w:lineRule="exact"/>
              <w:rPr>
                <w:rFonts w:ascii="Times New Roman" w:cs="Times New Roman" w:eastAsia="Times New Roman" w:hAnsi="Times New Roman"/>
                <w:sz w:val="14"/>
                <w:szCs w:val="14"/>
                <w:color w:val="0000EE"/>
              </w:rPr>
            </w:pPr>
            <w:hyperlink r:id="rId268">
              <w:r>
                <w:rPr>
                  <w:rFonts w:ascii="Times New Roman" w:cs="Times New Roman" w:eastAsia="Times New Roman" w:hAnsi="Times New Roman"/>
                  <w:sz w:val="14"/>
                  <w:szCs w:val="14"/>
                  <w:color w:val="0000EE"/>
                </w:rPr>
                <w:t>Amendment #1 to Collaboration and License Agreement dated June 30, 2005, between Biota</w:t>
              </w:r>
            </w:hyperlink>
          </w:p>
        </w:tc>
        <w:tc>
          <w:tcPr>
            <w:tcW w:w="140" w:type="dxa"/>
            <w:vAlign w:val="bottom"/>
            <w:gridSpan w:val="2"/>
          </w:tcPr>
          <w:p>
            <w:pPr>
              <w:spacing w:after="0"/>
              <w:rPr>
                <w:sz w:val="13"/>
                <w:szCs w:val="13"/>
                <w:color w:val="auto"/>
              </w:rPr>
            </w:pPr>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2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268">
              <w:r>
                <w:rPr>
                  <w:rFonts w:ascii="Times New Roman" w:cs="Times New Roman" w:eastAsia="Times New Roman" w:hAnsi="Times New Roman"/>
                  <w:sz w:val="14"/>
                  <w:szCs w:val="14"/>
                  <w:color w:val="0000EE"/>
                </w:rPr>
                <w:t>Holdings Limited, Biota Scientific Management Pty. Ltd. and Sankyo Company, Ltd.</w:t>
              </w:r>
            </w:hyperlink>
          </w:p>
        </w:tc>
        <w:tc>
          <w:tcPr>
            <w:tcW w:w="460" w:type="dxa"/>
            <w:vAlign w:val="bottom"/>
            <w:gridSpan w:val="7"/>
          </w:tcPr>
          <w:p>
            <w:pPr>
              <w:spacing w:after="0"/>
              <w:rPr>
                <w:sz w:val="13"/>
                <w:szCs w:val="13"/>
                <w:color w:val="auto"/>
              </w:rPr>
            </w:pPr>
          </w:p>
        </w:tc>
      </w:tr>
      <w:tr>
        <w:trPr>
          <w:trHeight w:val="150"/>
        </w:trPr>
        <w:tc>
          <w:tcPr>
            <w:tcW w:w="840" w:type="dxa"/>
            <w:vAlign w:val="bottom"/>
          </w:tcPr>
          <w:p>
            <w:pPr>
              <w:jc w:val="center"/>
              <w:ind w:right="249"/>
              <w:spacing w:after="0" w:line="150" w:lineRule="exact"/>
              <w:rPr>
                <w:sz w:val="20"/>
                <w:szCs w:val="20"/>
                <w:color w:val="auto"/>
              </w:rPr>
            </w:pPr>
            <w:r>
              <w:rPr>
                <w:rFonts w:ascii="Times New Roman" w:cs="Times New Roman" w:eastAsia="Times New Roman" w:hAnsi="Times New Roman"/>
                <w:sz w:val="14"/>
                <w:szCs w:val="14"/>
                <w:color w:val="auto"/>
                <w:w w:val="97"/>
              </w:rPr>
              <w:t>10.3</w:t>
            </w:r>
          </w:p>
        </w:tc>
        <w:tc>
          <w:tcPr>
            <w:tcW w:w="5400" w:type="dxa"/>
            <w:vAlign w:val="bottom"/>
            <w:tcBorders>
              <w:bottom w:val="single" w:sz="8" w:color="0000EE"/>
            </w:tcBorders>
            <w:gridSpan w:val="31"/>
          </w:tcPr>
          <w:p>
            <w:pPr>
              <w:spacing w:after="0" w:line="150" w:lineRule="exact"/>
              <w:rPr>
                <w:rFonts w:ascii="Times New Roman" w:cs="Times New Roman" w:eastAsia="Times New Roman" w:hAnsi="Times New Roman"/>
                <w:sz w:val="14"/>
                <w:szCs w:val="14"/>
                <w:color w:val="0000EE"/>
              </w:rPr>
            </w:pPr>
            <w:hyperlink r:id="rId269">
              <w:r>
                <w:rPr>
                  <w:rFonts w:ascii="Times New Roman" w:cs="Times New Roman" w:eastAsia="Times New Roman" w:hAnsi="Times New Roman"/>
                  <w:sz w:val="14"/>
                  <w:szCs w:val="14"/>
                  <w:color w:val="0000EE"/>
                </w:rPr>
                <w:t>Amendment #2 to Collaboration and License Agreement, dated March 27, 2009, between Biota</w:t>
              </w:r>
            </w:hyperlink>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80" w:type="dxa"/>
            <w:vAlign w:val="bottom"/>
            <w:gridSpan w:val="30"/>
          </w:tcPr>
          <w:p>
            <w:pPr>
              <w:spacing w:after="0" w:line="150" w:lineRule="exact"/>
              <w:rPr>
                <w:rFonts w:ascii="Times New Roman" w:cs="Times New Roman" w:eastAsia="Times New Roman" w:hAnsi="Times New Roman"/>
                <w:sz w:val="14"/>
                <w:szCs w:val="14"/>
                <w:color w:val="0000EE"/>
              </w:rPr>
            </w:pPr>
            <w:hyperlink r:id="rId269">
              <w:r>
                <w:rPr>
                  <w:rFonts w:ascii="Times New Roman" w:cs="Times New Roman" w:eastAsia="Times New Roman" w:hAnsi="Times New Roman"/>
                  <w:sz w:val="14"/>
                  <w:szCs w:val="14"/>
                  <w:color w:val="0000EE"/>
                </w:rPr>
                <w:t>Holdings Limited, Biota Scientific Management Pty. Ltd. and Daiichi Sankyo Company,</w:t>
              </w:r>
            </w:hyperlink>
          </w:p>
        </w:tc>
      </w:tr>
      <w:tr>
        <w:trPr>
          <w:trHeight w:val="150"/>
        </w:trPr>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20" w:type="dxa"/>
            <w:vAlign w:val="bottom"/>
            <w:tcBorders>
              <w:top w:val="single" w:sz="8" w:color="0000EE"/>
            </w:tcBorders>
            <w:gridSpan w:val="26"/>
          </w:tcPr>
          <w:p>
            <w:pPr>
              <w:spacing w:after="0" w:line="150" w:lineRule="exact"/>
              <w:rPr>
                <w:rFonts w:ascii="Times New Roman" w:cs="Times New Roman" w:eastAsia="Times New Roman" w:hAnsi="Times New Roman"/>
                <w:sz w:val="14"/>
                <w:szCs w:val="14"/>
                <w:color w:val="0000EE"/>
              </w:rPr>
            </w:pPr>
            <w:hyperlink r:id="rId269">
              <w:r>
                <w:rPr>
                  <w:rFonts w:ascii="Times New Roman" w:cs="Times New Roman" w:eastAsia="Times New Roman" w:hAnsi="Times New Roman"/>
                  <w:sz w:val="14"/>
                  <w:szCs w:val="14"/>
                  <w:color w:val="0000EE"/>
                </w:rPr>
                <w:t>Limited</w:t>
              </w:r>
            </w:hyperlink>
          </w:p>
        </w:tc>
        <w:tc>
          <w:tcPr>
            <w:tcW w:w="260" w:type="dxa"/>
            <w:vAlign w:val="bottom"/>
            <w:gridSpan w:val="4"/>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Pr>
          <w:p>
            <w:pPr>
              <w:spacing w:after="0"/>
              <w:rPr>
                <w:sz w:val="14"/>
                <w:szCs w:val="14"/>
                <w:color w:val="auto"/>
              </w:rPr>
            </w:pPr>
          </w:p>
        </w:tc>
      </w:tr>
      <w:tr>
        <w:trPr>
          <w:trHeight w:val="170"/>
        </w:trPr>
        <w:tc>
          <w:tcPr>
            <w:tcW w:w="1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File</w:t>
            </w: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110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rPr>
              <w:t>Schedule/Form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84"/>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2.1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October 30, 2017</w:t>
            </w:r>
          </w:p>
        </w:tc>
      </w:tr>
      <w:tr>
        <w:trPr>
          <w:trHeight w:val="339"/>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2.1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February 7, 2018</w:t>
            </w:r>
          </w:p>
        </w:tc>
      </w:tr>
      <w:tr>
        <w:trPr>
          <w:trHeight w:val="495"/>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September 13, 2016</w:t>
            </w:r>
          </w:p>
        </w:tc>
      </w:tr>
      <w:tr>
        <w:trPr>
          <w:trHeight w:val="184"/>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February 20, 2018</w:t>
            </w:r>
          </w:p>
        </w:tc>
      </w:tr>
      <w:tr>
        <w:trPr>
          <w:trHeight w:val="325"/>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February 20, 2018</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April 24, 2019</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June 9, 2020</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w w:val="98"/>
              </w:rPr>
              <w:t>Form 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3.3</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August 8, 2022</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June 13, 2024</w:t>
            </w:r>
          </w:p>
        </w:tc>
      </w:tr>
      <w:tr>
        <w:trPr>
          <w:trHeight w:val="184"/>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October 23, 2023</w:t>
            </w:r>
          </w:p>
        </w:tc>
      </w:tr>
      <w:tr>
        <w:trPr>
          <w:trHeight w:val="325"/>
        </w:trPr>
        <w:tc>
          <w:tcPr>
            <w:tcW w:w="11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333-228910</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4.2</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December 20, 2018</w:t>
            </w:r>
          </w:p>
        </w:tc>
      </w:tr>
      <w:tr>
        <w:trPr>
          <w:trHeight w:val="170"/>
        </w:trPr>
        <w:tc>
          <w:tcPr>
            <w:tcW w:w="11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333-229536</w:t>
            </w: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10.25</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February 6, 2019</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333-229536</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April 8, 2019</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333-229536</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4.5</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April 8, 2019</w:t>
            </w:r>
          </w:p>
        </w:tc>
      </w:tr>
      <w:tr>
        <w:trPr>
          <w:trHeight w:val="170"/>
        </w:trPr>
        <w:tc>
          <w:tcPr>
            <w:tcW w:w="11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333-233717</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4.3</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September 11, 2019</w:t>
            </w:r>
          </w:p>
        </w:tc>
      </w:tr>
      <w:tr>
        <w:trPr>
          <w:trHeight w:val="170"/>
        </w:trPr>
        <w:tc>
          <w:tcPr>
            <w:tcW w:w="110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S-1</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333-233717</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4.4</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September 11, 2019</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333-233717</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4.5</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w w:val="99"/>
              </w:rPr>
              <w:t>September 24, 2019</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4.1</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March 2, 2020</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4.2</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March 2, 2020</w:t>
            </w:r>
          </w:p>
        </w:tc>
      </w:tr>
      <w:tr>
        <w:trPr>
          <w:trHeight w:val="170"/>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4.11</w:t>
            </w:r>
          </w:p>
        </w:tc>
        <w:tc>
          <w:tcPr>
            <w:tcW w:w="122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rPr>
              <w:t>March 13, 2026</w:t>
            </w:r>
          </w:p>
        </w:tc>
      </w:tr>
      <w:tr>
        <w:trPr>
          <w:trHeight w:val="184"/>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10.2</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February 20, 2018</w:t>
            </w:r>
          </w:p>
        </w:tc>
      </w:tr>
      <w:tr>
        <w:trPr>
          <w:trHeight w:val="339"/>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10.5</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May 10, 2013</w:t>
            </w:r>
          </w:p>
        </w:tc>
      </w:tr>
      <w:tr>
        <w:trPr>
          <w:trHeight w:val="339"/>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10.6</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May 10, 2013</w:t>
            </w:r>
          </w:p>
        </w:tc>
      </w:tr>
      <w:tr>
        <w:trPr>
          <w:trHeight w:val="339"/>
        </w:trPr>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98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w w:val="97"/>
              </w:rPr>
              <w:t>10.7</w:t>
            </w:r>
          </w:p>
        </w:tc>
        <w:tc>
          <w:tcPr>
            <w:tcW w:w="122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May 10, 2013</w:t>
            </w:r>
          </w:p>
        </w:tc>
      </w:tr>
    </w:tbl>
    <w:p>
      <w:pPr>
        <w:sectPr>
          <w:pgSz w:w="11900" w:h="16838" w:orient="portrait"/>
          <w:cols w:equalWidth="0" w:num="2">
            <w:col w:w="6440" w:space="240"/>
            <w:col w:w="4380"/>
          </w:cols>
          <w:pgMar w:left="300" w:top="125" w:right="5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040" w:right="100" w:hanging="880"/>
        <w:spacing w:after="0" w:line="263"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 +</w:t>
      </w:r>
      <w:r>
        <w:rPr>
          <w:sz w:val="20"/>
          <w:szCs w:val="20"/>
          <w:color w:val="auto"/>
        </w:rPr>
        <w:tab/>
      </w:r>
      <w:hyperlink r:id="rId271">
        <w:r>
          <w:rPr>
            <w:rFonts w:ascii="Times New Roman" w:cs="Times New Roman" w:eastAsia="Times New Roman" w:hAnsi="Times New Roman"/>
            <w:sz w:val="14"/>
            <w:szCs w:val="14"/>
            <w:u w:val="single" w:color="auto"/>
            <w:color w:val="0000EE"/>
          </w:rPr>
          <w:t>Commercialization Agreement dated March 27, 2009, between Biota Holdings Limited, Biota</w:t>
        </w:r>
      </w:hyperlink>
      <w:r>
        <w:rPr>
          <w:rFonts w:ascii="Times New Roman" w:cs="Times New Roman" w:eastAsia="Times New Roman" w:hAnsi="Times New Roman"/>
          <w:sz w:val="14"/>
          <w:szCs w:val="14"/>
          <w:u w:val="single" w:color="auto"/>
          <w:color w:val="0000EE"/>
        </w:rPr>
        <w:t xml:space="preserve"> </w:t>
      </w:r>
      <w:hyperlink r:id="rId271">
        <w:r>
          <w:rPr>
            <w:rFonts w:ascii="Times New Roman" w:cs="Times New Roman" w:eastAsia="Times New Roman" w:hAnsi="Times New Roman"/>
            <w:sz w:val="14"/>
            <w:szCs w:val="14"/>
            <w:u w:val="single" w:color="auto"/>
            <w:color w:val="0000EE"/>
          </w:rPr>
          <w:t>Scientific Management Pty. Ltd and Daiichi Sankyo Company, Ltd.</w:t>
        </w:r>
      </w:hyperlink>
    </w:p>
    <w:p>
      <w:pPr>
        <w:spacing w:after="0" w:line="1" w:lineRule="exact"/>
        <w:rPr>
          <w:sz w:val="20"/>
          <w:szCs w:val="20"/>
          <w:color w:val="auto"/>
        </w:rPr>
      </w:pPr>
    </w:p>
    <w:p>
      <w:pPr>
        <w:ind w:left="1040" w:right="120" w:hanging="880"/>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10.5 +</w:t>
      </w:r>
      <w:r>
        <w:rPr>
          <w:sz w:val="20"/>
          <w:szCs w:val="20"/>
          <w:color w:val="auto"/>
        </w:rPr>
        <w:tab/>
      </w:r>
      <w:hyperlink r:id="rId272">
        <w:r>
          <w:rPr>
            <w:rFonts w:ascii="Times New Roman" w:cs="Times New Roman" w:eastAsia="Times New Roman" w:hAnsi="Times New Roman"/>
            <w:sz w:val="14"/>
            <w:szCs w:val="14"/>
            <w:u w:val="single" w:color="auto"/>
            <w:color w:val="0000EE"/>
          </w:rPr>
          <w:t>Contract dated March 31, 2011, between Biota Scientific Management Pty. Ltd. and Office of</w:t>
        </w:r>
      </w:hyperlink>
      <w:r>
        <w:rPr>
          <w:rFonts w:ascii="Times New Roman" w:cs="Times New Roman" w:eastAsia="Times New Roman" w:hAnsi="Times New Roman"/>
          <w:sz w:val="14"/>
          <w:szCs w:val="14"/>
          <w:u w:val="single" w:color="auto"/>
          <w:color w:val="0000EE"/>
        </w:rPr>
        <w:t xml:space="preserve"> </w:t>
      </w:r>
      <w:hyperlink r:id="rId272">
        <w:r>
          <w:rPr>
            <w:rFonts w:ascii="Times New Roman" w:cs="Times New Roman" w:eastAsia="Times New Roman" w:hAnsi="Times New Roman"/>
            <w:sz w:val="14"/>
            <w:szCs w:val="14"/>
            <w:u w:val="single" w:color="auto"/>
            <w:color w:val="0000EE"/>
          </w:rPr>
          <w:t>Biomedical Advanced Research and Development Authority within the Office of the</w:t>
        </w:r>
      </w:hyperlink>
      <w:r>
        <w:rPr>
          <w:rFonts w:ascii="Times New Roman" w:cs="Times New Roman" w:eastAsia="Times New Roman" w:hAnsi="Times New Roman"/>
          <w:sz w:val="14"/>
          <w:szCs w:val="14"/>
          <w:u w:val="single" w:color="auto"/>
          <w:color w:val="0000EE"/>
        </w:rPr>
        <w:t xml:space="preserve"> </w:t>
      </w:r>
      <w:hyperlink r:id="rId272">
        <w:r>
          <w:rPr>
            <w:rFonts w:ascii="Times New Roman" w:cs="Times New Roman" w:eastAsia="Times New Roman" w:hAnsi="Times New Roman"/>
            <w:sz w:val="14"/>
            <w:szCs w:val="14"/>
            <w:u w:val="single" w:color="auto"/>
            <w:color w:val="0000EE"/>
          </w:rPr>
          <w:t>Assistant Secretary for preparedness and Response at the U.S. Department of Health and</w:t>
        </w:r>
      </w:hyperlink>
      <w:r>
        <w:rPr>
          <w:rFonts w:ascii="Times New Roman" w:cs="Times New Roman" w:eastAsia="Times New Roman" w:hAnsi="Times New Roman"/>
          <w:sz w:val="14"/>
          <w:szCs w:val="14"/>
          <w:u w:val="single" w:color="auto"/>
          <w:color w:val="0000EE"/>
        </w:rPr>
        <w:t xml:space="preserve"> </w:t>
      </w:r>
      <w:hyperlink r:id="rId272">
        <w:r>
          <w:rPr>
            <w:rFonts w:ascii="Times New Roman" w:cs="Times New Roman" w:eastAsia="Times New Roman" w:hAnsi="Times New Roman"/>
            <w:sz w:val="14"/>
            <w:szCs w:val="14"/>
            <w:u w:val="single" w:color="auto"/>
            <w:color w:val="0000EE"/>
          </w:rPr>
          <w:t>Human Services</w:t>
        </w:r>
      </w:hyperlink>
    </w:p>
    <w:p>
      <w:pPr>
        <w:spacing w:after="0" w:line="2" w:lineRule="exact"/>
        <w:rPr>
          <w:rFonts w:ascii="Times New Roman" w:cs="Times New Roman" w:eastAsia="Times New Roman" w:hAnsi="Times New Roman"/>
          <w:sz w:val="14"/>
          <w:szCs w:val="14"/>
          <w:u w:val="single" w:color="auto"/>
          <w:color w:val="0000EE"/>
        </w:rPr>
      </w:pPr>
    </w:p>
    <w:p>
      <w:pPr>
        <w:ind w:left="1040" w:right="120" w:hanging="880"/>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10.6 +</w:t>
      </w:r>
      <w:r>
        <w:rPr>
          <w:sz w:val="20"/>
          <w:szCs w:val="20"/>
          <w:color w:val="auto"/>
        </w:rPr>
        <w:tab/>
      </w:r>
      <w:hyperlink r:id="rId273">
        <w:r>
          <w:rPr>
            <w:rFonts w:ascii="Times New Roman" w:cs="Times New Roman" w:eastAsia="Times New Roman" w:hAnsi="Times New Roman"/>
            <w:sz w:val="14"/>
            <w:szCs w:val="14"/>
            <w:u w:val="single" w:color="auto"/>
            <w:color w:val="0000EE"/>
          </w:rPr>
          <w:t>Research and License Agreement dated February 21, 1990, by and among Biota Scientific</w:t>
        </w:r>
      </w:hyperlink>
      <w:r>
        <w:rPr>
          <w:rFonts w:ascii="Times New Roman" w:cs="Times New Roman" w:eastAsia="Times New Roman" w:hAnsi="Times New Roman"/>
          <w:sz w:val="14"/>
          <w:szCs w:val="14"/>
          <w:u w:val="single" w:color="auto"/>
          <w:color w:val="0000EE"/>
        </w:rPr>
        <w:t xml:space="preserve"> </w:t>
      </w:r>
      <w:hyperlink r:id="rId273">
        <w:r>
          <w:rPr>
            <w:rFonts w:ascii="Times New Roman" w:cs="Times New Roman" w:eastAsia="Times New Roman" w:hAnsi="Times New Roman"/>
            <w:sz w:val="14"/>
            <w:szCs w:val="14"/>
            <w:u w:val="single" w:color="auto"/>
            <w:color w:val="0000EE"/>
          </w:rPr>
          <w:t>Management Pty. Ltd., Biota Holdings Limited, Glaxo Australia Pty. Ltd. and Glaxo Group</w:t>
        </w:r>
      </w:hyperlink>
      <w:r>
        <w:rPr>
          <w:rFonts w:ascii="Times New Roman" w:cs="Times New Roman" w:eastAsia="Times New Roman" w:hAnsi="Times New Roman"/>
          <w:sz w:val="14"/>
          <w:szCs w:val="14"/>
          <w:u w:val="single" w:color="auto"/>
          <w:color w:val="0000EE"/>
        </w:rPr>
        <w:t xml:space="preserve"> </w:t>
      </w:r>
      <w:hyperlink r:id="rId273">
        <w:r>
          <w:rPr>
            <w:rFonts w:ascii="Times New Roman" w:cs="Times New Roman" w:eastAsia="Times New Roman" w:hAnsi="Times New Roman"/>
            <w:sz w:val="14"/>
            <w:szCs w:val="14"/>
            <w:u w:val="single" w:color="auto"/>
            <w:color w:val="0000EE"/>
          </w:rPr>
          <w:t>Limited</w:t>
        </w:r>
      </w:hyperlink>
    </w:p>
    <w:p>
      <w:pPr>
        <w:spacing w:after="0" w:line="2" w:lineRule="exact"/>
        <w:rPr>
          <w:rFonts w:ascii="Times New Roman" w:cs="Times New Roman" w:eastAsia="Times New Roman" w:hAnsi="Times New Roman"/>
          <w:sz w:val="14"/>
          <w:szCs w:val="14"/>
          <w:u w:val="single" w:color="auto"/>
          <w:color w:val="0000EE"/>
        </w:rPr>
      </w:pPr>
    </w:p>
    <w:p>
      <w:pPr>
        <w:ind w:left="28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10.7 #</w:t>
      </w:r>
      <w:r>
        <w:rPr>
          <w:sz w:val="20"/>
          <w:szCs w:val="20"/>
          <w:color w:val="auto"/>
        </w:rPr>
        <w:tab/>
      </w:r>
      <w:hyperlink r:id="rId274">
        <w:r>
          <w:rPr>
            <w:rFonts w:ascii="Times New Roman" w:cs="Times New Roman" w:eastAsia="Times New Roman" w:hAnsi="Times New Roman"/>
            <w:sz w:val="14"/>
            <w:szCs w:val="14"/>
            <w:u w:val="single" w:color="auto"/>
            <w:color w:val="0000EE"/>
          </w:rPr>
          <w:t>2007 Omnibus Equity and Incentive Plan (included as Appendix A to the proxy statement)</w:t>
        </w:r>
      </w:hyperlink>
    </w:p>
    <w:p>
      <w:pPr>
        <w:spacing w:after="0" w:line="9" w:lineRule="exact"/>
        <w:rPr>
          <w:rFonts w:ascii="Times New Roman" w:cs="Times New Roman" w:eastAsia="Times New Roman" w:hAnsi="Times New Roman"/>
          <w:sz w:val="14"/>
          <w:szCs w:val="14"/>
          <w:u w:val="single" w:color="auto"/>
          <w:color w:val="0000EE"/>
        </w:rPr>
      </w:pPr>
    </w:p>
    <w:p>
      <w:pPr>
        <w:ind w:left="1040" w:right="240" w:hanging="875"/>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10.8 #</w:t>
      </w:r>
      <w:r>
        <w:rPr>
          <w:sz w:val="20"/>
          <w:szCs w:val="20"/>
          <w:color w:val="auto"/>
        </w:rPr>
        <w:tab/>
      </w:r>
      <w:hyperlink r:id="rId275">
        <w:r>
          <w:rPr>
            <w:rFonts w:ascii="Times New Roman" w:cs="Times New Roman" w:eastAsia="Times New Roman" w:hAnsi="Times New Roman"/>
            <w:sz w:val="14"/>
            <w:szCs w:val="14"/>
            <w:u w:val="single" w:color="auto"/>
            <w:color w:val="0000EE"/>
          </w:rPr>
          <w:t>Form of Employee Stock Option Agreement under the 2007 Omnibus Equity and Incentive</w:t>
        </w:r>
      </w:hyperlink>
      <w:r>
        <w:rPr>
          <w:rFonts w:ascii="Times New Roman" w:cs="Times New Roman" w:eastAsia="Times New Roman" w:hAnsi="Times New Roman"/>
          <w:sz w:val="14"/>
          <w:szCs w:val="14"/>
          <w:u w:val="single" w:color="auto"/>
          <w:color w:val="0000EE"/>
        </w:rPr>
        <w:t xml:space="preserve"> </w:t>
      </w:r>
      <w:hyperlink r:id="rId275">
        <w:r>
          <w:rPr>
            <w:rFonts w:ascii="Times New Roman" w:cs="Times New Roman" w:eastAsia="Times New Roman" w:hAnsi="Times New Roman"/>
            <w:sz w:val="14"/>
            <w:szCs w:val="14"/>
            <w:u w:val="single" w:color="auto"/>
            <w:color w:val="0000EE"/>
          </w:rPr>
          <w:t>Plan</w:t>
        </w:r>
      </w:hyperlink>
    </w:p>
    <w:p>
      <w:pPr>
        <w:spacing w:after="0" w:line="1" w:lineRule="exact"/>
        <w:rPr>
          <w:sz w:val="20"/>
          <w:szCs w:val="20"/>
          <w:color w:val="auto"/>
        </w:rPr>
      </w:pPr>
    </w:p>
    <w:p>
      <w:pPr>
        <w:ind w:left="1040" w:right="160" w:hanging="880"/>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10.9 +</w:t>
      </w:r>
      <w:r>
        <w:rPr>
          <w:sz w:val="20"/>
          <w:szCs w:val="20"/>
          <w:color w:val="auto"/>
        </w:rPr>
        <w:tab/>
      </w:r>
      <w:hyperlink r:id="rId276">
        <w:r>
          <w:rPr>
            <w:rFonts w:ascii="Times New Roman" w:cs="Times New Roman" w:eastAsia="Times New Roman" w:hAnsi="Times New Roman"/>
            <w:sz w:val="14"/>
            <w:szCs w:val="14"/>
            <w:u w:val="single" w:color="auto"/>
            <w:color w:val="0000EE"/>
          </w:rPr>
          <w:t>Royalty Interest Acquisition Agreement by and between Aviragen Therapeutics, Inc., Biota</w:t>
        </w:r>
      </w:hyperlink>
      <w:r>
        <w:rPr>
          <w:rFonts w:ascii="Times New Roman" w:cs="Times New Roman" w:eastAsia="Times New Roman" w:hAnsi="Times New Roman"/>
          <w:sz w:val="14"/>
          <w:szCs w:val="14"/>
          <w:u w:val="single" w:color="auto"/>
          <w:color w:val="0000EE"/>
        </w:rPr>
        <w:t xml:space="preserve"> </w:t>
      </w:r>
      <w:hyperlink r:id="rId276">
        <w:r>
          <w:rPr>
            <w:rFonts w:ascii="Times New Roman" w:cs="Times New Roman" w:eastAsia="Times New Roman" w:hAnsi="Times New Roman"/>
            <w:sz w:val="14"/>
            <w:szCs w:val="14"/>
            <w:u w:val="single" w:color="auto"/>
            <w:color w:val="0000EE"/>
          </w:rPr>
          <w:t>Holdings Pty Ltd, Biota Scientific Management Pty. Ltd. and HealthCare Royalty Partners</w:t>
        </w:r>
      </w:hyperlink>
      <w:r>
        <w:rPr>
          <w:rFonts w:ascii="Times New Roman" w:cs="Times New Roman" w:eastAsia="Times New Roman" w:hAnsi="Times New Roman"/>
          <w:sz w:val="14"/>
          <w:szCs w:val="14"/>
          <w:u w:val="single" w:color="auto"/>
          <w:color w:val="0000EE"/>
        </w:rPr>
        <w:t xml:space="preserve"> </w:t>
      </w:r>
      <w:hyperlink r:id="rId276">
        <w:r>
          <w:rPr>
            <w:rFonts w:ascii="Times New Roman" w:cs="Times New Roman" w:eastAsia="Times New Roman" w:hAnsi="Times New Roman"/>
            <w:sz w:val="14"/>
            <w:szCs w:val="14"/>
            <w:u w:val="single" w:color="auto"/>
            <w:color w:val="0000EE"/>
          </w:rPr>
          <w:t>III, L.P. dated April 22, 2016</w:t>
        </w:r>
      </w:hyperlink>
    </w:p>
    <w:p>
      <w:pPr>
        <w:spacing w:after="0" w:line="2" w:lineRule="exact"/>
        <w:rPr>
          <w:rFonts w:ascii="Times New Roman" w:cs="Times New Roman" w:eastAsia="Times New Roman" w:hAnsi="Times New Roman"/>
          <w:sz w:val="14"/>
          <w:szCs w:val="14"/>
          <w:u w:val="single" w:color="auto"/>
          <w:color w:val="0000EE"/>
        </w:rPr>
      </w:pPr>
    </w:p>
    <w:p>
      <w:pPr>
        <w:ind w:left="1040" w:right="260" w:hanging="858"/>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10.10</w:t>
      </w:r>
      <w:r>
        <w:rPr>
          <w:sz w:val="20"/>
          <w:szCs w:val="20"/>
          <w:color w:val="auto"/>
        </w:rPr>
        <w:tab/>
      </w:r>
      <w:hyperlink r:id="rId277">
        <w:r>
          <w:rPr>
            <w:rFonts w:ascii="Times New Roman" w:cs="Times New Roman" w:eastAsia="Times New Roman" w:hAnsi="Times New Roman"/>
            <w:sz w:val="14"/>
            <w:szCs w:val="14"/>
            <w:u w:val="single" w:color="auto"/>
            <w:color w:val="0000EE"/>
          </w:rPr>
          <w:t>Protective Rights Agreement between Aviragen Therapeutics, Inc. and HealthCare Royalty</w:t>
        </w:r>
      </w:hyperlink>
      <w:r>
        <w:rPr>
          <w:rFonts w:ascii="Times New Roman" w:cs="Times New Roman" w:eastAsia="Times New Roman" w:hAnsi="Times New Roman"/>
          <w:sz w:val="14"/>
          <w:szCs w:val="14"/>
          <w:u w:val="single" w:color="auto"/>
          <w:color w:val="0000EE"/>
        </w:rPr>
        <w:t xml:space="preserve"> </w:t>
      </w:r>
      <w:hyperlink r:id="rId277">
        <w:r>
          <w:rPr>
            <w:rFonts w:ascii="Times New Roman" w:cs="Times New Roman" w:eastAsia="Times New Roman" w:hAnsi="Times New Roman"/>
            <w:sz w:val="14"/>
            <w:szCs w:val="14"/>
            <w:u w:val="single" w:color="auto"/>
            <w:color w:val="0000EE"/>
          </w:rPr>
          <w:t>Partners III, L.P. dated April 22, 2016</w:t>
        </w:r>
      </w:hyperlink>
    </w:p>
    <w:p>
      <w:pPr>
        <w:spacing w:after="0" w:line="1" w:lineRule="exact"/>
        <w:rPr>
          <w:sz w:val="20"/>
          <w:szCs w:val="20"/>
          <w:color w:val="auto"/>
        </w:rPr>
      </w:pPr>
    </w:p>
    <w:p>
      <w:pPr>
        <w:ind w:left="26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 #</w:t>
      </w:r>
      <w:r>
        <w:rPr>
          <w:sz w:val="20"/>
          <w:szCs w:val="20"/>
          <w:color w:val="auto"/>
        </w:rPr>
        <w:tab/>
      </w:r>
      <w:hyperlink r:id="rId278">
        <w:r>
          <w:rPr>
            <w:rFonts w:ascii="Times New Roman" w:cs="Times New Roman" w:eastAsia="Times New Roman" w:hAnsi="Times New Roman"/>
            <w:sz w:val="14"/>
            <w:szCs w:val="14"/>
            <w:u w:val="single" w:color="auto"/>
            <w:color w:val="0000EE"/>
          </w:rPr>
          <w:t>Form of Employee Stock Option Agreement under the 2016 Equity Incentive Plan</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10.12 #</w:t>
      </w:r>
      <w:r>
        <w:rPr>
          <w:sz w:val="20"/>
          <w:szCs w:val="20"/>
          <w:color w:val="auto"/>
        </w:rPr>
        <w:tab/>
      </w:r>
      <w:hyperlink r:id="rId279">
        <w:r>
          <w:rPr>
            <w:rFonts w:ascii="Times New Roman" w:cs="Times New Roman" w:eastAsia="Times New Roman" w:hAnsi="Times New Roman"/>
            <w:sz w:val="14"/>
            <w:szCs w:val="14"/>
            <w:u w:val="single" w:color="auto"/>
            <w:color w:val="0000EE"/>
          </w:rPr>
          <w:t>2016 Equity Incentive Plan (included as Appendix A to the proxy statement)</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 #</w:t>
      </w:r>
      <w:r>
        <w:rPr>
          <w:sz w:val="20"/>
          <w:szCs w:val="20"/>
          <w:color w:val="auto"/>
        </w:rPr>
        <w:tab/>
      </w:r>
      <w:hyperlink r:id="rId280">
        <w:r>
          <w:rPr>
            <w:rFonts w:ascii="Times New Roman" w:cs="Times New Roman" w:eastAsia="Times New Roman" w:hAnsi="Times New Roman"/>
            <w:sz w:val="14"/>
            <w:szCs w:val="14"/>
            <w:u w:val="single" w:color="auto"/>
            <w:color w:val="0000EE"/>
          </w:rPr>
          <w:t>Director Stock Option Agreement</w:t>
        </w:r>
      </w:hyperlink>
    </w:p>
    <w:p>
      <w:pPr>
        <w:spacing w:after="0" w:line="9" w:lineRule="exact"/>
        <w:rPr>
          <w:sz w:val="20"/>
          <w:szCs w:val="20"/>
          <w:color w:val="auto"/>
        </w:rPr>
      </w:pPr>
    </w:p>
    <w:p>
      <w:pPr>
        <w:ind w:left="1040" w:right="520" w:hanging="858"/>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10.14</w:t>
      </w:r>
      <w:r>
        <w:rPr>
          <w:sz w:val="20"/>
          <w:szCs w:val="20"/>
          <w:color w:val="auto"/>
        </w:rPr>
        <w:tab/>
      </w:r>
      <w:hyperlink r:id="rId281">
        <w:r>
          <w:rPr>
            <w:rFonts w:ascii="Times New Roman" w:cs="Times New Roman" w:eastAsia="Times New Roman" w:hAnsi="Times New Roman"/>
            <w:sz w:val="14"/>
            <w:szCs w:val="14"/>
            <w:u w:val="single" w:color="auto"/>
            <w:color w:val="0000EE"/>
          </w:rPr>
          <w:t>Form of Indemnification Agreement by and between Vaxart, Inc. and its Directors and</w:t>
        </w:r>
      </w:hyperlink>
      <w:r>
        <w:rPr>
          <w:rFonts w:ascii="Times New Roman" w:cs="Times New Roman" w:eastAsia="Times New Roman" w:hAnsi="Times New Roman"/>
          <w:sz w:val="14"/>
          <w:szCs w:val="14"/>
          <w:u w:val="single" w:color="auto"/>
          <w:color w:val="0000EE"/>
        </w:rPr>
        <w:t xml:space="preserve"> </w:t>
      </w:r>
      <w:hyperlink r:id="rId281">
        <w:r>
          <w:rPr>
            <w:rFonts w:ascii="Times New Roman" w:cs="Times New Roman" w:eastAsia="Times New Roman" w:hAnsi="Times New Roman"/>
            <w:sz w:val="14"/>
            <w:szCs w:val="14"/>
            <w:u w:val="single" w:color="auto"/>
            <w:color w:val="0000EE"/>
          </w:rPr>
          <w:t>Executive Officers</w:t>
        </w:r>
      </w:hyperlink>
    </w:p>
    <w:p>
      <w:pPr>
        <w:spacing w:after="0" w:line="1" w:lineRule="exact"/>
        <w:rPr>
          <w:sz w:val="20"/>
          <w:szCs w:val="20"/>
          <w:color w:val="auto"/>
        </w:rPr>
      </w:pPr>
    </w:p>
    <w:p>
      <w:pPr>
        <w:ind w:left="1040" w:hanging="911"/>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10.15 #</w:t>
      </w:r>
      <w:r>
        <w:rPr>
          <w:sz w:val="20"/>
          <w:szCs w:val="20"/>
          <w:color w:val="auto"/>
        </w:rPr>
        <w:tab/>
      </w:r>
      <w:hyperlink r:id="rId282">
        <w:r>
          <w:rPr>
            <w:rFonts w:ascii="Times New Roman" w:cs="Times New Roman" w:eastAsia="Times New Roman" w:hAnsi="Times New Roman"/>
            <w:sz w:val="14"/>
            <w:szCs w:val="14"/>
            <w:u w:val="single" w:color="auto"/>
            <w:color w:val="0000EE"/>
          </w:rPr>
          <w:t>Vaxart, Inc. Amended and Restated 2007 Equity Incentive Plan, Stock Option Agreement, form</w:t>
        </w:r>
      </w:hyperlink>
      <w:r>
        <w:rPr>
          <w:rFonts w:ascii="Times New Roman" w:cs="Times New Roman" w:eastAsia="Times New Roman" w:hAnsi="Times New Roman"/>
          <w:sz w:val="14"/>
          <w:szCs w:val="14"/>
          <w:u w:val="single" w:color="auto"/>
          <w:color w:val="0000EE"/>
        </w:rPr>
        <w:t xml:space="preserve"> </w:t>
      </w:r>
      <w:hyperlink r:id="rId282">
        <w:r>
          <w:rPr>
            <w:rFonts w:ascii="Times New Roman" w:cs="Times New Roman" w:eastAsia="Times New Roman" w:hAnsi="Times New Roman"/>
            <w:sz w:val="14"/>
            <w:szCs w:val="14"/>
            <w:u w:val="single" w:color="auto"/>
            <w:color w:val="0000EE"/>
          </w:rPr>
          <w:t>of Notice of Stock Option Grant, form of Additional Terms and Conditions to Option and</w:t>
        </w:r>
      </w:hyperlink>
      <w:r>
        <w:rPr>
          <w:rFonts w:ascii="Times New Roman" w:cs="Times New Roman" w:eastAsia="Times New Roman" w:hAnsi="Times New Roman"/>
          <w:sz w:val="14"/>
          <w:szCs w:val="14"/>
          <w:u w:val="single" w:color="auto"/>
          <w:color w:val="0000EE"/>
        </w:rPr>
        <w:t xml:space="preserve"> </w:t>
      </w:r>
      <w:hyperlink r:id="rId282">
        <w:r>
          <w:rPr>
            <w:rFonts w:ascii="Times New Roman" w:cs="Times New Roman" w:eastAsia="Times New Roman" w:hAnsi="Times New Roman"/>
            <w:sz w:val="14"/>
            <w:szCs w:val="14"/>
            <w:u w:val="single" w:color="auto"/>
            <w:color w:val="0000EE"/>
          </w:rPr>
          <w:t>Stock Option Exercise Agreement</w:t>
        </w:r>
      </w:hyperlink>
    </w:p>
    <w:p>
      <w:pPr>
        <w:spacing w:after="0" w:line="2" w:lineRule="exact"/>
        <w:rPr>
          <w:rFonts w:ascii="Times New Roman" w:cs="Times New Roman" w:eastAsia="Times New Roman" w:hAnsi="Times New Roman"/>
          <w:sz w:val="14"/>
          <w:szCs w:val="14"/>
          <w:u w:val="single" w:color="auto"/>
          <w:color w:val="0000EE"/>
        </w:rPr>
      </w:pPr>
    </w:p>
    <w:p>
      <w:pPr>
        <w:ind w:left="30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10.16</w:t>
      </w:r>
      <w:r>
        <w:rPr>
          <w:sz w:val="20"/>
          <w:szCs w:val="20"/>
          <w:color w:val="auto"/>
        </w:rPr>
        <w:tab/>
      </w:r>
      <w:hyperlink r:id="rId283">
        <w:r>
          <w:rPr>
            <w:rFonts w:ascii="Times New Roman" w:cs="Times New Roman" w:eastAsia="Times New Roman" w:hAnsi="Times New Roman"/>
            <w:sz w:val="14"/>
            <w:szCs w:val="14"/>
            <w:u w:val="single" w:color="auto"/>
            <w:color w:val="0000EE"/>
          </w:rPr>
          <w:t>Industrial Lease dated October 28, 2013, by and between Vaxart, Inc. and Oyster Point LLC</w:t>
        </w:r>
      </w:hyperlink>
    </w:p>
    <w:p>
      <w:pPr>
        <w:spacing w:after="0" w:line="9" w:lineRule="exact"/>
        <w:rPr>
          <w:rFonts w:ascii="Times New Roman" w:cs="Times New Roman" w:eastAsia="Times New Roman" w:hAnsi="Times New Roman"/>
          <w:sz w:val="14"/>
          <w:szCs w:val="14"/>
          <w:u w:val="single" w:color="auto"/>
          <w:color w:val="0000EE"/>
        </w:rPr>
      </w:pPr>
    </w:p>
    <w:p>
      <w:pPr>
        <w:ind w:left="30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10.17</w:t>
      </w:r>
      <w:r>
        <w:rPr>
          <w:sz w:val="20"/>
          <w:szCs w:val="20"/>
          <w:color w:val="auto"/>
        </w:rPr>
        <w:tab/>
      </w:r>
      <w:hyperlink r:id="rId284">
        <w:r>
          <w:rPr>
            <w:rFonts w:ascii="Times New Roman" w:cs="Times New Roman" w:eastAsia="Times New Roman" w:hAnsi="Times New Roman"/>
            <w:sz w:val="14"/>
            <w:szCs w:val="14"/>
            <w:u w:val="single" w:color="auto"/>
            <w:color w:val="0000EE"/>
          </w:rPr>
          <w:t>Lease Agreement dated April 17, 2015, by and between Vaxart, Inc. and CRP Edgewater, LLC</w:t>
        </w:r>
      </w:hyperlink>
    </w:p>
    <w:p>
      <w:pPr>
        <w:spacing w:after="0" w:line="9" w:lineRule="exact"/>
        <w:rPr>
          <w:rFonts w:ascii="Times New Roman" w:cs="Times New Roman" w:eastAsia="Times New Roman" w:hAnsi="Times New Roman"/>
          <w:sz w:val="14"/>
          <w:szCs w:val="14"/>
          <w:u w:val="single" w:color="auto"/>
          <w:color w:val="0000EE"/>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10.18 #</w:t>
      </w:r>
      <w:r>
        <w:rPr>
          <w:sz w:val="20"/>
          <w:szCs w:val="20"/>
          <w:color w:val="auto"/>
        </w:rPr>
        <w:tab/>
      </w:r>
      <w:hyperlink r:id="rId285">
        <w:r>
          <w:rPr>
            <w:rFonts w:ascii="Times New Roman" w:cs="Times New Roman" w:eastAsia="Times New Roman" w:hAnsi="Times New Roman"/>
            <w:sz w:val="14"/>
            <w:szCs w:val="14"/>
            <w:u w:val="single" w:color="auto"/>
            <w:color w:val="0000EE"/>
          </w:rPr>
          <w:t>Severance Benefit Plan and Form of Severance Benefit Plan Participation Notice</w:t>
        </w:r>
      </w:hyperlink>
    </w:p>
    <w:p>
      <w:pPr>
        <w:spacing w:after="0" w:line="9" w:lineRule="exact"/>
        <w:rPr>
          <w:rFonts w:ascii="Times New Roman" w:cs="Times New Roman" w:eastAsia="Times New Roman" w:hAnsi="Times New Roman"/>
          <w:sz w:val="14"/>
          <w:szCs w:val="14"/>
          <w:u w:val="single" w:color="auto"/>
          <w:color w:val="0000EE"/>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10.19 #</w:t>
      </w:r>
      <w:r>
        <w:rPr>
          <w:sz w:val="20"/>
          <w:szCs w:val="20"/>
          <w:color w:val="auto"/>
        </w:rPr>
        <w:tab/>
      </w:r>
      <w:hyperlink r:id="rId286">
        <w:r>
          <w:rPr>
            <w:rFonts w:ascii="Times New Roman" w:cs="Times New Roman" w:eastAsia="Times New Roman" w:hAnsi="Times New Roman"/>
            <w:sz w:val="14"/>
            <w:szCs w:val="14"/>
            <w:u w:val="single" w:color="auto"/>
            <w:color w:val="0000EE"/>
          </w:rPr>
          <w:t>2019 Equity Incentive Plan, as amended</w:t>
        </w:r>
      </w:hyperlink>
    </w:p>
    <w:p>
      <w:pPr>
        <w:spacing w:after="0" w:line="9" w:lineRule="exact"/>
        <w:rPr>
          <w:rFonts w:ascii="Times New Roman" w:cs="Times New Roman" w:eastAsia="Times New Roman" w:hAnsi="Times New Roman"/>
          <w:sz w:val="14"/>
          <w:szCs w:val="14"/>
          <w:u w:val="single" w:color="auto"/>
          <w:color w:val="0000EE"/>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10.20 #</w:t>
      </w:r>
      <w:r>
        <w:rPr>
          <w:sz w:val="20"/>
          <w:szCs w:val="20"/>
          <w:color w:val="auto"/>
        </w:rPr>
        <w:tab/>
      </w:r>
      <w:hyperlink r:id="rId287">
        <w:r>
          <w:rPr>
            <w:rFonts w:ascii="Times New Roman" w:cs="Times New Roman" w:eastAsia="Times New Roman" w:hAnsi="Times New Roman"/>
            <w:sz w:val="14"/>
            <w:szCs w:val="14"/>
            <w:u w:val="single" w:color="auto"/>
            <w:color w:val="0000EE"/>
          </w:rPr>
          <w:t>Form of Stock Option Grant Notice, Stock Option Agreement and Notice of Exercise under the</w:t>
        </w:r>
      </w:hyperlink>
    </w:p>
    <w:p>
      <w:pPr>
        <w:spacing w:after="0" w:line="9" w:lineRule="exact"/>
        <w:rPr>
          <w:rFonts w:ascii="Times New Roman" w:cs="Times New Roman" w:eastAsia="Times New Roman" w:hAnsi="Times New Roman"/>
          <w:sz w:val="14"/>
          <w:szCs w:val="14"/>
          <w:u w:val="single" w:color="auto"/>
          <w:color w:val="0000EE"/>
        </w:rPr>
      </w:pPr>
    </w:p>
    <w:p>
      <w:pPr>
        <w:ind w:left="1040"/>
        <w:spacing w:after="0"/>
        <w:rPr>
          <w:rFonts w:ascii="Times New Roman" w:cs="Times New Roman" w:eastAsia="Times New Roman" w:hAnsi="Times New Roman"/>
          <w:sz w:val="14"/>
          <w:szCs w:val="14"/>
          <w:u w:val="single" w:color="auto"/>
          <w:color w:val="0000EE"/>
        </w:rPr>
      </w:pPr>
      <w:hyperlink r:id="rId287">
        <w:r>
          <w:rPr>
            <w:rFonts w:ascii="Times New Roman" w:cs="Times New Roman" w:eastAsia="Times New Roman" w:hAnsi="Times New Roman"/>
            <w:sz w:val="14"/>
            <w:szCs w:val="14"/>
            <w:u w:val="single" w:color="auto"/>
            <w:color w:val="0000EE"/>
          </w:rPr>
          <w:t>2019 Equity Incentive Plan</w:t>
        </w:r>
      </w:hyperlink>
    </w:p>
    <w:p>
      <w:pPr>
        <w:spacing w:after="0" w:line="9" w:lineRule="exact"/>
        <w:rPr>
          <w:rFonts w:ascii="Times New Roman" w:cs="Times New Roman" w:eastAsia="Times New Roman" w:hAnsi="Times New Roman"/>
          <w:sz w:val="14"/>
          <w:szCs w:val="14"/>
          <w:u w:val="single" w:color="auto"/>
          <w:color w:val="0000EE"/>
        </w:rPr>
      </w:pPr>
    </w:p>
    <w:p>
      <w:pPr>
        <w:ind w:left="1040" w:hanging="783"/>
        <w:spacing w:after="0" w:line="265"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10.21 #</w:t>
      </w:r>
      <w:r>
        <w:rPr>
          <w:sz w:val="20"/>
          <w:szCs w:val="20"/>
          <w:color w:val="auto"/>
        </w:rPr>
        <w:tab/>
      </w:r>
      <w:hyperlink r:id="rId288">
        <w:r>
          <w:rPr>
            <w:rFonts w:ascii="Times New Roman" w:cs="Times New Roman" w:eastAsia="Times New Roman" w:hAnsi="Times New Roman"/>
            <w:sz w:val="14"/>
            <w:szCs w:val="14"/>
            <w:u w:val="single" w:color="auto"/>
            <w:color w:val="0000EE"/>
          </w:rPr>
          <w:t>Form of Restricted Stock Unit Grant Notice and Restricted Stock Unit Award Agreement under</w:t>
        </w:r>
      </w:hyperlink>
      <w:r>
        <w:rPr>
          <w:rFonts w:ascii="Times New Roman" w:cs="Times New Roman" w:eastAsia="Times New Roman" w:hAnsi="Times New Roman"/>
          <w:sz w:val="14"/>
          <w:szCs w:val="14"/>
          <w:u w:val="single" w:color="auto"/>
          <w:color w:val="0000EE"/>
        </w:rPr>
        <w:t xml:space="preserve"> </w:t>
      </w:r>
      <w:hyperlink r:id="rId288">
        <w:r>
          <w:rPr>
            <w:rFonts w:ascii="Times New Roman" w:cs="Times New Roman" w:eastAsia="Times New Roman" w:hAnsi="Times New Roman"/>
            <w:sz w:val="14"/>
            <w:szCs w:val="14"/>
            <w:u w:val="single" w:color="auto"/>
            <w:color w:val="0000EE"/>
          </w:rPr>
          <w:t>the 2019 Equity Incentive Plan</w:t>
        </w:r>
      </w:hyperlink>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10.8</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10, 2013</w:t>
            </w:r>
          </w:p>
        </w:tc>
      </w:tr>
      <w:tr>
        <w:trPr>
          <w:trHeight w:val="339"/>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10.9</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10, 2013</w:t>
            </w:r>
          </w:p>
        </w:tc>
      </w:tr>
      <w:tr>
        <w:trPr>
          <w:trHeight w:val="678"/>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September 27, 2013</w:t>
            </w:r>
          </w:p>
        </w:tc>
      </w:tr>
      <w:tr>
        <w:trPr>
          <w:trHeight w:val="495"/>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w w:val="99"/>
              </w:rPr>
              <w:t>DEF 14A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000-04829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April 12, 2007</w:t>
            </w:r>
          </w:p>
        </w:tc>
      </w:tr>
      <w:tr>
        <w:trPr>
          <w:trHeight w:val="184"/>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December 10, 2013</w:t>
            </w:r>
          </w:p>
        </w:tc>
      </w:tr>
      <w:tr>
        <w:trPr>
          <w:trHeight w:val="339"/>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April 26, 2016</w:t>
            </w:r>
          </w:p>
        </w:tc>
      </w:tr>
      <w:tr>
        <w:trPr>
          <w:trHeight w:val="509"/>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April 26, 2016</w:t>
            </w:r>
          </w:p>
        </w:tc>
      </w:tr>
      <w:tr>
        <w:trPr>
          <w:trHeight w:val="325"/>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8, 2017</w:t>
            </w:r>
          </w:p>
        </w:tc>
      </w:tr>
      <w:tr>
        <w:trPr>
          <w:trHeight w:val="170"/>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w w:val="99"/>
              </w:rPr>
              <w:t>DEF 14A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4"/>
              </w:rPr>
              <w:t>-</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September 27, 2016</w:t>
            </w:r>
          </w:p>
        </w:tc>
      </w:tr>
      <w:tr>
        <w:trPr>
          <w:trHeight w:val="170"/>
        </w:trPr>
        <w:tc>
          <w:tcPr>
            <w:tcW w:w="84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S-4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333-222009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December 12, 2017</w:t>
            </w:r>
          </w:p>
        </w:tc>
      </w:tr>
      <w:tr>
        <w:trPr>
          <w:trHeight w:val="184"/>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February 20, 2018</w:t>
            </w:r>
          </w:p>
        </w:tc>
      </w:tr>
      <w:tr>
        <w:trPr>
          <w:trHeight w:val="339"/>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333-222009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December 29, 2017</w:t>
            </w:r>
          </w:p>
        </w:tc>
      </w:tr>
      <w:tr>
        <w:trPr>
          <w:trHeight w:val="495"/>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333-222009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December 29, 2017</w:t>
            </w:r>
          </w:p>
        </w:tc>
      </w:tr>
      <w:tr>
        <w:trPr>
          <w:trHeight w:val="170"/>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S-4/A</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333-222009</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December 29, 2017</w:t>
            </w:r>
          </w:p>
        </w:tc>
      </w:tr>
      <w:tr>
        <w:trPr>
          <w:trHeight w:val="170"/>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June 6, 2018</w:t>
            </w:r>
          </w:p>
        </w:tc>
      </w:tr>
      <w:tr>
        <w:trPr>
          <w:trHeight w:val="170"/>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June 21, 2021</w:t>
            </w:r>
          </w:p>
        </w:tc>
      </w:tr>
      <w:tr>
        <w:trPr>
          <w:trHeight w:val="184"/>
        </w:trPr>
        <w:tc>
          <w:tcPr>
            <w:tcW w:w="840" w:type="dxa"/>
            <w:vAlign w:val="bottom"/>
          </w:tcPr>
          <w:p>
            <w:pPr>
              <w:jc w:val="center"/>
              <w:ind w:right="209"/>
              <w:spacing w:after="0"/>
              <w:rPr>
                <w:sz w:val="20"/>
                <w:szCs w:val="20"/>
                <w:color w:val="auto"/>
              </w:rPr>
            </w:pPr>
            <w:r>
              <w:rPr>
                <w:rFonts w:ascii="Times New Roman" w:cs="Times New Roman" w:eastAsia="Times New Roman" w:hAnsi="Times New Roman"/>
                <w:sz w:val="14"/>
                <w:szCs w:val="14"/>
                <w:color w:val="auto"/>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333-239727</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8"/>
              </w:rPr>
              <w:t>July 7, 2020</w:t>
            </w:r>
          </w:p>
        </w:tc>
      </w:tr>
      <w:tr>
        <w:trPr>
          <w:trHeight w:val="339"/>
        </w:trPr>
        <w:tc>
          <w:tcPr>
            <w:tcW w:w="840" w:type="dxa"/>
            <w:vAlign w:val="bottom"/>
          </w:tcPr>
          <w:p>
            <w:pPr>
              <w:jc w:val="center"/>
              <w:ind w:right="229"/>
              <w:spacing w:after="0"/>
              <w:rPr>
                <w:sz w:val="20"/>
                <w:szCs w:val="20"/>
                <w:color w:val="auto"/>
              </w:rPr>
            </w:pPr>
            <w:r>
              <w:rPr>
                <w:rFonts w:ascii="Times New Roman" w:cs="Times New Roman" w:eastAsia="Times New Roman" w:hAnsi="Times New Roman"/>
                <w:sz w:val="14"/>
                <w:szCs w:val="14"/>
                <w:color w:val="auto"/>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10.3</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April 24, 2019</w:t>
            </w:r>
          </w:p>
        </w:tc>
      </w:tr>
    </w:tbl>
    <w:p>
      <w:pPr>
        <w:sectPr>
          <w:pgSz w:w="11900" w:h="16838" w:orient="portrait"/>
          <w:cols w:equalWidth="0" w:num="2">
            <w:col w:w="6440" w:space="420"/>
            <w:col w:w="4200"/>
          </w:cols>
          <w:pgMar w:left="300" w:top="125" w:right="5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ind w:left="1040" w:right="340" w:hanging="788"/>
        <w:spacing w:after="0" w:line="263"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10.22 +</w:t>
      </w:r>
      <w:r>
        <w:rPr>
          <w:sz w:val="20"/>
          <w:szCs w:val="20"/>
          <w:color w:val="auto"/>
        </w:rPr>
        <w:tab/>
      </w:r>
      <w:hyperlink r:id="rId290">
        <w:r>
          <w:rPr>
            <w:rFonts w:ascii="Times New Roman" w:cs="Times New Roman" w:eastAsia="Times New Roman" w:hAnsi="Times New Roman"/>
            <w:sz w:val="14"/>
            <w:szCs w:val="14"/>
            <w:u w:val="single" w:color="auto"/>
            <w:color w:val="0000EE"/>
          </w:rPr>
          <w:t>Manufacturing Services Agreement dated July 17, 2019, by and between Vaxart, Inc. and</w:t>
        </w:r>
      </w:hyperlink>
      <w:r>
        <w:rPr>
          <w:rFonts w:ascii="Times New Roman" w:cs="Times New Roman" w:eastAsia="Times New Roman" w:hAnsi="Times New Roman"/>
          <w:sz w:val="14"/>
          <w:szCs w:val="14"/>
          <w:u w:val="single" w:color="auto"/>
          <w:color w:val="0000EE"/>
        </w:rPr>
        <w:t xml:space="preserve"> </w:t>
      </w:r>
      <w:hyperlink r:id="rId290">
        <w:r>
          <w:rPr>
            <w:rFonts w:ascii="Times New Roman" w:cs="Times New Roman" w:eastAsia="Times New Roman" w:hAnsi="Times New Roman"/>
            <w:sz w:val="14"/>
            <w:szCs w:val="14"/>
            <w:u w:val="single" w:color="auto"/>
            <w:color w:val="0000EE"/>
          </w:rPr>
          <w:t>Lonza Houston, Inc.</w:t>
        </w:r>
      </w:hyperlink>
    </w:p>
    <w:p>
      <w:pPr>
        <w:spacing w:after="0" w:line="1" w:lineRule="exact"/>
        <w:rPr>
          <w:sz w:val="20"/>
          <w:szCs w:val="20"/>
          <w:color w:val="auto"/>
        </w:rPr>
      </w:pPr>
    </w:p>
    <w:p>
      <w:pPr>
        <w:ind w:left="30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10.23</w:t>
      </w:r>
      <w:r>
        <w:rPr>
          <w:sz w:val="20"/>
          <w:szCs w:val="20"/>
          <w:color w:val="auto"/>
        </w:rPr>
        <w:tab/>
      </w:r>
      <w:hyperlink r:id="rId291">
        <w:r>
          <w:rPr>
            <w:rFonts w:ascii="Times New Roman" w:cs="Times New Roman" w:eastAsia="Times New Roman" w:hAnsi="Times New Roman"/>
            <w:sz w:val="14"/>
            <w:szCs w:val="14"/>
            <w:u w:val="single" w:color="auto"/>
            <w:color w:val="0000EE"/>
          </w:rPr>
          <w:t>First Amendment to Lease Agreement dated September 17, 2019, by and between Vaxart, Inc.</w:t>
        </w:r>
      </w:hyperlink>
    </w:p>
    <w:p>
      <w:pPr>
        <w:spacing w:after="0" w:line="9" w:lineRule="exact"/>
        <w:rPr>
          <w:sz w:val="20"/>
          <w:szCs w:val="20"/>
          <w:color w:val="auto"/>
        </w:rPr>
      </w:pPr>
    </w:p>
    <w:p>
      <w:pPr>
        <w:ind w:left="1040"/>
        <w:spacing w:after="0"/>
        <w:rPr>
          <w:rFonts w:ascii="Times New Roman" w:cs="Times New Roman" w:eastAsia="Times New Roman" w:hAnsi="Times New Roman"/>
          <w:sz w:val="14"/>
          <w:szCs w:val="14"/>
          <w:u w:val="single" w:color="auto"/>
          <w:color w:val="0000EE"/>
        </w:rPr>
      </w:pPr>
      <w:hyperlink r:id="rId291">
        <w:r>
          <w:rPr>
            <w:rFonts w:ascii="Times New Roman" w:cs="Times New Roman" w:eastAsia="Times New Roman" w:hAnsi="Times New Roman"/>
            <w:sz w:val="14"/>
            <w:szCs w:val="14"/>
            <w:u w:val="single" w:color="auto"/>
            <w:color w:val="0000EE"/>
          </w:rPr>
          <w:t>and HCP Inc.</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10.24 #</w:t>
      </w:r>
      <w:r>
        <w:rPr>
          <w:sz w:val="20"/>
          <w:szCs w:val="20"/>
          <w:color w:val="auto"/>
        </w:rPr>
        <w:tab/>
      </w:r>
      <w:hyperlink r:id="rId292">
        <w:r>
          <w:rPr>
            <w:rFonts w:ascii="Times New Roman" w:cs="Times New Roman" w:eastAsia="Times New Roman" w:hAnsi="Times New Roman"/>
            <w:sz w:val="14"/>
            <w:szCs w:val="14"/>
            <w:u w:val="single" w:color="auto"/>
            <w:color w:val="0000EE"/>
          </w:rPr>
          <w:t>Offer Letter, dated May 1, 2006, by and between the Company and Dr. Sean Tucker</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10.25 #</w:t>
      </w:r>
      <w:r>
        <w:rPr>
          <w:sz w:val="20"/>
          <w:szCs w:val="20"/>
          <w:color w:val="auto"/>
        </w:rPr>
        <w:tab/>
      </w:r>
      <w:hyperlink r:id="rId293">
        <w:r>
          <w:rPr>
            <w:rFonts w:ascii="Times New Roman" w:cs="Times New Roman" w:eastAsia="Times New Roman" w:hAnsi="Times New Roman"/>
            <w:sz w:val="14"/>
            <w:szCs w:val="14"/>
            <w:u w:val="single" w:color="auto"/>
            <w:color w:val="0000EE"/>
          </w:rPr>
          <w:t>Letter Agreement, dated June 14, 2020, between Vaxart, Inc. and Andrei Floroiu</w:t>
        </w:r>
      </w:hyperlink>
    </w:p>
    <w:p>
      <w:pPr>
        <w:spacing w:after="0" w:line="9" w:lineRule="exact"/>
        <w:rPr>
          <w:sz w:val="20"/>
          <w:szCs w:val="20"/>
          <w:color w:val="auto"/>
        </w:rPr>
      </w:pPr>
    </w:p>
    <w:p>
      <w:pPr>
        <w:ind w:left="1040" w:right="200" w:hanging="788"/>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10.26 +</w:t>
      </w:r>
      <w:r>
        <w:rPr>
          <w:sz w:val="20"/>
          <w:szCs w:val="20"/>
          <w:color w:val="auto"/>
        </w:rPr>
        <w:tab/>
      </w:r>
      <w:hyperlink r:id="rId294">
        <w:r>
          <w:rPr>
            <w:rFonts w:ascii="Times New Roman" w:cs="Times New Roman" w:eastAsia="Times New Roman" w:hAnsi="Times New Roman"/>
            <w:sz w:val="14"/>
            <w:szCs w:val="14"/>
            <w:u w:val="single" w:color="auto"/>
            <w:color w:val="0000EE"/>
          </w:rPr>
          <w:t>Master Services Agreement, dated April 17, 2020, by and between Vaxart, Inc. and Kindred</w:t>
        </w:r>
      </w:hyperlink>
      <w:r>
        <w:rPr>
          <w:rFonts w:ascii="Times New Roman" w:cs="Times New Roman" w:eastAsia="Times New Roman" w:hAnsi="Times New Roman"/>
          <w:sz w:val="14"/>
          <w:szCs w:val="14"/>
          <w:u w:val="single" w:color="auto"/>
          <w:color w:val="0000EE"/>
        </w:rPr>
        <w:t xml:space="preserve"> </w:t>
      </w:r>
      <w:hyperlink r:id="rId294">
        <w:r>
          <w:rPr>
            <w:rFonts w:ascii="Times New Roman" w:cs="Times New Roman" w:eastAsia="Times New Roman" w:hAnsi="Times New Roman"/>
            <w:sz w:val="14"/>
            <w:szCs w:val="14"/>
            <w:u w:val="single" w:color="auto"/>
            <w:color w:val="0000EE"/>
          </w:rPr>
          <w:t>Biosciences, Inc.</w:t>
        </w:r>
      </w:hyperlink>
    </w:p>
    <w:p>
      <w:pPr>
        <w:spacing w:after="0" w:line="1" w:lineRule="exact"/>
        <w:rPr>
          <w:sz w:val="20"/>
          <w:szCs w:val="20"/>
          <w:color w:val="auto"/>
        </w:rPr>
      </w:pPr>
    </w:p>
    <w:p>
      <w:pPr>
        <w:ind w:left="1040" w:right="300" w:hanging="788"/>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10.27 +</w:t>
      </w:r>
      <w:r>
        <w:rPr>
          <w:sz w:val="20"/>
          <w:szCs w:val="20"/>
          <w:color w:val="auto"/>
        </w:rPr>
        <w:tab/>
      </w:r>
      <w:hyperlink r:id="rId295">
        <w:r>
          <w:rPr>
            <w:rFonts w:ascii="Times New Roman" w:cs="Times New Roman" w:eastAsia="Times New Roman" w:hAnsi="Times New Roman"/>
            <w:sz w:val="14"/>
            <w:szCs w:val="14"/>
            <w:u w:val="single" w:color="auto"/>
            <w:color w:val="0000EE"/>
          </w:rPr>
          <w:t>Statement of Work 003, dated September 11, 2020, under the Master Services Agreement,</w:t>
        </w:r>
      </w:hyperlink>
      <w:r>
        <w:rPr>
          <w:rFonts w:ascii="Times New Roman" w:cs="Times New Roman" w:eastAsia="Times New Roman" w:hAnsi="Times New Roman"/>
          <w:sz w:val="14"/>
          <w:szCs w:val="14"/>
          <w:u w:val="single" w:color="auto"/>
          <w:color w:val="0000EE"/>
        </w:rPr>
        <w:t xml:space="preserve"> </w:t>
      </w:r>
      <w:hyperlink r:id="rId295">
        <w:r>
          <w:rPr>
            <w:rFonts w:ascii="Times New Roman" w:cs="Times New Roman" w:eastAsia="Times New Roman" w:hAnsi="Times New Roman"/>
            <w:sz w:val="14"/>
            <w:szCs w:val="14"/>
            <w:u w:val="single" w:color="auto"/>
            <w:color w:val="0000EE"/>
          </w:rPr>
          <w:t>dated April 17, 2020, by and between Vaxart, Inc. and Kindred Biosciences, Inc.</w:t>
        </w:r>
      </w:hyperlink>
    </w:p>
    <w:p>
      <w:pPr>
        <w:spacing w:after="0" w:line="1" w:lineRule="exact"/>
        <w:rPr>
          <w:sz w:val="20"/>
          <w:szCs w:val="20"/>
          <w:color w:val="auto"/>
        </w:rPr>
      </w:pPr>
    </w:p>
    <w:p>
      <w:pPr>
        <w:ind w:left="1040" w:right="300" w:hanging="788"/>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10.28 +</w:t>
      </w:r>
      <w:r>
        <w:rPr>
          <w:sz w:val="20"/>
          <w:szCs w:val="20"/>
          <w:color w:val="auto"/>
        </w:rPr>
        <w:tab/>
      </w:r>
      <w:hyperlink r:id="rId296">
        <w:r>
          <w:rPr>
            <w:rFonts w:ascii="Times New Roman" w:cs="Times New Roman" w:eastAsia="Times New Roman" w:hAnsi="Times New Roman"/>
            <w:sz w:val="14"/>
            <w:szCs w:val="14"/>
            <w:u w:val="single" w:color="auto"/>
            <w:color w:val="0000EE"/>
          </w:rPr>
          <w:t>Statement of Work 004, dated September 11, 2020, under the Master Services Agreement,</w:t>
        </w:r>
      </w:hyperlink>
      <w:r>
        <w:rPr>
          <w:rFonts w:ascii="Times New Roman" w:cs="Times New Roman" w:eastAsia="Times New Roman" w:hAnsi="Times New Roman"/>
          <w:sz w:val="14"/>
          <w:szCs w:val="14"/>
          <w:u w:val="single" w:color="auto"/>
          <w:color w:val="0000EE"/>
        </w:rPr>
        <w:t xml:space="preserve"> </w:t>
      </w:r>
      <w:hyperlink r:id="rId296">
        <w:r>
          <w:rPr>
            <w:rFonts w:ascii="Times New Roman" w:cs="Times New Roman" w:eastAsia="Times New Roman" w:hAnsi="Times New Roman"/>
            <w:sz w:val="14"/>
            <w:szCs w:val="14"/>
            <w:u w:val="single" w:color="auto"/>
            <w:color w:val="0000EE"/>
          </w:rPr>
          <w:t>dated April 17, 2020, by and between Vaxart, Inc. and Kindred Biosciences, Inc.</w:t>
        </w:r>
      </w:hyperlink>
    </w:p>
    <w:p>
      <w:pPr>
        <w:spacing w:after="0" w:line="1" w:lineRule="exact"/>
        <w:rPr>
          <w:sz w:val="20"/>
          <w:szCs w:val="20"/>
          <w:color w:val="auto"/>
        </w:rPr>
      </w:pPr>
    </w:p>
    <w:p>
      <w:pPr>
        <w:ind w:left="1040" w:right="540" w:hanging="730"/>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10.29</w:t>
      </w:r>
      <w:r>
        <w:rPr>
          <w:sz w:val="20"/>
          <w:szCs w:val="20"/>
          <w:color w:val="auto"/>
        </w:rPr>
        <w:tab/>
      </w:r>
      <w:hyperlink r:id="rId297">
        <w:r>
          <w:rPr>
            <w:rFonts w:ascii="Times New Roman" w:cs="Times New Roman" w:eastAsia="Times New Roman" w:hAnsi="Times New Roman"/>
            <w:sz w:val="14"/>
            <w:szCs w:val="14"/>
            <w:u w:val="single" w:color="auto"/>
            <w:color w:val="0000EE"/>
          </w:rPr>
          <w:t>Sublease Agreement dated November 16, 2020, by and between Vaxart, Inc. and Vera</w:t>
        </w:r>
      </w:hyperlink>
      <w:r>
        <w:rPr>
          <w:rFonts w:ascii="Times New Roman" w:cs="Times New Roman" w:eastAsia="Times New Roman" w:hAnsi="Times New Roman"/>
          <w:sz w:val="14"/>
          <w:szCs w:val="14"/>
          <w:u w:val="single" w:color="auto"/>
          <w:color w:val="0000EE"/>
        </w:rPr>
        <w:t xml:space="preserve"> </w:t>
      </w:r>
      <w:hyperlink r:id="rId297">
        <w:r>
          <w:rPr>
            <w:rFonts w:ascii="Times New Roman" w:cs="Times New Roman" w:eastAsia="Times New Roman" w:hAnsi="Times New Roman"/>
            <w:sz w:val="14"/>
            <w:szCs w:val="14"/>
            <w:u w:val="single" w:color="auto"/>
            <w:color w:val="0000EE"/>
          </w:rPr>
          <w:t>Therapeutics, Inc.</w:t>
        </w:r>
      </w:hyperlink>
    </w:p>
    <w:p>
      <w:pPr>
        <w:spacing w:after="0" w:line="1" w:lineRule="exact"/>
        <w:rPr>
          <w:sz w:val="20"/>
          <w:szCs w:val="20"/>
          <w:color w:val="auto"/>
        </w:rPr>
      </w:pPr>
    </w:p>
    <w:p>
      <w:pPr>
        <w:ind w:left="1040" w:hanging="730"/>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10.30</w:t>
      </w:r>
      <w:r>
        <w:rPr>
          <w:sz w:val="20"/>
          <w:szCs w:val="20"/>
          <w:color w:val="auto"/>
        </w:rPr>
        <w:tab/>
      </w:r>
      <w:hyperlink r:id="rId298">
        <w:r>
          <w:rPr>
            <w:rFonts w:ascii="Times New Roman" w:cs="Times New Roman" w:eastAsia="Times New Roman" w:hAnsi="Times New Roman"/>
            <w:sz w:val="14"/>
            <w:szCs w:val="14"/>
            <w:u w:val="single" w:color="auto"/>
            <w:color w:val="0000EE"/>
          </w:rPr>
          <w:t>Lease Agreement, dated September 17, 2021, by and between Vaxart, Inc. and Britannia Pointe</w:t>
        </w:r>
      </w:hyperlink>
      <w:r>
        <w:rPr>
          <w:rFonts w:ascii="Times New Roman" w:cs="Times New Roman" w:eastAsia="Times New Roman" w:hAnsi="Times New Roman"/>
          <w:sz w:val="14"/>
          <w:szCs w:val="14"/>
          <w:u w:val="single" w:color="auto"/>
          <w:color w:val="0000EE"/>
        </w:rPr>
        <w:t xml:space="preserve"> </w:t>
      </w:r>
      <w:hyperlink r:id="rId298">
        <w:r>
          <w:rPr>
            <w:rFonts w:ascii="Times New Roman" w:cs="Times New Roman" w:eastAsia="Times New Roman" w:hAnsi="Times New Roman"/>
            <w:sz w:val="14"/>
            <w:szCs w:val="14"/>
            <w:u w:val="single" w:color="auto"/>
            <w:color w:val="0000EE"/>
          </w:rPr>
          <w:t>Grand Limited Partnership</w:t>
        </w:r>
      </w:hyperlink>
    </w:p>
    <w:p>
      <w:pPr>
        <w:spacing w:after="0" w:line="1" w:lineRule="exact"/>
        <w:rPr>
          <w:sz w:val="20"/>
          <w:szCs w:val="20"/>
          <w:color w:val="auto"/>
        </w:rPr>
      </w:pPr>
    </w:p>
    <w:p>
      <w:pPr>
        <w:ind w:left="1040" w:right="120" w:hanging="730"/>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10.31</w:t>
      </w:r>
      <w:r>
        <w:rPr>
          <w:sz w:val="20"/>
          <w:szCs w:val="20"/>
          <w:color w:val="auto"/>
        </w:rPr>
        <w:tab/>
      </w:r>
      <w:hyperlink r:id="rId299">
        <w:r>
          <w:rPr>
            <w:rFonts w:ascii="Times New Roman" w:cs="Times New Roman" w:eastAsia="Times New Roman" w:hAnsi="Times New Roman"/>
            <w:sz w:val="14"/>
            <w:szCs w:val="14"/>
            <w:u w:val="single" w:color="auto"/>
            <w:color w:val="0000EE"/>
          </w:rPr>
          <w:t>Second Amendment to Lease Agreement, dated September 17, 2021, by and between Vaxart,</w:t>
        </w:r>
      </w:hyperlink>
      <w:r>
        <w:rPr>
          <w:rFonts w:ascii="Times New Roman" w:cs="Times New Roman" w:eastAsia="Times New Roman" w:hAnsi="Times New Roman"/>
          <w:sz w:val="14"/>
          <w:szCs w:val="14"/>
          <w:u w:val="single" w:color="auto"/>
          <w:color w:val="0000EE"/>
        </w:rPr>
        <w:t xml:space="preserve"> </w:t>
      </w:r>
      <w:hyperlink r:id="rId299">
        <w:r>
          <w:rPr>
            <w:rFonts w:ascii="Times New Roman" w:cs="Times New Roman" w:eastAsia="Times New Roman" w:hAnsi="Times New Roman"/>
            <w:sz w:val="14"/>
            <w:szCs w:val="14"/>
            <w:u w:val="single" w:color="auto"/>
            <w:color w:val="0000EE"/>
          </w:rPr>
          <w:t>Inc. and Healthpeak Properties, Inc.</w:t>
        </w:r>
      </w:hyperlink>
    </w:p>
    <w:p>
      <w:pPr>
        <w:spacing w:after="0" w:line="1"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10.32 #</w:t>
      </w:r>
      <w:r>
        <w:rPr>
          <w:sz w:val="20"/>
          <w:szCs w:val="20"/>
          <w:color w:val="auto"/>
        </w:rPr>
        <w:tab/>
      </w:r>
      <w:hyperlink r:id="rId300">
        <w:r>
          <w:rPr>
            <w:rFonts w:ascii="Times New Roman" w:cs="Times New Roman" w:eastAsia="Times New Roman" w:hAnsi="Times New Roman"/>
            <w:sz w:val="14"/>
            <w:szCs w:val="14"/>
            <w:u w:val="single" w:color="auto"/>
            <w:color w:val="0000EE"/>
          </w:rPr>
          <w:t>Offer Letter, dated August 16, 2021, by and between the Company and James Cummings MD</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10.33 #</w:t>
      </w:r>
      <w:r>
        <w:rPr>
          <w:sz w:val="20"/>
          <w:szCs w:val="20"/>
          <w:color w:val="auto"/>
        </w:rPr>
        <w:tab/>
      </w:r>
      <w:hyperlink r:id="rId301">
        <w:r>
          <w:rPr>
            <w:rFonts w:ascii="Times New Roman" w:cs="Times New Roman" w:eastAsia="Times New Roman" w:hAnsi="Times New Roman"/>
            <w:sz w:val="14"/>
            <w:szCs w:val="14"/>
            <w:u w:val="single" w:color="auto"/>
            <w:color w:val="0000EE"/>
          </w:rPr>
          <w:t>Offer letter, dated January 18, 2022, by and between the Company and Edward Berg</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10.34 #</w:t>
      </w:r>
      <w:r>
        <w:rPr>
          <w:sz w:val="20"/>
          <w:szCs w:val="20"/>
          <w:color w:val="auto"/>
        </w:rPr>
        <w:tab/>
      </w:r>
      <w:hyperlink r:id="rId302">
        <w:r>
          <w:rPr>
            <w:rFonts w:ascii="Times New Roman" w:cs="Times New Roman" w:eastAsia="Times New Roman" w:hAnsi="Times New Roman"/>
            <w:sz w:val="14"/>
            <w:szCs w:val="14"/>
            <w:u w:val="single" w:color="auto"/>
            <w:color w:val="0000EE"/>
          </w:rPr>
          <w:t>Non-Employee Director Compensation Program, effective as of April 1, 2022</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10.35 #</w:t>
      </w:r>
      <w:r>
        <w:rPr>
          <w:sz w:val="20"/>
          <w:szCs w:val="20"/>
          <w:color w:val="auto"/>
        </w:rPr>
        <w:tab/>
      </w:r>
      <w:hyperlink r:id="rId303">
        <w:r>
          <w:rPr>
            <w:rFonts w:ascii="Times New Roman" w:cs="Times New Roman" w:eastAsia="Times New Roman" w:hAnsi="Times New Roman"/>
            <w:sz w:val="14"/>
            <w:szCs w:val="14"/>
            <w:u w:val="single" w:color="auto"/>
            <w:color w:val="0000EE"/>
          </w:rPr>
          <w:t>Non-Employee Director Compensation Program, effective as of April 1, 2024</w:t>
        </w:r>
      </w:hyperlink>
    </w:p>
    <w:p>
      <w:pPr>
        <w:spacing w:after="0" w:line="9" w:lineRule="exact"/>
        <w:rPr>
          <w:sz w:val="20"/>
          <w:szCs w:val="20"/>
          <w:color w:val="auto"/>
        </w:rPr>
      </w:pPr>
    </w:p>
    <w:p>
      <w:pPr>
        <w:ind w:left="1040" w:right="300" w:hanging="788"/>
        <w:spacing w:after="0" w:line="252"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10.36 +</w:t>
      </w:r>
      <w:r>
        <w:rPr>
          <w:sz w:val="20"/>
          <w:szCs w:val="20"/>
          <w:color w:val="auto"/>
        </w:rPr>
        <w:tab/>
      </w:r>
      <w:hyperlink r:id="rId304">
        <w:r>
          <w:rPr>
            <w:rFonts w:ascii="Times New Roman" w:cs="Times New Roman" w:eastAsia="Times New Roman" w:hAnsi="Times New Roman"/>
            <w:sz w:val="14"/>
            <w:szCs w:val="14"/>
            <w:u w:val="single" w:color="auto"/>
            <w:color w:val="0000EE"/>
          </w:rPr>
          <w:t>Pre-Challenge Study Services Agreement dated June 29, 2022, between the Company and</w:t>
        </w:r>
      </w:hyperlink>
      <w:r>
        <w:rPr>
          <w:rFonts w:ascii="Times New Roman" w:cs="Times New Roman" w:eastAsia="Times New Roman" w:hAnsi="Times New Roman"/>
          <w:sz w:val="14"/>
          <w:szCs w:val="14"/>
          <w:u w:val="single" w:color="auto"/>
          <w:color w:val="0000EE"/>
        </w:rPr>
        <w:t xml:space="preserve"> </w:t>
      </w:r>
      <w:hyperlink r:id="rId304">
        <w:r>
          <w:rPr>
            <w:rFonts w:ascii="Times New Roman" w:cs="Times New Roman" w:eastAsia="Times New Roman" w:hAnsi="Times New Roman"/>
            <w:sz w:val="14"/>
            <w:szCs w:val="14"/>
            <w:u w:val="single" w:color="auto"/>
            <w:color w:val="0000EE"/>
          </w:rPr>
          <w:t>hVIVO Services Limited</w:t>
        </w:r>
      </w:hyperlink>
    </w:p>
    <w:p>
      <w:pPr>
        <w:spacing w:after="0" w:line="1"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10.37 #</w:t>
      </w:r>
      <w:r>
        <w:rPr>
          <w:sz w:val="20"/>
          <w:szCs w:val="20"/>
          <w:color w:val="auto"/>
        </w:rPr>
        <w:tab/>
      </w:r>
      <w:hyperlink r:id="rId305">
        <w:r>
          <w:rPr>
            <w:rFonts w:ascii="Times New Roman" w:cs="Times New Roman" w:eastAsia="Times New Roman" w:hAnsi="Times New Roman"/>
            <w:sz w:val="14"/>
            <w:szCs w:val="14"/>
            <w:u w:val="single" w:color="auto"/>
            <w:color w:val="0000EE"/>
          </w:rPr>
          <w:t>2019 Equity Incentive Plan</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10.38 #</w:t>
      </w:r>
      <w:r>
        <w:rPr>
          <w:sz w:val="20"/>
          <w:szCs w:val="20"/>
          <w:color w:val="auto"/>
        </w:rPr>
        <w:tab/>
      </w:r>
      <w:hyperlink r:id="rId306">
        <w:r>
          <w:rPr>
            <w:rFonts w:ascii="Times New Roman" w:cs="Times New Roman" w:eastAsia="Times New Roman" w:hAnsi="Times New Roman"/>
            <w:sz w:val="14"/>
            <w:szCs w:val="14"/>
            <w:u w:val="single" w:color="auto"/>
            <w:color w:val="0000EE"/>
          </w:rPr>
          <w:t>2022 Employee Stock Purchase Plan</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10.39 #</w:t>
      </w:r>
      <w:r>
        <w:rPr>
          <w:sz w:val="20"/>
          <w:szCs w:val="20"/>
          <w:color w:val="auto"/>
        </w:rPr>
        <w:tab/>
      </w:r>
      <w:hyperlink r:id="rId307">
        <w:r>
          <w:rPr>
            <w:rFonts w:ascii="Times New Roman" w:cs="Times New Roman" w:eastAsia="Times New Roman" w:hAnsi="Times New Roman"/>
            <w:sz w:val="14"/>
            <w:szCs w:val="14"/>
            <w:u w:val="single" w:color="auto"/>
            <w:color w:val="0000EE"/>
          </w:rPr>
          <w:t>Offer Letter, dated December 5, 2022, by and between the Company and Phillip Lee</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10.40 #</w:t>
      </w:r>
      <w:r>
        <w:rPr>
          <w:sz w:val="20"/>
          <w:szCs w:val="20"/>
          <w:color w:val="auto"/>
        </w:rPr>
        <w:tab/>
      </w:r>
      <w:hyperlink r:id="rId308">
        <w:r>
          <w:rPr>
            <w:rFonts w:ascii="Times New Roman" w:cs="Times New Roman" w:eastAsia="Times New Roman" w:hAnsi="Times New Roman"/>
            <w:sz w:val="14"/>
            <w:szCs w:val="14"/>
            <w:u w:val="single" w:color="auto"/>
            <w:color w:val="0000EE"/>
          </w:rPr>
          <w:t>Amendment to Letter Agreement dated May 2, 2023, between Andrei Floroiu and Vaxart, Inc.</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10.41 #</w:t>
      </w:r>
      <w:r>
        <w:rPr>
          <w:sz w:val="20"/>
          <w:szCs w:val="20"/>
          <w:color w:val="auto"/>
        </w:rPr>
        <w:tab/>
      </w:r>
      <w:hyperlink r:id="rId309">
        <w:r>
          <w:rPr>
            <w:rFonts w:ascii="Times New Roman" w:cs="Times New Roman" w:eastAsia="Times New Roman" w:hAnsi="Times New Roman"/>
            <w:sz w:val="14"/>
            <w:szCs w:val="14"/>
            <w:u w:val="single" w:color="auto"/>
            <w:color w:val="0000EE"/>
          </w:rPr>
          <w:t>Amendment to the Vaxart, Inc. Severance Benefit Plan dated May 2, 2023</w:t>
        </w:r>
      </w:hyperlink>
    </w:p>
    <w:p>
      <w:pPr>
        <w:spacing w:after="0" w:line="9" w:lineRule="exact"/>
        <w:rPr>
          <w:sz w:val="20"/>
          <w:szCs w:val="20"/>
          <w:color w:val="auto"/>
        </w:rPr>
      </w:pPr>
    </w:p>
    <w:p>
      <w:pPr>
        <w:ind w:left="240"/>
        <w:spacing w:after="0"/>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10.42 #</w:t>
      </w:r>
      <w:r>
        <w:rPr>
          <w:sz w:val="20"/>
          <w:szCs w:val="20"/>
          <w:color w:val="auto"/>
        </w:rPr>
        <w:tab/>
      </w:r>
      <w:hyperlink r:id="rId310">
        <w:r>
          <w:rPr>
            <w:rFonts w:ascii="Times New Roman" w:cs="Times New Roman" w:eastAsia="Times New Roman" w:hAnsi="Times New Roman"/>
            <w:sz w:val="14"/>
            <w:szCs w:val="14"/>
            <w:u w:val="single" w:color="auto"/>
            <w:color w:val="0000EE"/>
          </w:rPr>
          <w:t>Letter Agreement, dated January 16, 2024, between Vaxart, Inc. and Michael J. Finney</w:t>
        </w:r>
      </w:hyperlink>
    </w:p>
    <w:p>
      <w:pPr>
        <w:spacing w:after="0" w:line="9" w:lineRule="exact"/>
        <w:rPr>
          <w:sz w:val="20"/>
          <w:szCs w:val="20"/>
          <w:color w:val="auto"/>
        </w:rPr>
      </w:pPr>
    </w:p>
    <w:p>
      <w:pPr>
        <w:ind w:left="1040" w:right="220" w:hanging="730"/>
        <w:spacing w:after="0" w:line="265" w:lineRule="auto"/>
        <w:tabs>
          <w:tab w:leader="none" w:pos="102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10.43</w:t>
      </w:r>
      <w:r>
        <w:rPr>
          <w:sz w:val="20"/>
          <w:szCs w:val="20"/>
          <w:color w:val="auto"/>
        </w:rPr>
        <w:tab/>
      </w:r>
      <w:hyperlink r:id="rId311">
        <w:r>
          <w:rPr>
            <w:rFonts w:ascii="Times New Roman" w:cs="Times New Roman" w:eastAsia="Times New Roman" w:hAnsi="Times New Roman"/>
            <w:sz w:val="14"/>
            <w:szCs w:val="14"/>
            <w:u w:val="single" w:color="auto"/>
            <w:color w:val="0000EE"/>
          </w:rPr>
          <w:t>ASPR-BARDA Award/Contract, dated January 12, 2024, between Vaxart, Inc. and the U.S.</w:t>
        </w:r>
      </w:hyperlink>
      <w:r>
        <w:rPr>
          <w:rFonts w:ascii="Times New Roman" w:cs="Times New Roman" w:eastAsia="Times New Roman" w:hAnsi="Times New Roman"/>
          <w:sz w:val="14"/>
          <w:szCs w:val="14"/>
          <w:u w:val="single" w:color="auto"/>
          <w:color w:val="0000EE"/>
        </w:rPr>
        <w:t xml:space="preserve"> </w:t>
      </w:r>
      <w:hyperlink r:id="rId311">
        <w:r>
          <w:rPr>
            <w:rFonts w:ascii="Times New Roman" w:cs="Times New Roman" w:eastAsia="Times New Roman" w:hAnsi="Times New Roman"/>
            <w:sz w:val="14"/>
            <w:szCs w:val="14"/>
            <w:u w:val="single" w:color="auto"/>
            <w:color w:val="0000EE"/>
          </w:rPr>
          <w:t>Government through the Department of Health and Human Services</w:t>
        </w:r>
      </w:hyperlink>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S-1/A</w:t>
            </w:r>
          </w:p>
        </w:tc>
        <w:tc>
          <w:tcPr>
            <w:tcW w:w="1260" w:type="dxa"/>
            <w:vAlign w:val="bottom"/>
          </w:tcPr>
          <w:p>
            <w:pPr>
              <w:jc w:val="center"/>
              <w:ind w:left="29"/>
              <w:spacing w:after="0"/>
              <w:rPr>
                <w:sz w:val="20"/>
                <w:szCs w:val="20"/>
                <w:color w:val="auto"/>
              </w:rPr>
            </w:pPr>
            <w:r>
              <w:rPr>
                <w:rFonts w:ascii="Times New Roman" w:cs="Times New Roman" w:eastAsia="Times New Roman" w:hAnsi="Times New Roman"/>
                <w:sz w:val="14"/>
                <w:szCs w:val="14"/>
                <w:color w:val="auto"/>
              </w:rPr>
              <w:t>333-233717</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10.30</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September 24, 2019</w:t>
            </w:r>
          </w:p>
        </w:tc>
      </w:tr>
      <w:tr>
        <w:trPr>
          <w:trHeight w:val="339"/>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September 19, 2019</w:t>
            </w:r>
          </w:p>
        </w:tc>
      </w:tr>
      <w:tr>
        <w:trPr>
          <w:trHeight w:val="325"/>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12, 2020</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June 15, 2020</w:t>
            </w:r>
          </w:p>
        </w:tc>
      </w:tr>
      <w:tr>
        <w:trPr>
          <w:trHeight w:val="184"/>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November 12, 2020</w:t>
            </w:r>
          </w:p>
        </w:tc>
      </w:tr>
      <w:tr>
        <w:trPr>
          <w:trHeight w:val="339"/>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10.5</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November 12, 2020</w:t>
            </w:r>
          </w:p>
        </w:tc>
      </w:tr>
      <w:tr>
        <w:trPr>
          <w:trHeight w:val="339"/>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10.6</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November 12, 2020</w:t>
            </w:r>
          </w:p>
        </w:tc>
      </w:tr>
      <w:tr>
        <w:trPr>
          <w:trHeight w:val="339"/>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10.40</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February 25, 2021</w:t>
            </w:r>
          </w:p>
        </w:tc>
      </w:tr>
      <w:tr>
        <w:trPr>
          <w:trHeight w:val="339"/>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September 21, 2021</w:t>
            </w:r>
          </w:p>
        </w:tc>
      </w:tr>
      <w:tr>
        <w:trPr>
          <w:trHeight w:val="339"/>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September 21, 2021</w:t>
            </w:r>
          </w:p>
        </w:tc>
      </w:tr>
      <w:tr>
        <w:trPr>
          <w:trHeight w:val="325"/>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November 4, 2021</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10.46</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February 24, 2022</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9, 2022</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August 8, 2024</w:t>
            </w:r>
          </w:p>
        </w:tc>
      </w:tr>
      <w:tr>
        <w:trPr>
          <w:trHeight w:val="184"/>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10.4</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August 8, 2022</w:t>
            </w:r>
          </w:p>
        </w:tc>
      </w:tr>
      <w:tr>
        <w:trPr>
          <w:trHeight w:val="325"/>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June 13, 2024</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June 13, 2024</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10.53</w:t>
            </w:r>
          </w:p>
        </w:tc>
        <w:tc>
          <w:tcPr>
            <w:tcW w:w="138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March 15, 2023</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4, 2023</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10-Q</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May 4, 2023</w:t>
            </w:r>
          </w:p>
        </w:tc>
      </w:tr>
      <w:tr>
        <w:trPr>
          <w:trHeight w:val="170"/>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8-K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January 16, 2024</w:t>
            </w:r>
          </w:p>
        </w:tc>
      </w:tr>
      <w:tr>
        <w:trPr>
          <w:trHeight w:val="184"/>
        </w:trPr>
        <w:tc>
          <w:tcPr>
            <w:tcW w:w="68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rPr>
              <w:t>10-K</w:t>
            </w:r>
          </w:p>
        </w:tc>
        <w:tc>
          <w:tcPr>
            <w:tcW w:w="12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001-35285</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10.59</w:t>
            </w:r>
          </w:p>
        </w:tc>
        <w:tc>
          <w:tcPr>
            <w:tcW w:w="138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March 13, 2024</w:t>
            </w:r>
          </w:p>
        </w:tc>
      </w:tr>
    </w:tbl>
    <w:p>
      <w:pPr>
        <w:sectPr>
          <w:pgSz w:w="11900" w:h="16838" w:orient="portrait"/>
          <w:cols w:equalWidth="0" w:num="2">
            <w:col w:w="6420" w:space="540"/>
            <w:col w:w="4100"/>
          </w:cols>
          <w:pgMar w:left="300" w:top="125" w:right="539" w:bottom="1440" w:gutter="0" w:footer="0" w:header="0"/>
        </w:sectPr>
      </w:pPr>
    </w:p>
    <w:bookmarkStart w:id="208" w:name="page209"/>
    <w:bookmarkEnd w:id="20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gridSpan w:val="3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319"/>
        </w:trPr>
        <w:tc>
          <w:tcPr>
            <w:tcW w:w="780" w:type="dxa"/>
            <w:vAlign w:val="bottom"/>
            <w:tcBorders>
              <w:top w:val="single" w:sz="8" w:color="0000EE"/>
            </w:tcBorders>
          </w:tcPr>
          <w:p>
            <w:pPr>
              <w:jc w:val="center"/>
              <w:ind w:left="69"/>
              <w:spacing w:after="0"/>
              <w:rPr>
                <w:sz w:val="20"/>
                <w:szCs w:val="20"/>
                <w:color w:val="auto"/>
              </w:rPr>
            </w:pPr>
            <w:r>
              <w:rPr>
                <w:rFonts w:ascii="Times New Roman" w:cs="Times New Roman" w:eastAsia="Times New Roman" w:hAnsi="Times New Roman"/>
                <w:sz w:val="14"/>
                <w:szCs w:val="14"/>
                <w:color w:val="auto"/>
              </w:rPr>
              <w:t>10.44</w:t>
            </w: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313">
              <w:r>
                <w:rPr>
                  <w:rFonts w:ascii="Times New Roman" w:cs="Times New Roman" w:eastAsia="Times New Roman" w:hAnsi="Times New Roman"/>
                  <w:sz w:val="14"/>
                  <w:szCs w:val="14"/>
                  <w:color w:val="0000EE"/>
                </w:rPr>
                <w:t>Securities Purchase Agreement, dated January 16, 2024, by and between Vaxart, Inc. and RA</w:t>
              </w:r>
            </w:hyperlink>
          </w:p>
        </w:tc>
        <w:tc>
          <w:tcPr>
            <w:tcW w:w="420" w:type="dxa"/>
            <w:vAlign w:val="bottom"/>
            <w:gridSpan w:val="2"/>
          </w:tcPr>
          <w:p>
            <w:pPr>
              <w:spacing w:after="0"/>
              <w:rPr>
                <w:sz w:val="24"/>
                <w:szCs w:val="24"/>
                <w:color w:val="auto"/>
              </w:rPr>
            </w:pPr>
          </w:p>
        </w:tc>
        <w:tc>
          <w:tcPr>
            <w:tcW w:w="9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w w:val="99"/>
              </w:rPr>
              <w:t>January 16, 2024</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13">
              <w:r>
                <w:rPr>
                  <w:rFonts w:ascii="Times New Roman" w:cs="Times New Roman" w:eastAsia="Times New Roman" w:hAnsi="Times New Roman"/>
                  <w:sz w:val="14"/>
                  <w:szCs w:val="14"/>
                  <w:color w:val="0000EE"/>
                </w:rPr>
                <w:t>Capital Healthcare Fund, L.P.</w:t>
              </w:r>
            </w:hyperlink>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10.45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60" w:type="dxa"/>
            <w:vAlign w:val="bottom"/>
            <w:tcBorders>
              <w:bottom w:val="single" w:sz="8" w:color="0000EE"/>
            </w:tcBorders>
            <w:gridSpan w:val="20"/>
          </w:tcPr>
          <w:p>
            <w:pPr>
              <w:spacing w:after="0" w:line="150" w:lineRule="exact"/>
              <w:rPr>
                <w:rFonts w:ascii="Times New Roman" w:cs="Times New Roman" w:eastAsia="Times New Roman" w:hAnsi="Times New Roman"/>
                <w:sz w:val="14"/>
                <w:szCs w:val="14"/>
                <w:color w:val="0000EE"/>
              </w:rPr>
            </w:pPr>
            <w:hyperlink r:id="rId314">
              <w:r>
                <w:rPr>
                  <w:rFonts w:ascii="Times New Roman" w:cs="Times New Roman" w:eastAsia="Times New Roman" w:hAnsi="Times New Roman"/>
                  <w:sz w:val="14"/>
                  <w:szCs w:val="14"/>
                  <w:color w:val="0000EE"/>
                </w:rPr>
                <w:t>Separation Agreement, dated January 31, 2024, by and between the Company and Andrei</w:t>
              </w:r>
            </w:hyperlink>
          </w:p>
        </w:tc>
        <w:tc>
          <w:tcPr>
            <w:tcW w:w="620" w:type="dxa"/>
            <w:vAlign w:val="bottom"/>
            <w:gridSpan w:val="9"/>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w w:val="99"/>
              </w:rPr>
              <w:t>February 2, 2024</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14">
              <w:r>
                <w:rPr>
                  <w:rFonts w:ascii="Times New Roman" w:cs="Times New Roman" w:eastAsia="Times New Roman" w:hAnsi="Times New Roman"/>
                  <w:sz w:val="14"/>
                  <w:szCs w:val="14"/>
                  <w:color w:val="0000EE"/>
                </w:rPr>
                <w:t>Floroiu</w:t>
              </w:r>
            </w:hyperlink>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10.46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15">
              <w:r>
                <w:rPr>
                  <w:rFonts w:ascii="Times New Roman" w:cs="Times New Roman" w:eastAsia="Times New Roman" w:hAnsi="Times New Roman"/>
                  <w:sz w:val="14"/>
                  <w:szCs w:val="14"/>
                  <w:color w:val="0000EE"/>
                </w:rPr>
                <w:t>Vaxart, Inc. 2024 Inducement Award Plan</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February 29, 2024</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10.47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16">
              <w:r>
                <w:rPr>
                  <w:rFonts w:ascii="Times New Roman" w:cs="Times New Roman" w:eastAsia="Times New Roman" w:hAnsi="Times New Roman"/>
                  <w:sz w:val="14"/>
                  <w:szCs w:val="14"/>
                  <w:color w:val="0000EE"/>
                </w:rPr>
                <w:t>Form of Restricted Stock Unit Award Grant Notice and Award Agreement</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February 29, 2024</w:t>
            </w: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10.48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tcBorders>
              <w:top w:val="single" w:sz="8" w:color="0000EE"/>
              <w:bottom w:val="single" w:sz="8" w:color="0000EE"/>
            </w:tcBorders>
            <w:gridSpan w:val="12"/>
          </w:tcPr>
          <w:p>
            <w:pPr>
              <w:spacing w:after="0" w:line="150" w:lineRule="exact"/>
              <w:rPr>
                <w:rFonts w:ascii="Times New Roman" w:cs="Times New Roman" w:eastAsia="Times New Roman" w:hAnsi="Times New Roman"/>
                <w:sz w:val="14"/>
                <w:szCs w:val="14"/>
                <w:color w:val="0000EE"/>
              </w:rPr>
            </w:pPr>
            <w:hyperlink r:id="rId317">
              <w:r>
                <w:rPr>
                  <w:rFonts w:ascii="Times New Roman" w:cs="Times New Roman" w:eastAsia="Times New Roman" w:hAnsi="Times New Roman"/>
                  <w:sz w:val="14"/>
                  <w:szCs w:val="14"/>
                  <w:color w:val="0000EE"/>
                </w:rPr>
                <w:t>Form of Stock Option Grant Notice and Stock Option Agreement</w:t>
              </w:r>
            </w:hyperlink>
          </w:p>
        </w:tc>
        <w:tc>
          <w:tcPr>
            <w:tcW w:w="480" w:type="dxa"/>
            <w:vAlign w:val="bottom"/>
            <w:tcBorders>
              <w:top w:val="single" w:sz="8" w:color="0000EE"/>
            </w:tcBorders>
            <w:gridSpan w:val="2"/>
          </w:tcPr>
          <w:p>
            <w:pPr>
              <w:spacing w:after="0"/>
              <w:rPr>
                <w:sz w:val="13"/>
                <w:szCs w:val="13"/>
                <w:color w:val="auto"/>
              </w:rPr>
            </w:pPr>
          </w:p>
        </w:tc>
        <w:tc>
          <w:tcPr>
            <w:tcW w:w="1500" w:type="dxa"/>
            <w:vAlign w:val="bottom"/>
            <w:gridSpan w:val="15"/>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10.3</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February 29, 2024</w:t>
            </w: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10.49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tcBorders>
              <w:bottom w:val="single" w:sz="8" w:color="0000EE"/>
            </w:tcBorders>
            <w:gridSpan w:val="10"/>
          </w:tcPr>
          <w:p>
            <w:pPr>
              <w:spacing w:after="0" w:line="150" w:lineRule="exact"/>
              <w:rPr>
                <w:rFonts w:ascii="Times New Roman" w:cs="Times New Roman" w:eastAsia="Times New Roman" w:hAnsi="Times New Roman"/>
                <w:sz w:val="14"/>
                <w:szCs w:val="14"/>
                <w:color w:val="0000EE"/>
                <w:w w:val="99"/>
              </w:rPr>
            </w:pPr>
            <w:hyperlink r:id="rId318">
              <w:r>
                <w:rPr>
                  <w:rFonts w:ascii="Times New Roman" w:cs="Times New Roman" w:eastAsia="Times New Roman" w:hAnsi="Times New Roman"/>
                  <w:sz w:val="14"/>
                  <w:szCs w:val="14"/>
                  <w:color w:val="0000EE"/>
                  <w:w w:val="99"/>
                </w:rPr>
                <w:t>Letter Agreement, between Vaxart, Inc. and Steven Lo</w:t>
              </w:r>
            </w:hyperlink>
          </w:p>
        </w:tc>
        <w:tc>
          <w:tcPr>
            <w:tcW w:w="2600" w:type="dxa"/>
            <w:vAlign w:val="bottom"/>
            <w:gridSpan w:val="19"/>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March 6, 2024</w:t>
            </w:r>
          </w:p>
        </w:tc>
      </w:tr>
      <w:tr>
        <w:trPr>
          <w:trHeight w:val="150"/>
        </w:trPr>
        <w:tc>
          <w:tcPr>
            <w:tcW w:w="780" w:type="dxa"/>
            <w:vAlign w:val="bottom"/>
          </w:tcPr>
          <w:p>
            <w:pPr>
              <w:jc w:val="center"/>
              <w:ind w:left="89"/>
              <w:spacing w:after="0" w:line="150" w:lineRule="exact"/>
              <w:rPr>
                <w:sz w:val="20"/>
                <w:szCs w:val="20"/>
                <w:color w:val="auto"/>
              </w:rPr>
            </w:pPr>
            <w:r>
              <w:rPr>
                <w:rFonts w:ascii="Times New Roman" w:cs="Times New Roman" w:eastAsia="Times New Roman" w:hAnsi="Times New Roman"/>
                <w:sz w:val="14"/>
                <w:szCs w:val="14"/>
                <w:color w:val="auto"/>
              </w:rPr>
              <w:t>10.50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80" w:type="dxa"/>
            <w:vAlign w:val="bottom"/>
            <w:tcBorders>
              <w:bottom w:val="single" w:sz="8" w:color="0000EE"/>
            </w:tcBorders>
            <w:gridSpan w:val="18"/>
          </w:tcPr>
          <w:p>
            <w:pPr>
              <w:spacing w:after="0" w:line="150" w:lineRule="exact"/>
              <w:rPr>
                <w:rFonts w:ascii="Times New Roman" w:cs="Times New Roman" w:eastAsia="Times New Roman" w:hAnsi="Times New Roman"/>
                <w:sz w:val="14"/>
                <w:szCs w:val="14"/>
                <w:color w:val="0000EE"/>
                <w:w w:val="99"/>
              </w:rPr>
            </w:pPr>
            <w:hyperlink r:id="rId319">
              <w:r>
                <w:rPr>
                  <w:rFonts w:ascii="Times New Roman" w:cs="Times New Roman" w:eastAsia="Times New Roman" w:hAnsi="Times New Roman"/>
                  <w:sz w:val="14"/>
                  <w:szCs w:val="14"/>
                  <w:color w:val="0000EE"/>
                  <w:w w:val="99"/>
                </w:rPr>
                <w:t>ATI-RRPV Base Agreement, dated May 6, 2024, between Vaxart Biosciences Inc. and</w:t>
              </w:r>
            </w:hyperlink>
          </w:p>
        </w:tc>
        <w:tc>
          <w:tcPr>
            <w:tcW w:w="800" w:type="dxa"/>
            <w:vAlign w:val="bottom"/>
            <w:gridSpan w:val="11"/>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August 8, 2024</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19">
              <w:r>
                <w:rPr>
                  <w:rFonts w:ascii="Times New Roman" w:cs="Times New Roman" w:eastAsia="Times New Roman" w:hAnsi="Times New Roman"/>
                  <w:sz w:val="14"/>
                  <w:szCs w:val="14"/>
                  <w:color w:val="0000EE"/>
                </w:rPr>
                <w:t>Advanced Technology International (RRPV Consortium Management Firm)</w:t>
              </w:r>
            </w:hyperlink>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89"/>
              <w:spacing w:after="0" w:line="150" w:lineRule="exact"/>
              <w:rPr>
                <w:sz w:val="20"/>
                <w:szCs w:val="20"/>
                <w:color w:val="auto"/>
              </w:rPr>
            </w:pPr>
            <w:r>
              <w:rPr>
                <w:rFonts w:ascii="Times New Roman" w:cs="Times New Roman" w:eastAsia="Times New Roman" w:hAnsi="Times New Roman"/>
                <w:sz w:val="14"/>
                <w:szCs w:val="14"/>
                <w:color w:val="auto"/>
              </w:rPr>
              <w:t>10.51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780" w:type="dxa"/>
            <w:vAlign w:val="bottom"/>
            <w:tcBorders>
              <w:bottom w:val="single" w:sz="8" w:color="0000EE"/>
            </w:tcBorders>
            <w:gridSpan w:val="16"/>
          </w:tcPr>
          <w:p>
            <w:pPr>
              <w:spacing w:after="0" w:line="150" w:lineRule="exact"/>
              <w:rPr>
                <w:rFonts w:ascii="Times New Roman" w:cs="Times New Roman" w:eastAsia="Times New Roman" w:hAnsi="Times New Roman"/>
                <w:sz w:val="14"/>
                <w:szCs w:val="14"/>
                <w:color w:val="0000EE"/>
                <w:w w:val="99"/>
              </w:rPr>
            </w:pPr>
            <w:hyperlink r:id="rId320">
              <w:r>
                <w:rPr>
                  <w:rFonts w:ascii="Times New Roman" w:cs="Times New Roman" w:eastAsia="Times New Roman" w:hAnsi="Times New Roman"/>
                  <w:sz w:val="14"/>
                  <w:szCs w:val="14"/>
                  <w:color w:val="0000EE"/>
                  <w:w w:val="99"/>
                </w:rPr>
                <w:t>ATI-RRPV Project Award Agreement No. 001, dated June 13, 2024, between Vaxart</w:t>
              </w:r>
            </w:hyperlink>
          </w:p>
        </w:tc>
        <w:tc>
          <w:tcPr>
            <w:tcW w:w="900" w:type="dxa"/>
            <w:vAlign w:val="bottom"/>
            <w:gridSpan w:val="13"/>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10.3</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August 8, 2024</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60" w:type="dxa"/>
            <w:vAlign w:val="bottom"/>
            <w:tcBorders>
              <w:bottom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320">
              <w:r>
                <w:rPr>
                  <w:rFonts w:ascii="Times New Roman" w:cs="Times New Roman" w:eastAsia="Times New Roman" w:hAnsi="Times New Roman"/>
                  <w:sz w:val="14"/>
                  <w:szCs w:val="14"/>
                  <w:color w:val="0000EE"/>
                </w:rPr>
                <w:t>Biosciences Inc. and Advanced Technology International (RRPV Consortium Management</w:t>
              </w:r>
            </w:hyperlink>
          </w:p>
        </w:tc>
        <w:tc>
          <w:tcPr>
            <w:tcW w:w="52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0000EE"/>
            </w:tcBorders>
            <w:gridSpan w:val="2"/>
          </w:tcPr>
          <w:p>
            <w:pPr>
              <w:spacing w:after="0" w:line="150" w:lineRule="exact"/>
              <w:rPr>
                <w:rFonts w:ascii="Times New Roman" w:cs="Times New Roman" w:eastAsia="Times New Roman" w:hAnsi="Times New Roman"/>
                <w:sz w:val="14"/>
                <w:szCs w:val="14"/>
                <w:color w:val="0000EE"/>
                <w:w w:val="93"/>
              </w:rPr>
            </w:pPr>
            <w:hyperlink r:id="rId320">
              <w:r>
                <w:rPr>
                  <w:rFonts w:ascii="Times New Roman" w:cs="Times New Roman" w:eastAsia="Times New Roman" w:hAnsi="Times New Roman"/>
                  <w:sz w:val="14"/>
                  <w:szCs w:val="14"/>
                  <w:color w:val="0000EE"/>
                  <w:w w:val="93"/>
                </w:rPr>
                <w:t>Firm)</w:t>
              </w:r>
            </w:hyperlink>
          </w:p>
        </w:tc>
        <w:tc>
          <w:tcPr>
            <w:tcW w:w="5360" w:type="dxa"/>
            <w:vAlign w:val="bottom"/>
            <w:gridSpan w:val="27"/>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89"/>
              <w:spacing w:after="0" w:line="150" w:lineRule="exact"/>
              <w:rPr>
                <w:sz w:val="20"/>
                <w:szCs w:val="20"/>
                <w:color w:val="auto"/>
              </w:rPr>
            </w:pPr>
            <w:r>
              <w:rPr>
                <w:rFonts w:ascii="Times New Roman" w:cs="Times New Roman" w:eastAsia="Times New Roman" w:hAnsi="Times New Roman"/>
                <w:sz w:val="14"/>
                <w:szCs w:val="14"/>
                <w:color w:val="auto"/>
              </w:rPr>
              <w:t>10.52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0" w:type="dxa"/>
            <w:vAlign w:val="bottom"/>
            <w:tcBorders>
              <w:bottom w:val="single" w:sz="8" w:color="0000EE"/>
            </w:tcBorders>
            <w:gridSpan w:val="25"/>
          </w:tcPr>
          <w:p>
            <w:pPr>
              <w:spacing w:after="0" w:line="150" w:lineRule="exact"/>
              <w:rPr>
                <w:rFonts w:ascii="Times New Roman" w:cs="Times New Roman" w:eastAsia="Times New Roman" w:hAnsi="Times New Roman"/>
                <w:sz w:val="14"/>
                <w:szCs w:val="14"/>
                <w:color w:val="0000EE"/>
              </w:rPr>
            </w:pPr>
            <w:hyperlink r:id="rId321">
              <w:r>
                <w:rPr>
                  <w:rFonts w:ascii="Times New Roman" w:cs="Times New Roman" w:eastAsia="Times New Roman" w:hAnsi="Times New Roman"/>
                  <w:sz w:val="14"/>
                  <w:szCs w:val="14"/>
                  <w:color w:val="0000EE"/>
                </w:rPr>
                <w:t>Modification No. 3, dated September 27, 2024, to the ATI-RRPV Project Award Agreement</w:t>
              </w:r>
            </w:hyperlink>
          </w:p>
        </w:tc>
        <w:tc>
          <w:tcPr>
            <w:tcW w:w="480" w:type="dxa"/>
            <w:vAlign w:val="bottom"/>
            <w:gridSpan w:val="4"/>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10.3</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November 13, 2024</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1">
              <w:r>
                <w:rPr>
                  <w:rFonts w:ascii="Times New Roman" w:cs="Times New Roman" w:eastAsia="Times New Roman" w:hAnsi="Times New Roman"/>
                  <w:sz w:val="14"/>
                  <w:szCs w:val="14"/>
                  <w:color w:val="0000EE"/>
                </w:rPr>
                <w:t>No. 001, dated June 13, 2024, between Vaxart Biosciences Inc. and Advanced Technology</w:t>
              </w:r>
            </w:hyperlink>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Borders>
              <w:top w:val="single" w:sz="8" w:color="0000EE"/>
              <w:bottom w:val="single" w:sz="8" w:color="0000EE"/>
            </w:tcBorders>
            <w:gridSpan w:val="9"/>
          </w:tcPr>
          <w:p>
            <w:pPr>
              <w:spacing w:after="0" w:line="150" w:lineRule="exact"/>
              <w:rPr>
                <w:rFonts w:ascii="Times New Roman" w:cs="Times New Roman" w:eastAsia="Times New Roman" w:hAnsi="Times New Roman"/>
                <w:sz w:val="14"/>
                <w:szCs w:val="14"/>
                <w:color w:val="0000EE"/>
              </w:rPr>
            </w:pPr>
            <w:hyperlink r:id="rId321">
              <w:r>
                <w:rPr>
                  <w:rFonts w:ascii="Times New Roman" w:cs="Times New Roman" w:eastAsia="Times New Roman" w:hAnsi="Times New Roman"/>
                  <w:sz w:val="14"/>
                  <w:szCs w:val="14"/>
                  <w:color w:val="0000EE"/>
                </w:rPr>
                <w:t>International (RRPV Consortium Management Firm)</w:t>
              </w:r>
            </w:hyperlink>
          </w:p>
        </w:tc>
        <w:tc>
          <w:tcPr>
            <w:tcW w:w="2100" w:type="dxa"/>
            <w:vAlign w:val="bottom"/>
            <w:tcBorders>
              <w:top w:val="single" w:sz="8" w:color="0000EE"/>
            </w:tcBorders>
            <w:gridSpan w:val="12"/>
          </w:tcPr>
          <w:p>
            <w:pPr>
              <w:spacing w:after="0"/>
              <w:rPr>
                <w:sz w:val="13"/>
                <w:szCs w:val="13"/>
                <w:color w:val="auto"/>
              </w:rPr>
            </w:pPr>
          </w:p>
        </w:tc>
        <w:tc>
          <w:tcPr>
            <w:tcW w:w="580" w:type="dxa"/>
            <w:vAlign w:val="bottom"/>
            <w:gridSpan w:val="8"/>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89"/>
              <w:spacing w:after="0" w:line="150" w:lineRule="exact"/>
              <w:rPr>
                <w:sz w:val="20"/>
                <w:szCs w:val="20"/>
                <w:color w:val="auto"/>
              </w:rPr>
            </w:pPr>
            <w:r>
              <w:rPr>
                <w:rFonts w:ascii="Times New Roman" w:cs="Times New Roman" w:eastAsia="Times New Roman" w:hAnsi="Times New Roman"/>
                <w:sz w:val="14"/>
                <w:szCs w:val="14"/>
                <w:color w:val="auto"/>
              </w:rPr>
              <w:t>10.53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2">
              <w:r>
                <w:rPr>
                  <w:rFonts w:ascii="Times New Roman" w:cs="Times New Roman" w:eastAsia="Times New Roman" w:hAnsi="Times New Roman"/>
                  <w:sz w:val="14"/>
                  <w:szCs w:val="14"/>
                  <w:color w:val="0000EE"/>
                </w:rPr>
                <w:t>Modification No. 4, dated December 20, 2024, to the ATI-RRPV Project Award Agreement</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10.53</w:t>
            </w:r>
          </w:p>
        </w:tc>
        <w:tc>
          <w:tcPr>
            <w:tcW w:w="1380" w:type="dxa"/>
            <w:vAlign w:val="bottom"/>
          </w:tcPr>
          <w:p>
            <w:pPr>
              <w:jc w:val="center"/>
              <w:ind w:left="169"/>
              <w:spacing w:after="0" w:line="150" w:lineRule="exact"/>
              <w:rPr>
                <w:sz w:val="20"/>
                <w:szCs w:val="20"/>
                <w:color w:val="auto"/>
              </w:rPr>
            </w:pPr>
            <w:r>
              <w:rPr>
                <w:rFonts w:ascii="Times New Roman" w:cs="Times New Roman" w:eastAsia="Times New Roman" w:hAnsi="Times New Roman"/>
                <w:sz w:val="14"/>
                <w:szCs w:val="14"/>
                <w:color w:val="auto"/>
              </w:rPr>
              <w:t>March 20, 2025</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60" w:type="dxa"/>
            <w:vAlign w:val="bottom"/>
            <w:tcBorders>
              <w:top w:val="single" w:sz="8" w:color="0000EE"/>
            </w:tcBorders>
            <w:gridSpan w:val="23"/>
          </w:tcPr>
          <w:p>
            <w:pPr>
              <w:spacing w:after="0" w:line="150" w:lineRule="exact"/>
              <w:rPr>
                <w:rFonts w:ascii="Times New Roman" w:cs="Times New Roman" w:eastAsia="Times New Roman" w:hAnsi="Times New Roman"/>
                <w:sz w:val="14"/>
                <w:szCs w:val="14"/>
                <w:color w:val="0000EE"/>
              </w:rPr>
            </w:pPr>
            <w:hyperlink r:id="rId322">
              <w:r>
                <w:rPr>
                  <w:rFonts w:ascii="Times New Roman" w:cs="Times New Roman" w:eastAsia="Times New Roman" w:hAnsi="Times New Roman"/>
                  <w:sz w:val="14"/>
                  <w:szCs w:val="14"/>
                  <w:color w:val="0000EE"/>
                </w:rPr>
                <w:t>No. 001, dated June 13, 2024, between Vaxart Biosciences Inc. and Advanced Technology</w:t>
              </w:r>
            </w:hyperlink>
          </w:p>
        </w:tc>
        <w:tc>
          <w:tcPr>
            <w:tcW w:w="520" w:type="dxa"/>
            <w:vAlign w:val="bottom"/>
            <w:gridSpan w:val="6"/>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Borders>
              <w:top w:val="single" w:sz="8" w:color="0000EE"/>
              <w:bottom w:val="single" w:sz="8" w:color="0000EE"/>
            </w:tcBorders>
            <w:gridSpan w:val="9"/>
          </w:tcPr>
          <w:p>
            <w:pPr>
              <w:spacing w:after="0" w:line="150" w:lineRule="exact"/>
              <w:rPr>
                <w:rFonts w:ascii="Times New Roman" w:cs="Times New Roman" w:eastAsia="Times New Roman" w:hAnsi="Times New Roman"/>
                <w:sz w:val="14"/>
                <w:szCs w:val="14"/>
                <w:color w:val="0000EE"/>
              </w:rPr>
            </w:pPr>
            <w:hyperlink r:id="rId322">
              <w:r>
                <w:rPr>
                  <w:rFonts w:ascii="Times New Roman" w:cs="Times New Roman" w:eastAsia="Times New Roman" w:hAnsi="Times New Roman"/>
                  <w:sz w:val="14"/>
                  <w:szCs w:val="14"/>
                  <w:color w:val="0000EE"/>
                </w:rPr>
                <w:t>International (RRPV Consortium Management Firm)</w:t>
              </w:r>
            </w:hyperlink>
          </w:p>
        </w:tc>
        <w:tc>
          <w:tcPr>
            <w:tcW w:w="2100" w:type="dxa"/>
            <w:vAlign w:val="bottom"/>
            <w:tcBorders>
              <w:top w:val="single" w:sz="8" w:color="0000EE"/>
            </w:tcBorders>
            <w:gridSpan w:val="12"/>
          </w:tcPr>
          <w:p>
            <w:pPr>
              <w:spacing w:after="0"/>
              <w:rPr>
                <w:sz w:val="13"/>
                <w:szCs w:val="13"/>
                <w:color w:val="auto"/>
              </w:rPr>
            </w:pPr>
          </w:p>
        </w:tc>
        <w:tc>
          <w:tcPr>
            <w:tcW w:w="580" w:type="dxa"/>
            <w:vAlign w:val="bottom"/>
            <w:gridSpan w:val="8"/>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89"/>
              <w:spacing w:after="0" w:line="150" w:lineRule="exact"/>
              <w:rPr>
                <w:sz w:val="20"/>
                <w:szCs w:val="20"/>
                <w:color w:val="auto"/>
              </w:rPr>
            </w:pPr>
            <w:r>
              <w:rPr>
                <w:rFonts w:ascii="Times New Roman" w:cs="Times New Roman" w:eastAsia="Times New Roman" w:hAnsi="Times New Roman"/>
                <w:sz w:val="14"/>
                <w:szCs w:val="14"/>
                <w:color w:val="auto"/>
              </w:rPr>
              <w:t>10.54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3">
              <w:r>
                <w:rPr>
                  <w:rFonts w:ascii="Times New Roman" w:cs="Times New Roman" w:eastAsia="Times New Roman" w:hAnsi="Times New Roman"/>
                  <w:sz w:val="14"/>
                  <w:szCs w:val="14"/>
                  <w:color w:val="0000EE"/>
                </w:rPr>
                <w:t>Modification No. 5, dated February 7, 2025, to the ATI-RRPV Project Award Agreement No.</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February 10, 2025</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60" w:type="dxa"/>
            <w:vAlign w:val="bottom"/>
            <w:tcBorders>
              <w:top w:val="single" w:sz="8" w:color="0000EE"/>
              <w:bottom w:val="single" w:sz="8" w:color="0000EE"/>
            </w:tcBorders>
            <w:gridSpan w:val="17"/>
          </w:tcPr>
          <w:p>
            <w:pPr>
              <w:spacing w:after="0" w:line="150" w:lineRule="exact"/>
              <w:rPr>
                <w:rFonts w:ascii="Times New Roman" w:cs="Times New Roman" w:eastAsia="Times New Roman" w:hAnsi="Times New Roman"/>
                <w:sz w:val="14"/>
                <w:szCs w:val="14"/>
                <w:color w:val="0000EE"/>
                <w:w w:val="99"/>
              </w:rPr>
            </w:pPr>
            <w:hyperlink r:id="rId323">
              <w:r>
                <w:rPr>
                  <w:rFonts w:ascii="Times New Roman" w:cs="Times New Roman" w:eastAsia="Times New Roman" w:hAnsi="Times New Roman"/>
                  <w:sz w:val="14"/>
                  <w:szCs w:val="14"/>
                  <w:color w:val="0000EE"/>
                  <w:w w:val="99"/>
                </w:rPr>
                <w:t>001, dated June 13, 2024, between Vaxart Biosciences Inc. and Advanced Technology</w:t>
              </w:r>
            </w:hyperlink>
          </w:p>
        </w:tc>
        <w:tc>
          <w:tcPr>
            <w:tcW w:w="400" w:type="dxa"/>
            <w:vAlign w:val="bottom"/>
            <w:tcBorders>
              <w:top w:val="single" w:sz="8" w:color="0000EE"/>
            </w:tcBorders>
            <w:gridSpan w:val="10"/>
          </w:tcPr>
          <w:p>
            <w:pPr>
              <w:spacing w:after="0"/>
              <w:rPr>
                <w:sz w:val="13"/>
                <w:szCs w:val="13"/>
                <w:color w:val="auto"/>
              </w:rPr>
            </w:pPr>
          </w:p>
        </w:tc>
        <w:tc>
          <w:tcPr>
            <w:tcW w:w="420" w:type="dxa"/>
            <w:vAlign w:val="bottom"/>
            <w:gridSpan w:val="2"/>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0" w:type="dxa"/>
            <w:vAlign w:val="bottom"/>
            <w:tcBorders>
              <w:bottom w:val="single" w:sz="8" w:color="0000EE"/>
            </w:tcBorders>
            <w:gridSpan w:val="9"/>
          </w:tcPr>
          <w:p>
            <w:pPr>
              <w:spacing w:after="0" w:line="150" w:lineRule="exact"/>
              <w:rPr>
                <w:rFonts w:ascii="Times New Roman" w:cs="Times New Roman" w:eastAsia="Times New Roman" w:hAnsi="Times New Roman"/>
                <w:sz w:val="14"/>
                <w:szCs w:val="14"/>
                <w:color w:val="0000EE"/>
              </w:rPr>
            </w:pPr>
            <w:hyperlink r:id="rId323">
              <w:r>
                <w:rPr>
                  <w:rFonts w:ascii="Times New Roman" w:cs="Times New Roman" w:eastAsia="Times New Roman" w:hAnsi="Times New Roman"/>
                  <w:sz w:val="14"/>
                  <w:szCs w:val="14"/>
                  <w:color w:val="0000EE"/>
                </w:rPr>
                <w:t>International (RRPV Consortium Management Firm)</w:t>
              </w:r>
            </w:hyperlink>
          </w:p>
        </w:tc>
        <w:tc>
          <w:tcPr>
            <w:tcW w:w="2680" w:type="dxa"/>
            <w:vAlign w:val="bottom"/>
            <w:gridSpan w:val="20"/>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10.55</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4">
              <w:r>
                <w:rPr>
                  <w:rFonts w:ascii="Times New Roman" w:cs="Times New Roman" w:eastAsia="Times New Roman" w:hAnsi="Times New Roman"/>
                  <w:sz w:val="14"/>
                  <w:szCs w:val="14"/>
                  <w:color w:val="0000EE"/>
                </w:rPr>
                <w:t>Exclusive License and Collaboration Agreement, dated November 4, 2025, between Vaxart,</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November 13, 2025</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40" w:type="dxa"/>
            <w:vAlign w:val="bottom"/>
            <w:tcBorders>
              <w:top w:val="single" w:sz="8" w:color="0000EE"/>
              <w:bottom w:val="single" w:sz="8" w:color="0000EE"/>
            </w:tcBorders>
            <w:gridSpan w:val="8"/>
          </w:tcPr>
          <w:p>
            <w:pPr>
              <w:spacing w:after="0" w:line="150" w:lineRule="exact"/>
              <w:rPr>
                <w:rFonts w:ascii="Times New Roman" w:cs="Times New Roman" w:eastAsia="Times New Roman" w:hAnsi="Times New Roman"/>
                <w:sz w:val="14"/>
                <w:szCs w:val="14"/>
                <w:color w:val="0000EE"/>
                <w:w w:val="99"/>
              </w:rPr>
            </w:pPr>
            <w:hyperlink r:id="rId324">
              <w:r>
                <w:rPr>
                  <w:rFonts w:ascii="Times New Roman" w:cs="Times New Roman" w:eastAsia="Times New Roman" w:hAnsi="Times New Roman"/>
                  <w:sz w:val="14"/>
                  <w:szCs w:val="14"/>
                  <w:color w:val="0000EE"/>
                  <w:w w:val="99"/>
                </w:rPr>
                <w:t>Inc. and Dynavax Technologies Corporation.</w:t>
              </w:r>
            </w:hyperlink>
          </w:p>
        </w:tc>
        <w:tc>
          <w:tcPr>
            <w:tcW w:w="2640" w:type="dxa"/>
            <w:vAlign w:val="bottom"/>
            <w:tcBorders>
              <w:top w:val="single" w:sz="8" w:color="0000EE"/>
            </w:tcBorders>
            <w:gridSpan w:val="16"/>
          </w:tcPr>
          <w:p>
            <w:pPr>
              <w:spacing w:after="0"/>
              <w:rPr>
                <w:sz w:val="13"/>
                <w:szCs w:val="13"/>
                <w:color w:val="auto"/>
              </w:rPr>
            </w:pPr>
          </w:p>
        </w:tc>
        <w:tc>
          <w:tcPr>
            <w:tcW w:w="50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10.56</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5">
              <w:r>
                <w:rPr>
                  <w:rFonts w:ascii="Times New Roman" w:cs="Times New Roman" w:eastAsia="Times New Roman" w:hAnsi="Times New Roman"/>
                  <w:sz w:val="14"/>
                  <w:szCs w:val="14"/>
                  <w:color w:val="0000EE"/>
                </w:rPr>
                <w:t>Securities Purchase Agreement, dated November 4, 2025, between Vaxart, Inc. and Dynavax</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10-Q</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November 13, 2025</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4"/>
          </w:tcPr>
          <w:p>
            <w:pPr>
              <w:spacing w:after="0" w:line="150" w:lineRule="exact"/>
              <w:rPr>
                <w:rFonts w:ascii="Times New Roman" w:cs="Times New Roman" w:eastAsia="Times New Roman" w:hAnsi="Times New Roman"/>
                <w:sz w:val="14"/>
                <w:szCs w:val="14"/>
                <w:color w:val="0000EE"/>
                <w:w w:val="98"/>
              </w:rPr>
            </w:pPr>
            <w:hyperlink r:id="rId325">
              <w:r>
                <w:rPr>
                  <w:rFonts w:ascii="Times New Roman" w:cs="Times New Roman" w:eastAsia="Times New Roman" w:hAnsi="Times New Roman"/>
                  <w:sz w:val="14"/>
                  <w:szCs w:val="14"/>
                  <w:color w:val="0000EE"/>
                  <w:w w:val="98"/>
                </w:rPr>
                <w:t>Technologies Corporation.</w:t>
              </w:r>
            </w:hyperlink>
          </w:p>
        </w:tc>
        <w:tc>
          <w:tcPr>
            <w:tcW w:w="3740" w:type="dxa"/>
            <w:vAlign w:val="bottom"/>
            <w:tcBorders>
              <w:top w:val="single" w:sz="8" w:color="0000EE"/>
            </w:tcBorders>
            <w:gridSpan w:val="22"/>
          </w:tcPr>
          <w:p>
            <w:pPr>
              <w:spacing w:after="0"/>
              <w:rPr>
                <w:sz w:val="13"/>
                <w:szCs w:val="13"/>
                <w:color w:val="auto"/>
              </w:rPr>
            </w:pPr>
          </w:p>
        </w:tc>
        <w:tc>
          <w:tcPr>
            <w:tcW w:w="440" w:type="dxa"/>
            <w:vAlign w:val="bottom"/>
            <w:gridSpan w:val="3"/>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10.57*</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120" w:type="dxa"/>
            <w:vAlign w:val="bottom"/>
            <w:tcBorders>
              <w:bottom w:val="single" w:sz="8" w:color="0000EE"/>
            </w:tcBorders>
            <w:gridSpan w:val="22"/>
          </w:tcPr>
          <w:p>
            <w:pPr>
              <w:spacing w:after="0" w:line="150" w:lineRule="exact"/>
              <w:rPr>
                <w:rFonts w:ascii="Times New Roman" w:cs="Times New Roman" w:eastAsia="Times New Roman" w:hAnsi="Times New Roman"/>
                <w:sz w:val="14"/>
                <w:szCs w:val="14"/>
                <w:color w:val="0000EE"/>
                <w:w w:val="99"/>
              </w:rPr>
            </w:pPr>
            <w:hyperlink r:id="rId326">
              <w:r>
                <w:rPr>
                  <w:rFonts w:ascii="Times New Roman" w:cs="Times New Roman" w:eastAsia="Times New Roman" w:hAnsi="Times New Roman"/>
                  <w:sz w:val="14"/>
                  <w:szCs w:val="14"/>
                  <w:color w:val="0000EE"/>
                  <w:w w:val="99"/>
                </w:rPr>
                <w:t>Lease Termination Agreement, dated December 18, 2025, by and between Vaxart, Inc. and</w:t>
              </w:r>
            </w:hyperlink>
          </w:p>
        </w:tc>
        <w:tc>
          <w:tcPr>
            <w:tcW w:w="560" w:type="dxa"/>
            <w:vAlign w:val="bottom"/>
            <w:gridSpan w:val="7"/>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10-K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10.57</w:t>
            </w:r>
          </w:p>
        </w:tc>
        <w:tc>
          <w:tcPr>
            <w:tcW w:w="1380" w:type="dxa"/>
            <w:vAlign w:val="bottom"/>
          </w:tcPr>
          <w:p>
            <w:pPr>
              <w:jc w:val="center"/>
              <w:ind w:left="169"/>
              <w:spacing w:after="0" w:line="150" w:lineRule="exact"/>
              <w:rPr>
                <w:sz w:val="20"/>
                <w:szCs w:val="20"/>
                <w:color w:val="auto"/>
              </w:rPr>
            </w:pPr>
            <w:r>
              <w:rPr>
                <w:rFonts w:ascii="Times New Roman" w:cs="Times New Roman" w:eastAsia="Times New Roman" w:hAnsi="Times New Roman"/>
                <w:sz w:val="14"/>
                <w:szCs w:val="14"/>
                <w:color w:val="auto"/>
              </w:rPr>
              <w:t>March 13, 2026</w:t>
            </w:r>
          </w:p>
        </w:tc>
      </w:tr>
      <w:tr>
        <w:trPr>
          <w:trHeight w:val="150"/>
        </w:trPr>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6">
              <w:r>
                <w:rPr>
                  <w:rFonts w:ascii="Times New Roman" w:cs="Times New Roman" w:eastAsia="Times New Roman" w:hAnsi="Times New Roman"/>
                  <w:sz w:val="14"/>
                  <w:szCs w:val="14"/>
                  <w:color w:val="0000EE"/>
                </w:rPr>
                <w:t>Britannia Pointe Grand Limited Partnership.</w:t>
              </w:r>
            </w:hyperlink>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20" w:type="dxa"/>
            <w:vAlign w:val="bottom"/>
            <w:gridSpan w:val="6"/>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10.58*</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rFonts w:ascii="Times New Roman" w:cs="Times New Roman" w:eastAsia="Times New Roman" w:hAnsi="Times New Roman"/>
                <w:sz w:val="14"/>
                <w:szCs w:val="14"/>
                <w:color w:val="0000EE"/>
              </w:rPr>
            </w:pPr>
            <w:hyperlink r:id="rId327">
              <w:r>
                <w:rPr>
                  <w:rFonts w:ascii="Times New Roman" w:cs="Times New Roman" w:eastAsia="Times New Roman" w:hAnsi="Times New Roman"/>
                  <w:sz w:val="14"/>
                  <w:szCs w:val="14"/>
                  <w:color w:val="0000EE"/>
                </w:rPr>
                <w:t>Purchase Agreement by and between the Company and Lincoln Park, dated April 16, 2026</w:t>
              </w:r>
            </w:hyperlink>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10.1</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April 17, 2026</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10.59*</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0" w:type="dxa"/>
            <w:vAlign w:val="bottom"/>
            <w:tcBorders>
              <w:bottom w:val="single" w:sz="8" w:color="0000EE"/>
            </w:tcBorders>
            <w:gridSpan w:val="28"/>
          </w:tcPr>
          <w:p>
            <w:pPr>
              <w:spacing w:after="0" w:line="150" w:lineRule="exact"/>
              <w:rPr>
                <w:rFonts w:ascii="Times New Roman" w:cs="Times New Roman" w:eastAsia="Times New Roman" w:hAnsi="Times New Roman"/>
                <w:sz w:val="14"/>
                <w:szCs w:val="14"/>
                <w:color w:val="0000EE"/>
              </w:rPr>
            </w:pPr>
            <w:hyperlink r:id="rId328">
              <w:r>
                <w:rPr>
                  <w:rFonts w:ascii="Times New Roman" w:cs="Times New Roman" w:eastAsia="Times New Roman" w:hAnsi="Times New Roman"/>
                  <w:sz w:val="14"/>
                  <w:szCs w:val="14"/>
                  <w:color w:val="0000EE"/>
                </w:rPr>
                <w:t>Registration Rights Agreement by and between the Company and Lincoln Park, dated April 16,</w:t>
              </w:r>
            </w:hyperlink>
          </w:p>
        </w:tc>
        <w:tc>
          <w:tcPr>
            <w:tcW w:w="280" w:type="dxa"/>
            <w:vAlign w:val="bottom"/>
          </w:tcPr>
          <w:p>
            <w:pPr>
              <w:spacing w:after="0"/>
              <w:rPr>
                <w:sz w:val="13"/>
                <w:szCs w:val="13"/>
                <w:color w:val="auto"/>
              </w:rPr>
            </w:pPr>
          </w:p>
        </w:tc>
        <w:tc>
          <w:tcPr>
            <w:tcW w:w="920" w:type="dxa"/>
            <w:vAlign w:val="bottom"/>
          </w:tcPr>
          <w:p>
            <w:pPr>
              <w:jc w:val="center"/>
              <w:ind w:right="29"/>
              <w:spacing w:after="0" w:line="150" w:lineRule="exact"/>
              <w:rPr>
                <w:sz w:val="20"/>
                <w:szCs w:val="20"/>
                <w:color w:val="auto"/>
              </w:rPr>
            </w:pPr>
            <w:r>
              <w:rPr>
                <w:rFonts w:ascii="Times New Roman" w:cs="Times New Roman" w:eastAsia="Times New Roman" w:hAnsi="Times New Roman"/>
                <w:sz w:val="14"/>
                <w:szCs w:val="14"/>
                <w:color w:val="auto"/>
              </w:rPr>
              <w:t>8-K</w:t>
            </w:r>
          </w:p>
        </w:tc>
        <w:tc>
          <w:tcPr>
            <w:tcW w:w="1240" w:type="dxa"/>
            <w:vAlign w:val="bottom"/>
          </w:tcPr>
          <w:p>
            <w:pPr>
              <w:jc w:val="right"/>
              <w:ind w:right="169"/>
              <w:spacing w:after="0" w:line="150" w:lineRule="exact"/>
              <w:rPr>
                <w:sz w:val="20"/>
                <w:szCs w:val="20"/>
                <w:color w:val="auto"/>
              </w:rPr>
            </w:pPr>
            <w:r>
              <w:rPr>
                <w:rFonts w:ascii="Times New Roman" w:cs="Times New Roman" w:eastAsia="Times New Roman" w:hAnsi="Times New Roman"/>
                <w:sz w:val="14"/>
                <w:szCs w:val="14"/>
                <w:color w:val="auto"/>
              </w:rPr>
              <w:t>001-35285</w:t>
            </w: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10.2</w:t>
            </w:r>
          </w:p>
        </w:tc>
        <w:tc>
          <w:tcPr>
            <w:tcW w:w="1380" w:type="dxa"/>
            <w:vAlign w:val="bottom"/>
          </w:tcPr>
          <w:p>
            <w:pPr>
              <w:jc w:val="center"/>
              <w:ind w:left="189"/>
              <w:spacing w:after="0" w:line="150" w:lineRule="exact"/>
              <w:rPr>
                <w:sz w:val="20"/>
                <w:szCs w:val="20"/>
                <w:color w:val="auto"/>
              </w:rPr>
            </w:pPr>
            <w:r>
              <w:rPr>
                <w:rFonts w:ascii="Times New Roman" w:cs="Times New Roman" w:eastAsia="Times New Roman" w:hAnsi="Times New Roman"/>
                <w:sz w:val="14"/>
                <w:szCs w:val="14"/>
                <w:color w:val="auto"/>
              </w:rPr>
              <w:t>April 17, 2026</w:t>
            </w:r>
          </w:p>
        </w:tc>
      </w:tr>
      <w:tr>
        <w:trPr>
          <w:trHeight w:val="150"/>
        </w:trPr>
        <w:tc>
          <w:tcPr>
            <w:tcW w:w="780" w:type="dxa"/>
            <w:vAlign w:val="bottom"/>
          </w:tcPr>
          <w:p>
            <w:pPr>
              <w:spacing w:after="0"/>
              <w:rPr>
                <w:sz w:val="13"/>
                <w:szCs w:val="13"/>
                <w:color w:val="auto"/>
              </w:rPr>
            </w:pPr>
          </w:p>
        </w:tc>
        <w:tc>
          <w:tcPr>
            <w:tcW w:w="540" w:type="dxa"/>
            <w:vAlign w:val="bottom"/>
            <w:gridSpan w:val="3"/>
          </w:tcPr>
          <w:p>
            <w:pPr>
              <w:ind w:left="260"/>
              <w:spacing w:after="0" w:line="150" w:lineRule="exact"/>
              <w:rPr>
                <w:rFonts w:ascii="Times New Roman" w:cs="Times New Roman" w:eastAsia="Times New Roman" w:hAnsi="Times New Roman"/>
                <w:sz w:val="14"/>
                <w:szCs w:val="14"/>
                <w:color w:val="0000EE"/>
                <w:w w:val="92"/>
              </w:rPr>
            </w:pPr>
            <w:hyperlink r:id="rId328">
              <w:r>
                <w:rPr>
                  <w:rFonts w:ascii="Times New Roman" w:cs="Times New Roman" w:eastAsia="Times New Roman" w:hAnsi="Times New Roman"/>
                  <w:sz w:val="14"/>
                  <w:szCs w:val="14"/>
                  <w:color w:val="0000EE"/>
                  <w:w w:val="92"/>
                </w:rPr>
                <w:t>2026</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98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20" w:type="dxa"/>
            <w:vAlign w:val="bottom"/>
            <w:gridSpan w:val="6"/>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23.1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60" w:type="dxa"/>
            <w:vAlign w:val="bottom"/>
            <w:tcBorders>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rPr>
              <w:t>Consent of WithumSmith+Brown, PC, Independent Registered Public Accounting Firm</w:t>
            </w:r>
          </w:p>
        </w:tc>
        <w:tc>
          <w:tcPr>
            <w:tcW w:w="720" w:type="dxa"/>
            <w:vAlign w:val="bottom"/>
            <w:gridSpan w:val="10"/>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23.2*</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sz w:val="20"/>
                <w:szCs w:val="20"/>
                <w:color w:val="auto"/>
              </w:rPr>
            </w:pPr>
            <w:r>
              <w:rPr>
                <w:rFonts w:ascii="Times New Roman" w:cs="Times New Roman" w:eastAsia="Times New Roman" w:hAnsi="Times New Roman"/>
                <w:sz w:val="14"/>
                <w:szCs w:val="14"/>
                <w:color w:val="0000EE"/>
              </w:rPr>
              <w:t>Consent of Thomspon Hine LLP (included in Exhibit 5.1)</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60" w:type="dxa"/>
            <w:vAlign w:val="bottom"/>
            <w:gridSpan w:val="11"/>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50"/>
        </w:trPr>
        <w:tc>
          <w:tcPr>
            <w:tcW w:w="780" w:type="dxa"/>
            <w:vAlign w:val="bottom"/>
          </w:tcPr>
          <w:p>
            <w:pPr>
              <w:jc w:val="center"/>
              <w:ind w:left="69"/>
              <w:spacing w:after="0" w:line="150" w:lineRule="exact"/>
              <w:rPr>
                <w:sz w:val="20"/>
                <w:szCs w:val="20"/>
                <w:color w:val="auto"/>
              </w:rPr>
            </w:pPr>
            <w:r>
              <w:rPr>
                <w:rFonts w:ascii="Times New Roman" w:cs="Times New Roman" w:eastAsia="Times New Roman" w:hAnsi="Times New Roman"/>
                <w:sz w:val="14"/>
                <w:szCs w:val="14"/>
                <w:color w:val="auto"/>
              </w:rPr>
              <w:t>24.1 *</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80" w:type="dxa"/>
            <w:vAlign w:val="bottom"/>
            <w:gridSpan w:val="29"/>
          </w:tcPr>
          <w:p>
            <w:pPr>
              <w:spacing w:after="0" w:line="150" w:lineRule="exact"/>
              <w:rPr>
                <w:sz w:val="20"/>
                <w:szCs w:val="20"/>
                <w:color w:val="auto"/>
              </w:rPr>
            </w:pPr>
            <w:r>
              <w:rPr>
                <w:rFonts w:ascii="Times New Roman" w:cs="Times New Roman" w:eastAsia="Times New Roman" w:hAnsi="Times New Roman"/>
                <w:sz w:val="14"/>
                <w:szCs w:val="14"/>
                <w:color w:val="0000EE"/>
              </w:rPr>
              <w:t>Power of Attorney. Reference is made to the signature page hereto</w:t>
            </w: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740" w:type="dxa"/>
            <w:vAlign w:val="bottom"/>
            <w:gridSpan w:val="13"/>
            <w:shd w:val="clear" w:color="auto" w:fill="0000EE"/>
          </w:tcPr>
          <w:p>
            <w:pPr>
              <w:spacing w:after="0" w:line="20" w:lineRule="exact"/>
              <w:rPr>
                <w:sz w:val="1"/>
                <w:szCs w:val="1"/>
                <w:color w:val="auto"/>
              </w:rPr>
            </w:pPr>
          </w:p>
        </w:tc>
        <w:tc>
          <w:tcPr>
            <w:tcW w:w="194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67"/>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940" w:type="dxa"/>
            <w:vAlign w:val="bottom"/>
            <w:gridSpan w:val="31"/>
          </w:tcPr>
          <w:p>
            <w:pPr>
              <w:ind w:left="120"/>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84"/>
        </w:trPr>
        <w:tc>
          <w:tcPr>
            <w:tcW w:w="672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101.SCH Inline XBRL Taxonomy Extension Schema Document.</w:t>
            </w:r>
          </w:p>
        </w:tc>
        <w:tc>
          <w:tcPr>
            <w:tcW w:w="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80" w:type="dxa"/>
            <w:vAlign w:val="bottom"/>
          </w:tcPr>
          <w:p>
            <w:pPr>
              <w:spacing w:after="0"/>
              <w:rPr>
                <w:sz w:val="15"/>
                <w:szCs w:val="15"/>
                <w:color w:val="auto"/>
              </w:rPr>
            </w:pPr>
          </w:p>
        </w:tc>
      </w:tr>
    </w:tbl>
    <w:p>
      <w:pPr>
        <w:spacing w:after="0" w:line="1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60"/>
          </w:cols>
          <w:pgMar w:left="300" w:top="117" w:right="5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101.CALInline XBRL Taxonomy Extension Calculation Linkbase Document.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101.DEF Inline XBRL Taxonomy Extension Definition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101.LAB Inline XBRL Taxonomy Extension Label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101.PRE Inline XBRL Taxonomy Extension Presentation Linkbase Document.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 Cover Page Interactive Data File (embedded within the Inline XBRL document)</w:t>
      </w:r>
    </w:p>
    <w:p>
      <w:pPr>
        <w:spacing w:after="0" w:line="9" w:lineRule="exact"/>
        <w:rPr>
          <w:sz w:val="20"/>
          <w:szCs w:val="20"/>
          <w:color w:val="auto"/>
        </w:rPr>
      </w:pPr>
    </w:p>
    <w:p>
      <w:pPr>
        <w:ind w:left="420" w:hanging="415"/>
        <w:spacing w:after="0"/>
        <w:tabs>
          <w:tab w:leader="none" w:pos="4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EE"/>
        </w:rPr>
        <w:t>Calculation of Filing Fee Table</w:t>
      </w:r>
    </w:p>
    <w:p>
      <w:pPr>
        <w:spacing w:after="0" w:line="164" w:lineRule="exact"/>
        <w:rPr>
          <w:sz w:val="20"/>
          <w:szCs w:val="20"/>
          <w:color w:val="auto"/>
        </w:rPr>
      </w:pPr>
    </w:p>
    <w:p>
      <w:pPr>
        <w:ind w:left="520" w:hanging="515"/>
        <w:spacing w:after="0"/>
        <w:tabs>
          <w:tab w:leader="none" w:pos="520" w:val="left"/>
        </w:tabs>
        <w:numPr>
          <w:ilvl w:val="0"/>
          <w:numId w:val="10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Filed herewith</w:t>
      </w:r>
    </w:p>
    <w:p>
      <w:pPr>
        <w:spacing w:after="0" w:line="178" w:lineRule="exact"/>
        <w:rPr>
          <w:sz w:val="20"/>
          <w:szCs w:val="20"/>
          <w:color w:val="auto"/>
        </w:rPr>
      </w:pPr>
    </w:p>
    <w:p>
      <w:pPr>
        <w:ind w:left="520" w:hanging="515"/>
        <w:spacing w:after="0"/>
        <w:tabs>
          <w:tab w:leader="none" w:pos="520" w:val="left"/>
        </w:tabs>
        <w:numPr>
          <w:ilvl w:val="0"/>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Management contract or compensation plan or arrangement</w:t>
      </w:r>
    </w:p>
    <w:p>
      <w:pPr>
        <w:spacing w:after="0" w:line="178" w:lineRule="exact"/>
        <w:rPr>
          <w:sz w:val="20"/>
          <w:szCs w:val="20"/>
          <w:color w:val="auto"/>
        </w:rPr>
      </w:pPr>
    </w:p>
    <w:p>
      <w:pPr>
        <w:ind w:left="520" w:right="520" w:hanging="515"/>
        <w:spacing w:after="0" w:line="286" w:lineRule="auto"/>
        <w:tabs>
          <w:tab w:leader="none" w:pos="520" w:val="left"/>
        </w:tabs>
        <w:numPr>
          <w:ilvl w:val="0"/>
          <w:numId w:val="1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Confidential portions of this exhibit have been omitted and filed separately with the Commission pursuant to confidential treatment granted under Rule 24b-2 promulgated under the Exchange Act</w:t>
      </w:r>
    </w:p>
    <w:p>
      <w:pPr>
        <w:spacing w:after="0" w:line="125" w:lineRule="exact"/>
        <w:rPr>
          <w:sz w:val="20"/>
          <w:szCs w:val="20"/>
          <w:color w:val="auto"/>
        </w:rPr>
      </w:pPr>
    </w:p>
    <w:p>
      <w:pPr>
        <w:ind w:left="520" w:right="80" w:hanging="515"/>
        <w:spacing w:after="0" w:line="286" w:lineRule="auto"/>
        <w:tabs>
          <w:tab w:leader="none" w:pos="5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601(b)(10) of Regulation S-K, certain confidential portions of this exhibit have been omitted as (i) the Company has determined the omitted information is not material and (ii) the Company customarily and actually treats the omitted information as private or confidential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hereby undertake:</w:t>
      </w:r>
    </w:p>
    <w:p>
      <w:pPr>
        <w:spacing w:after="0" w:line="178" w:lineRule="exact"/>
        <w:rPr>
          <w:sz w:val="20"/>
          <w:szCs w:val="20"/>
          <w:color w:val="auto"/>
        </w:rPr>
      </w:pPr>
    </w:p>
    <w:p>
      <w:pPr>
        <w:ind w:left="200" w:hanging="195"/>
        <w:spacing w:after="0"/>
        <w:tabs>
          <w:tab w:leader="none" w:pos="2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 of 1933 (the “Securities Act”);</w:t>
      </w:r>
    </w:p>
    <w:p>
      <w:pPr>
        <w:spacing w:after="0" w:line="178" w:lineRule="exact"/>
        <w:rPr>
          <w:sz w:val="20"/>
          <w:szCs w:val="20"/>
          <w:color w:val="auto"/>
        </w:rPr>
      </w:pPr>
    </w:p>
    <w:p>
      <w:pPr>
        <w:ind w:firstLine="5"/>
        <w:spacing w:after="0" w:line="261" w:lineRule="auto"/>
        <w:tabs>
          <w:tab w:leader="none" w:pos="20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42" w:lineRule="exact"/>
        <w:rPr>
          <w:rFonts w:ascii="Times New Roman" w:cs="Times New Roman" w:eastAsia="Times New Roman" w:hAnsi="Times New Roman"/>
          <w:sz w:val="14"/>
          <w:szCs w:val="14"/>
          <w:color w:val="auto"/>
        </w:rPr>
      </w:pPr>
    </w:p>
    <w:p>
      <w:pPr>
        <w:ind w:right="260" w:firstLine="5"/>
        <w:spacing w:after="0" w:line="286" w:lineRule="auto"/>
        <w:tabs>
          <w:tab w:leader="none" w:pos="247"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5" w:lineRule="exact"/>
        <w:rPr>
          <w:sz w:val="20"/>
          <w:szCs w:val="20"/>
          <w:color w:val="auto"/>
        </w:rPr>
      </w:pPr>
    </w:p>
    <w:p>
      <w:pPr>
        <w:ind w:right="40" w:firstLine="5"/>
        <w:spacing w:after="0" w:line="286" w:lineRule="auto"/>
        <w:tabs>
          <w:tab w:leader="none" w:pos="2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5"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That, for the purpose of determining liability under the Securities Act to any purchaser,</w:t>
      </w:r>
    </w:p>
    <w:p>
      <w:pPr>
        <w:spacing w:after="0" w:line="178" w:lineRule="exact"/>
        <w:rPr>
          <w:sz w:val="20"/>
          <w:szCs w:val="20"/>
          <w:color w:val="auto"/>
        </w:rPr>
      </w:pPr>
    </w:p>
    <w:p>
      <w:pPr>
        <w:ind w:right="20" w:firstLine="5"/>
        <w:spacing w:after="0" w:line="286" w:lineRule="auto"/>
        <w:tabs>
          <w:tab w:leader="none" w:pos="169"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5" w:lineRule="exact"/>
        <w:rPr>
          <w:rFonts w:ascii="Times New Roman" w:cs="Times New Roman" w:eastAsia="Times New Roman" w:hAnsi="Times New Roman"/>
          <w:sz w:val="14"/>
          <w:szCs w:val="14"/>
          <w:color w:val="auto"/>
        </w:rPr>
      </w:pPr>
    </w:p>
    <w:p>
      <w:pPr>
        <w:ind w:firstLine="5"/>
        <w:spacing w:after="0" w:line="257" w:lineRule="auto"/>
        <w:tabs>
          <w:tab w:leader="none" w:pos="20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 (i),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first use.</w:t>
      </w:r>
    </w:p>
    <w:p>
      <w:pPr>
        <w:spacing w:after="0" w:line="147" w:lineRule="exact"/>
        <w:rPr>
          <w:sz w:val="20"/>
          <w:szCs w:val="20"/>
          <w:color w:val="auto"/>
        </w:rPr>
      </w:pPr>
    </w:p>
    <w:p>
      <w:pPr>
        <w:ind w:right="100" w:firstLine="5"/>
        <w:spacing w:after="0" w:line="269" w:lineRule="auto"/>
        <w:tabs>
          <w:tab w:leader="none" w:pos="2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37" w:lineRule="exact"/>
        <w:rPr>
          <w:rFonts w:ascii="Times New Roman" w:cs="Times New Roman" w:eastAsia="Times New Roman" w:hAnsi="Times New Roman"/>
          <w:sz w:val="14"/>
          <w:szCs w:val="14"/>
          <w:color w:val="auto"/>
        </w:rPr>
      </w:pPr>
    </w:p>
    <w:p>
      <w:pPr>
        <w:ind w:right="60" w:firstLine="5"/>
        <w:spacing w:after="0" w:line="259" w:lineRule="auto"/>
        <w:tabs>
          <w:tab w:leader="none" w:pos="2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7161530" cy="133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has duly caused this registration statement to be signed on its behalf by the undersigned, thereunto duly authorized in the City of San Francisco, State of California, on May 8, 2026.</w:t>
      </w:r>
    </w:p>
    <w:p>
      <w:pPr>
        <w:spacing w:after="0" w:line="29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VAXART, INC.</w:t>
      </w:r>
    </w:p>
    <w:p>
      <w:pPr>
        <w:spacing w:after="0" w:line="348" w:lineRule="exact"/>
        <w:rPr>
          <w:sz w:val="20"/>
          <w:szCs w:val="20"/>
          <w:color w:val="auto"/>
        </w:rPr>
      </w:pPr>
    </w:p>
    <w:p>
      <w:pPr>
        <w:ind w:left="2260"/>
        <w:spacing w:after="0"/>
        <w:tabs>
          <w:tab w:leader="none" w:pos="2580" w:val="left"/>
        </w:tabs>
        <w:rPr>
          <w:sz w:val="20"/>
          <w:szCs w:val="20"/>
          <w:color w:val="auto"/>
        </w:rPr>
      </w:pPr>
      <w:r>
        <w:rPr>
          <w:rFonts w:ascii="Times New Roman" w:cs="Times New Roman" w:eastAsia="Times New Roman" w:hAnsi="Times New Roman"/>
          <w:sz w:val="14"/>
          <w:szCs w:val="14"/>
          <w:color w:val="auto"/>
        </w:rPr>
        <w:t>By:</w:t>
        <w:tab/>
        <w:t>/s/ STEVEN LO</w:t>
      </w:r>
    </w:p>
    <w:p>
      <w:pPr>
        <w:spacing w:after="0" w:line="23"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14"/>
          <w:szCs w:val="14"/>
          <w:color w:val="auto"/>
        </w:rPr>
        <w:t>Date: May 8 , 2026</w:t>
      </w:r>
      <w:r>
        <w:rPr>
          <w:sz w:val="20"/>
          <w:szCs w:val="20"/>
          <w:color w:val="auto"/>
        </w:rPr>
        <w:tab/>
      </w:r>
      <w:r>
        <w:rPr>
          <w:rFonts w:ascii="Times New Roman" w:cs="Times New Roman" w:eastAsia="Times New Roman" w:hAnsi="Times New Roman"/>
          <w:sz w:val="14"/>
          <w:szCs w:val="14"/>
          <w:color w:val="auto"/>
        </w:rPr>
        <w:t>Steven Lo</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Steven Lo and Jeroen Grasman, and each of them, as his or her attorneys-in-fact, with the power of substitution, for him or her in any and all capacities, to sign any amendments to this registration statement, and to file the same, with exhibits thereto and other documents in connection therewith with the Securities and Exchange Commission, hereby ratifying and confirming all that said attorneys-in-fact, and each of them, or his or her substitute or substitutes may lawfully do or cause to be done by virtue 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b w:val="1"/>
                <w:bCs w:val="1"/>
                <w:color w:val="auto"/>
                <w:w w:val="98"/>
              </w:rPr>
              <w:t>SIGNATURE</w:t>
            </w: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8"/>
              </w:rPr>
              <w:t>TITLE</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95"/>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/s/ STEVEN LO</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Steven Lo</w:t>
            </w: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President and Chief Executive Officer, Director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r>
        <w:trPr>
          <w:trHeight w:val="186"/>
        </w:trPr>
        <w:tc>
          <w:tcPr>
            <w:tcW w:w="3060" w:type="dxa"/>
            <w:vAlign w:val="bottom"/>
          </w:tcPr>
          <w:p>
            <w:pPr>
              <w:spacing w:after="0"/>
              <w:rPr>
                <w:sz w:val="16"/>
                <w:szCs w:val="16"/>
                <w:color w:val="auto"/>
              </w:rPr>
            </w:pPr>
          </w:p>
        </w:tc>
        <w:tc>
          <w:tcPr>
            <w:tcW w:w="5020" w:type="dxa"/>
            <w:vAlign w:val="bottom"/>
          </w:tcPr>
          <w:p>
            <w:pPr>
              <w:jc w:val="center"/>
              <w:ind w:right="29"/>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960" w:type="dxa"/>
            <w:vAlign w:val="bottom"/>
          </w:tcPr>
          <w:p>
            <w:pPr>
              <w:spacing w:after="0"/>
              <w:rPr>
                <w:sz w:val="16"/>
                <w:szCs w:val="16"/>
                <w:color w:val="auto"/>
              </w:rPr>
            </w:pPr>
          </w:p>
        </w:tc>
      </w:tr>
      <w:tr>
        <w:trPr>
          <w:trHeight w:val="325"/>
        </w:trPr>
        <w:tc>
          <w:tcPr>
            <w:tcW w:w="306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/s/ JEROEN GRASMAN</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06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Jeroen Grasman</w:t>
            </w:r>
          </w:p>
        </w:tc>
        <w:tc>
          <w:tcPr>
            <w:tcW w:w="50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Chief Financial Officer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r>
        <w:trPr>
          <w:trHeight w:val="186"/>
        </w:trPr>
        <w:tc>
          <w:tcPr>
            <w:tcW w:w="3060" w:type="dxa"/>
            <w:vAlign w:val="bottom"/>
          </w:tcPr>
          <w:p>
            <w:pPr>
              <w:spacing w:after="0"/>
              <w:rPr>
                <w:sz w:val="16"/>
                <w:szCs w:val="16"/>
                <w:color w:val="auto"/>
              </w:rPr>
            </w:pP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c>
          <w:tcPr>
            <w:tcW w:w="1960" w:type="dxa"/>
            <w:vAlign w:val="bottom"/>
          </w:tcPr>
          <w:p>
            <w:pPr>
              <w:spacing w:after="0"/>
              <w:rPr>
                <w:sz w:val="16"/>
                <w:szCs w:val="16"/>
                <w:color w:val="auto"/>
              </w:rPr>
            </w:pPr>
          </w:p>
        </w:tc>
      </w:tr>
      <w:tr>
        <w:trPr>
          <w:trHeight w:val="495"/>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w w:val="96"/>
              </w:rPr>
              <w:t>/s/ W. MARK WATSON</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4"/>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w w:val="97"/>
              </w:rPr>
              <w:t>W. Mark Watson</w:t>
            </w:r>
          </w:p>
        </w:tc>
        <w:tc>
          <w:tcPr>
            <w:tcW w:w="502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Lead Independent Director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r>
        <w:trPr>
          <w:trHeight w:val="495"/>
        </w:trPr>
        <w:tc>
          <w:tcPr>
            <w:tcW w:w="306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/s/ KEVIN FINNEY</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4"/>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Kevin Finney</w:t>
            </w: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Director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r>
        <w:trPr>
          <w:trHeight w:val="495"/>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/s/ ELAINE J. HERON</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4"/>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Elaine J. Heron, Ph.D.</w:t>
            </w: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Director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r>
        <w:trPr>
          <w:trHeight w:val="495"/>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/s/ DAVID WHEADON</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4"/>
        </w:trPr>
        <w:tc>
          <w:tcPr>
            <w:tcW w:w="3060" w:type="dxa"/>
            <w:vAlign w:val="bottom"/>
          </w:tcPr>
          <w:p>
            <w:pPr>
              <w:jc w:val="center"/>
              <w:ind w:right="1009"/>
              <w:spacing w:after="0"/>
              <w:rPr>
                <w:sz w:val="20"/>
                <w:szCs w:val="20"/>
                <w:color w:val="auto"/>
              </w:rPr>
            </w:pPr>
            <w:r>
              <w:rPr>
                <w:rFonts w:ascii="Times New Roman" w:cs="Times New Roman" w:eastAsia="Times New Roman" w:hAnsi="Times New Roman"/>
                <w:sz w:val="14"/>
                <w:szCs w:val="14"/>
                <w:color w:val="auto"/>
              </w:rPr>
              <w:t>David Wheadon M.D.</w:t>
            </w: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Director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r>
        <w:trPr>
          <w:trHeight w:val="495"/>
        </w:trPr>
        <w:tc>
          <w:tcPr>
            <w:tcW w:w="3060" w:type="dxa"/>
            <w:vAlign w:val="bottom"/>
          </w:tcPr>
          <w:p>
            <w:pPr>
              <w:jc w:val="center"/>
              <w:ind w:right="989"/>
              <w:spacing w:after="0"/>
              <w:rPr>
                <w:sz w:val="20"/>
                <w:szCs w:val="20"/>
                <w:color w:val="auto"/>
              </w:rPr>
            </w:pPr>
            <w:r>
              <w:rPr>
                <w:rFonts w:ascii="Times New Roman" w:cs="Times New Roman" w:eastAsia="Times New Roman" w:hAnsi="Times New Roman"/>
                <w:sz w:val="14"/>
                <w:szCs w:val="14"/>
                <w:color w:val="auto"/>
              </w:rPr>
              <w:t>/s/ JAMES B. BREITMEYER</w:t>
            </w:r>
          </w:p>
        </w:tc>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84"/>
        </w:trPr>
        <w:tc>
          <w:tcPr>
            <w:tcW w:w="3060" w:type="dxa"/>
            <w:vAlign w:val="bottom"/>
          </w:tcPr>
          <w:p>
            <w:pPr>
              <w:jc w:val="center"/>
              <w:ind w:right="1049"/>
              <w:spacing w:after="0"/>
              <w:rPr>
                <w:sz w:val="20"/>
                <w:szCs w:val="20"/>
                <w:color w:val="auto"/>
              </w:rPr>
            </w:pPr>
            <w:r>
              <w:rPr>
                <w:rFonts w:ascii="Times New Roman" w:cs="Times New Roman" w:eastAsia="Times New Roman" w:hAnsi="Times New Roman"/>
                <w:sz w:val="14"/>
                <w:szCs w:val="14"/>
                <w:color w:val="auto"/>
              </w:rPr>
              <w:t>James B. Breitmeyer, M.D., Ph.D.</w:t>
            </w:r>
          </w:p>
        </w:tc>
        <w:tc>
          <w:tcPr>
            <w:tcW w:w="502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8"/>
              </w:rPr>
              <w:t>Director</w:t>
            </w:r>
          </w:p>
        </w:tc>
        <w:tc>
          <w:tcPr>
            <w:tcW w:w="196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May 8, 2026</w:t>
            </w:r>
          </w:p>
        </w:tc>
      </w:tr>
    </w:tbl>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II-9</w:t>
      </w:r>
    </w:p>
    <w:p>
      <w:pPr>
        <w:sectPr>
          <w:pgSz w:w="11900" w:h="16838" w:orient="portrait"/>
          <w:cols w:equalWidth="0" w:num="1">
            <w:col w:w="11240"/>
          </w:cols>
          <w:pgMar w:left="300" w:top="125" w:right="35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1016635" cy="4305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2">
                      <a:extLst>
                        <a:ext uri="{28A0092B-C50C-407E-A947-70E740481C1C}"/>
                      </a:extLst>
                    </a:blip>
                    <a:srcRect/>
                    <a:stretch>
                      <a:fillRect/>
                    </a:stretch>
                  </pic:blipFill>
                  <pic:spPr bwMode="auto">
                    <a:xfrm>
                      <a:off x="0" y="0"/>
                      <a:ext cx="1016635" cy="43053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184150</wp:posOffset>
            </wp:positionV>
            <wp:extent cx="1898015" cy="3028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3">
                      <a:extLst>
                        <a:ext uri="{28A0092B-C50C-407E-A947-70E740481C1C}"/>
                      </a:extLst>
                    </a:blip>
                    <a:srcRect/>
                    <a:stretch>
                      <a:fillRect/>
                    </a:stretch>
                  </pic:blipFill>
                  <pic:spPr bwMode="auto">
                    <a:xfrm>
                      <a:off x="0" y="0"/>
                      <a:ext cx="1898015"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8,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Vaxart,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310 Utah Avenue, Suite 150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South San Francisco, CA 94080</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Registration Statement on Form S-1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We have acted as counsel for Vaxart, Inc., a Delaware corporation (the “</w:t>
      </w:r>
      <w:r>
        <w:rPr>
          <w:rFonts w:ascii="Times New Roman" w:cs="Times New Roman" w:eastAsia="Times New Roman" w:hAnsi="Times New Roman"/>
          <w:sz w:val="14"/>
          <w:szCs w:val="14"/>
          <w:b w:val="1"/>
          <w:bCs w:val="1"/>
          <w:i w:val="1"/>
          <w:iCs w:val="1"/>
          <w:color w:val="auto"/>
        </w:rPr>
        <w:t>Company</w:t>
      </w:r>
      <w:r>
        <w:rPr>
          <w:rFonts w:ascii="Times New Roman" w:cs="Times New Roman" w:eastAsia="Times New Roman" w:hAnsi="Times New Roman"/>
          <w:sz w:val="14"/>
          <w:szCs w:val="14"/>
          <w:color w:val="auto"/>
        </w:rPr>
        <w:t>”), in connection with the preparation and filing of Form S-1 (such Registration Statement as it may be subsequently amended or supplemented,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with the U.S.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pursuant to the Securities Act of 1933, as amended (the “</w:t>
      </w:r>
      <w:r>
        <w:rPr>
          <w:rFonts w:ascii="Times New Roman" w:cs="Times New Roman" w:eastAsia="Times New Roman" w:hAnsi="Times New Roman"/>
          <w:sz w:val="14"/>
          <w:szCs w:val="14"/>
          <w:b w:val="1"/>
          <w:bCs w:val="1"/>
          <w:i w:val="1"/>
          <w:iCs w:val="1"/>
          <w:color w:val="auto"/>
        </w:rPr>
        <w:t>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covering the resale of up to 32,914,599 shares of common stock, par value $0.0001 per share (the “</w:t>
      </w:r>
      <w:r>
        <w:rPr>
          <w:rFonts w:ascii="Times New Roman" w:cs="Times New Roman" w:eastAsia="Times New Roman" w:hAnsi="Times New Roman"/>
          <w:sz w:val="14"/>
          <w:szCs w:val="14"/>
          <w:b w:val="1"/>
          <w:bCs w:val="1"/>
          <w:i w:val="1"/>
          <w:iCs w:val="1"/>
          <w:color w:val="auto"/>
        </w:rPr>
        <w:t>Common Stock</w:t>
      </w:r>
      <w:r>
        <w:rPr>
          <w:rFonts w:ascii="Times New Roman" w:cs="Times New Roman" w:eastAsia="Times New Roman" w:hAnsi="Times New Roman"/>
          <w:sz w:val="14"/>
          <w:szCs w:val="14"/>
          <w:color w:val="auto"/>
        </w:rPr>
        <w:t>”), to be issued by the Company to Lincoln Park Capital Fund, LLC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Selling Stockholder</w:t>
      </w:r>
      <w:r>
        <w:rPr>
          <w:rFonts w:ascii="Times New Roman" w:cs="Times New Roman" w:eastAsia="Times New Roman" w:hAnsi="Times New Roman"/>
          <w:sz w:val="14"/>
          <w:szCs w:val="14"/>
          <w:color w:val="auto"/>
        </w:rPr>
        <w:t>”) pursuant to the Purchase Agreement, dated April 16, 2026, by and between the Company and the Selling Stockholder (the “</w:t>
      </w:r>
      <w:r>
        <w:rPr>
          <w:rFonts w:ascii="Times New Roman" w:cs="Times New Roman" w:eastAsia="Times New Roman" w:hAnsi="Times New Roman"/>
          <w:sz w:val="14"/>
          <w:szCs w:val="14"/>
          <w:b w:val="1"/>
          <w:bCs w:val="1"/>
          <w:i w:val="1"/>
          <w:iCs w:val="1"/>
          <w:color w:val="auto"/>
        </w:rPr>
        <w:t>Purchase Agreement</w:t>
      </w:r>
      <w:r>
        <w:rPr>
          <w:rFonts w:ascii="Times New Roman" w:cs="Times New Roman" w:eastAsia="Times New Roman" w:hAnsi="Times New Roman"/>
          <w:sz w:val="14"/>
          <w:szCs w:val="14"/>
          <w:color w:val="auto"/>
        </w:rPr>
        <w:t>”). Capitalized terms used herein that are not defined shall have the meanings ascribed to such terms in the Purchase Agreement.</w:t>
      </w:r>
    </w:p>
    <w:p>
      <w:pPr>
        <w:spacing w:after="0" w:line="141"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4"/>
          <w:szCs w:val="14"/>
          <w:color w:val="auto"/>
        </w:rPr>
        <w:t>In connection with this opinion, we have examined originals or copies (certified or otherwise identified to our satisfaction) of (i) the Company’s Certificate of Incorporation as currently in effect, (ii) the Company’s Bylaws as currently in effect, (iii) the Registration Statement, (iv) the Purchase Agreement, and (v) such corporate records, agreements, documents, and other instruments, and such certificates or comparable documents of public officials or of officers and representatives of the Company, as we have deemed relevant and necessary as a basis for the opinion hereinafter set forth.</w:t>
      </w:r>
    </w:p>
    <w:p>
      <w:pPr>
        <w:spacing w:after="0" w:line="13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4"/>
          <w:szCs w:val="14"/>
          <w:color w:val="auto"/>
        </w:rPr>
        <w:t>In such examination, we have assumed the genuineness of all signatures, the legal capacity of all natural persons, the authenticity of all documents submitted to us as originals, the conformity to original documents of all documents submitted to us as certified, conformed or photostatic copies, and the authenticity of the originals of such latter documents. As to certain questions of fact material to this opinion, we have relied upon certificates or comparable documents of officers and representatives of the Company and have not sought to independently verify such facts.</w:t>
      </w:r>
    </w:p>
    <w:p>
      <w:pPr>
        <w:spacing w:after="0" w:line="13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4"/>
          <w:szCs w:val="14"/>
          <w:color w:val="auto"/>
        </w:rPr>
        <w:t>Based on the foregoing, and subject to the assumptions, limitations and qualifications stated herein, we are of the opinion that the Common Stock, when duly issued and sold by the Company as contemplated in the Purchase Agreement, will be validly issued, fully paid, and non-assessable.</w:t>
      </w:r>
    </w:p>
    <w:p>
      <w:pPr>
        <w:spacing w:after="0" w:line="1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4"/>
          <w:szCs w:val="14"/>
          <w:color w:val="auto"/>
        </w:rPr>
        <w:t>The opinion expressed herein is limited to the General Corporation Law of the State of Delaware (including reported judicial decisions interpreting the General Corporation Law of the State of Delaware) and we express no opinion as to the effect on the matters covered by this opinion of the laws of any other jurisdiction.</w:t>
      </w:r>
    </w:p>
    <w:p>
      <w:pPr>
        <w:spacing w:after="0" w:line="1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reference to our firm under the caption “Legal Matters” in the Registration Statement. In giving such consents, we do not thereby admit that we are in the category of persons whose consent is required under Section 7 of the Securities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Thompson Hine LLP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Thompson Hine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472440</wp:posOffset>
            </wp:positionV>
            <wp:extent cx="716153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3780" w:type="dxa"/>
        <w:tblCellMar>
          <w:top w:w="0" w:type="dxa"/>
          <w:left w:w="0" w:type="dxa"/>
          <w:bottom w:w="0" w:type="dxa"/>
          <w:right w:w="0" w:type="dxa"/>
        </w:tblCellMar>
      </w:tblPr>
      <w:tr>
        <w:trPr>
          <w:trHeight w:val="170"/>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300 Madison Avenue, 27th Floor</w:t>
            </w:r>
          </w:p>
        </w:tc>
        <w:tc>
          <w:tcPr>
            <w:tcW w:w="2440" w:type="dxa"/>
            <w:vAlign w:val="bottom"/>
          </w:tcPr>
          <w:p>
            <w:pPr>
              <w:ind w:left="940"/>
              <w:spacing w:after="0"/>
              <w:rPr>
                <w:sz w:val="20"/>
                <w:szCs w:val="20"/>
                <w:color w:val="auto"/>
              </w:rPr>
            </w:pPr>
            <w:r>
              <w:rPr>
                <w:rFonts w:ascii="Times New Roman" w:cs="Times New Roman" w:eastAsia="Times New Roman" w:hAnsi="Times New Roman"/>
                <w:sz w:val="14"/>
                <w:szCs w:val="14"/>
                <w:color w:val="auto"/>
                <w:w w:val="99"/>
              </w:rPr>
              <w:t>www.ThompsonHine.com</w:t>
            </w:r>
          </w:p>
        </w:tc>
      </w:tr>
      <w:tr>
        <w:trPr>
          <w:trHeight w:val="170"/>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New York, New York 10017</w:t>
            </w:r>
          </w:p>
        </w:tc>
        <w:tc>
          <w:tcPr>
            <w:tcW w:w="24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O: 212.344.5680</w:t>
            </w:r>
          </w:p>
        </w:tc>
      </w:tr>
      <w:tr>
        <w:trPr>
          <w:trHeight w:val="184"/>
        </w:trPr>
        <w:tc>
          <w:tcPr>
            <w:tcW w:w="2820" w:type="dxa"/>
            <w:vAlign w:val="bottom"/>
          </w:tcPr>
          <w:p>
            <w:pPr>
              <w:spacing w:after="0"/>
              <w:rPr>
                <w:sz w:val="15"/>
                <w:szCs w:val="15"/>
                <w:color w:val="auto"/>
              </w:rPr>
            </w:pPr>
          </w:p>
        </w:tc>
        <w:tc>
          <w:tcPr>
            <w:tcW w:w="244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F: 212.344.6101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-321945</wp:posOffset>
            </wp:positionV>
            <wp:extent cx="834390" cy="2286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5">
                      <a:extLst>
                        <a:ext uri="{28A0092B-C50C-407E-A947-70E740481C1C}"/>
                      </a:extLst>
                    </a:blip>
                    <a:srcRect/>
                    <a:stretch>
                      <a:fillRect/>
                    </a:stretch>
                  </pic:blipFill>
                  <pic:spPr bwMode="auto">
                    <a:xfrm>
                      <a:off x="0" y="0"/>
                      <a:ext cx="834390" cy="22860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4"/>
          <w:szCs w:val="14"/>
          <w:color w:val="auto"/>
        </w:rPr>
        <w:t>Exhibit 23.1</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We hereby consent to the use in the Prospectus constituting a part of this Registration Statement on Form S-1 of our report dated March 12, 2026, relating to the consolidated financial statements of Vaxart, Inc. as of and for the years ended December 31, 2025 and 2024, which is contained in that Prospectus. We also consent to the reference to us under the caption “Experts” in the Prospectus.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8, 2026</w:t>
      </w:r>
    </w:p>
    <w:p>
      <w:pPr>
        <w:sectPr>
          <w:pgSz w:w="11900" w:h="16838" w:orient="portrait"/>
          <w:cols w:equalWidth="0" w:num="1">
            <w:col w:w="11280"/>
          </w:cols>
          <w:pgMar w:left="300" w:top="295" w:right="319" w:bottom="1440" w:gutter="0" w:footer="0" w:header="0"/>
        </w:sectPr>
      </w:pPr>
    </w:p>
    <w:bookmarkStart w:id="214" w:name="page215"/>
    <w:bookmarkEnd w:id="214"/>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Vaxart,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20"/>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ind w:right="62"/>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1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70"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1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7"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0"/>
                <w:szCs w:val="10"/>
                <w:color w:val="auto"/>
              </w:rPr>
            </w:pPr>
          </w:p>
        </w:tc>
        <w:tc>
          <w:tcPr>
            <w:tcW w:w="11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2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4"/>
                <w:szCs w:val="14"/>
                <w:color w:val="auto"/>
              </w:rPr>
            </w:pPr>
          </w:p>
        </w:tc>
        <w:tc>
          <w:tcPr>
            <w:tcW w:w="70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14"/>
                <w:szCs w:val="14"/>
                <w:color w:val="auto"/>
              </w:rPr>
            </w:pPr>
          </w:p>
        </w:tc>
        <w:tc>
          <w:tcPr>
            <w:tcW w:w="72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4"/>
                <w:szCs w:val="14"/>
                <w:color w:val="auto"/>
              </w:rPr>
            </w:pPr>
          </w:p>
        </w:tc>
        <w:tc>
          <w:tcPr>
            <w:tcW w:w="94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w w:val="98"/>
              </w:rPr>
              <w:t>Other</w:t>
            </w:r>
          </w:p>
        </w:tc>
        <w:tc>
          <w:tcPr>
            <w:tcW w:w="20" w:type="dxa"/>
            <w:vAlign w:val="bottom"/>
          </w:tcPr>
          <w:p>
            <w:pPr>
              <w:spacing w:after="0"/>
              <w:rPr>
                <w:sz w:val="14"/>
                <w:szCs w:val="14"/>
                <w:color w:val="auto"/>
              </w:rPr>
            </w:pPr>
          </w:p>
        </w:tc>
        <w:tc>
          <w:tcPr>
            <w:tcW w:w="9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32,914,599</w:t>
            </w:r>
          </w:p>
        </w:tc>
        <w:tc>
          <w:tcPr>
            <w:tcW w:w="20" w:type="dxa"/>
            <w:vAlign w:val="bottom"/>
          </w:tcPr>
          <w:p>
            <w:pPr>
              <w:spacing w:after="0"/>
              <w:rPr>
                <w:sz w:val="14"/>
                <w:szCs w:val="14"/>
                <w:color w:val="auto"/>
              </w:rPr>
            </w:pPr>
          </w:p>
        </w:tc>
        <w:tc>
          <w:tcPr>
            <w:tcW w:w="800" w:type="dxa"/>
            <w:vAlign w:val="bottom"/>
            <w:shd w:val="clear" w:color="auto" w:fill="E7E7E2"/>
          </w:tcPr>
          <w:p>
            <w:pPr>
              <w:ind w:left="220"/>
              <w:spacing w:after="0" w:line="170" w:lineRule="exact"/>
              <w:rPr>
                <w:sz w:val="20"/>
                <w:szCs w:val="20"/>
                <w:color w:val="auto"/>
              </w:rPr>
            </w:pPr>
            <w:r>
              <w:rPr>
                <w:rFonts w:ascii="Arial" w:cs="Arial" w:eastAsia="Arial" w:hAnsi="Arial"/>
                <w:sz w:val="17"/>
                <w:szCs w:val="17"/>
                <w:color w:val="auto"/>
                <w:w w:val="98"/>
              </w:rPr>
              <w:t>$ 0.765</w:t>
            </w:r>
          </w:p>
        </w:tc>
        <w:tc>
          <w:tcPr>
            <w:tcW w:w="20" w:type="dxa"/>
            <w:vAlign w:val="bottom"/>
          </w:tcPr>
          <w:p>
            <w:pPr>
              <w:spacing w:after="0"/>
              <w:rPr>
                <w:sz w:val="14"/>
                <w:szCs w:val="14"/>
                <w:color w:val="auto"/>
              </w:rPr>
            </w:pPr>
          </w:p>
        </w:tc>
        <w:tc>
          <w:tcPr>
            <w:tcW w:w="1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4"/>
                <w:szCs w:val="14"/>
                <w:color w:val="auto"/>
              </w:rPr>
            </w:pPr>
          </w:p>
        </w:tc>
        <w:tc>
          <w:tcPr>
            <w:tcW w:w="10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$ 3,477.31</w:t>
            </w: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25,179,668.23</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vMerge w:val="continue"/>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shd w:val="clear" w:color="auto" w:fill="E7E7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$ 3,477.31</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25,179,668.23</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$ 3,477.31</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right="240"/>
        <w:spacing w:after="0" w:line="251" w:lineRule="auto"/>
        <w:rPr>
          <w:sz w:val="20"/>
          <w:szCs w:val="20"/>
          <w:color w:val="auto"/>
        </w:rPr>
      </w:pPr>
      <w:r>
        <w:rPr>
          <w:rFonts w:ascii="Arial" w:cs="Arial" w:eastAsia="Arial" w:hAnsi="Arial"/>
          <w:sz w:val="17"/>
          <w:szCs w:val="17"/>
          <w:color w:val="auto"/>
        </w:rPr>
        <w:t>1 Represents shares offered by the selling stockholder. Pursuant to Rule 416 under the Securities Act of 1933, as amended (the "Securities Act"), the shares of common stock being registered hereunder include such indeterminate number of shares as may be issuable as a result of stock splits, stock dividends or similar transactions.</w:t>
      </w:r>
    </w:p>
    <w:p>
      <w:pPr>
        <w:spacing w:after="0" w:line="150" w:lineRule="exact"/>
        <w:rPr>
          <w:sz w:val="20"/>
          <w:szCs w:val="20"/>
          <w:color w:val="auto"/>
        </w:rPr>
      </w:pPr>
    </w:p>
    <w:p>
      <w:pPr>
        <w:ind w:left="220" w:right="140"/>
        <w:spacing w:after="0" w:line="268" w:lineRule="auto"/>
        <w:rPr>
          <w:sz w:val="20"/>
          <w:szCs w:val="20"/>
          <w:color w:val="auto"/>
        </w:rPr>
      </w:pPr>
      <w:r>
        <w:rPr>
          <w:rFonts w:ascii="Arial" w:cs="Arial" w:eastAsia="Arial" w:hAnsi="Arial"/>
          <w:sz w:val="17"/>
          <w:szCs w:val="17"/>
          <w:color w:val="auto"/>
        </w:rPr>
        <w:t>2 Estimated solely for the purpose of calculating the registration fee and is based on the average of the high and low sales prices of the registrant's common stock of $0.765 per share on May 5, 2026, pursuant to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46355</wp:posOffset>
            </wp:positionV>
            <wp:extent cx="714692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6">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ind w:left="2"/>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vMerge w:val="restart"/>
            <w:shd w:val="clear" w:color="auto" w:fill="9ADAF6"/>
          </w:tcPr>
          <w:p>
            <w:pPr>
              <w:jc w:val="center"/>
              <w:ind w:left="2"/>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54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0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vMerge w:val="restart"/>
            <w:shd w:val="clear" w:color="auto" w:fill="9ADAF6"/>
          </w:tcPr>
          <w:p>
            <w:pPr>
              <w:jc w:val="center"/>
              <w:ind w:right="255"/>
              <w:spacing w:after="0"/>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0"/>
                <w:szCs w:val="10"/>
                <w:color w:val="auto"/>
              </w:rPr>
            </w:pPr>
          </w:p>
        </w:tc>
        <w:tc>
          <w:tcPr>
            <w:tcW w:w="540" w:type="dxa"/>
            <w:vAlign w:val="bottom"/>
            <w:gridSpan w:val="3"/>
            <w:shd w:val="clear" w:color="auto" w:fill="9ADAF6"/>
          </w:tcPr>
          <w:p>
            <w:pPr>
              <w:jc w:val="center"/>
              <w:ind w:left="2"/>
              <w:spacing w:after="0" w:line="117" w:lineRule="exact"/>
              <w:rPr>
                <w:sz w:val="20"/>
                <w:szCs w:val="20"/>
                <w:color w:val="auto"/>
              </w:rPr>
            </w:pPr>
            <w:r>
              <w:rPr>
                <w:rFonts w:ascii="Arial" w:cs="Arial" w:eastAsia="Arial" w:hAnsi="Arial"/>
                <w:sz w:val="13"/>
                <w:szCs w:val="13"/>
                <w:b w:val="1"/>
                <w:bCs w:val="1"/>
                <w:color w:val="auto"/>
              </w:rPr>
              <w:t>Filing</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600" w:type="dxa"/>
            <w:vAlign w:val="bottom"/>
            <w:gridSpan w:val="3"/>
            <w:shd w:val="clear" w:color="auto" w:fill="9ADAF6"/>
          </w:tcPr>
          <w:p>
            <w:pPr>
              <w:jc w:val="center"/>
              <w:ind w:left="2"/>
              <w:spacing w:after="0" w:line="117" w:lineRule="exact"/>
              <w:rPr>
                <w:sz w:val="20"/>
                <w:szCs w:val="20"/>
                <w:color w:val="auto"/>
              </w:rPr>
            </w:pPr>
            <w:r>
              <w:rPr>
                <w:rFonts w:ascii="Arial" w:cs="Arial" w:eastAsia="Arial" w:hAnsi="Arial"/>
                <w:sz w:val="13"/>
                <w:szCs w:val="13"/>
                <w:b w:val="1"/>
                <w:bCs w:val="1"/>
                <w:color w:val="auto"/>
              </w:rPr>
              <w:t>Offset</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0"/>
                <w:szCs w:val="10"/>
                <w:color w:val="auto"/>
              </w:rPr>
            </w:pPr>
          </w:p>
        </w:tc>
        <w:tc>
          <w:tcPr>
            <w:tcW w:w="94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0"/>
                <w:szCs w:val="10"/>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0"/>
                <w:szCs w:val="10"/>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0"/>
                <w:szCs w:val="10"/>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ind w:left="2"/>
              <w:spacing w:after="0" w:line="170"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4"/>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4"/>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gridSpan w:val="8"/>
          </w:tcPr>
          <w:p>
            <w:pPr>
              <w:jc w:val="center"/>
              <w:ind w:right="240"/>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6"/>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9"/>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restart"/>
            <w:shd w:val="clear" w:color="auto" w:fill="9ADAF6"/>
          </w:tcPr>
          <w:p>
            <w:pPr>
              <w:jc w:val="center"/>
              <w:ind w:right="302"/>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9"/>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120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9"/>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gridSpan w:val="6"/>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9"/>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6"/>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4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1)"/>
      <w:numFmt w:val="decimal"/>
      <w:start w:val="1"/>
    </w:lvl>
    <w:lvl w:ilvl="1">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
      <w:numFmt w:val="bullet"/>
      <w:start w:val="1"/>
    </w:lvl>
  </w:abstractNum>
  <w:abstractNum w:abstractNumId="27">
    <w:nsid w:val="42C296BD"/>
    <w:multiLevelType w:val="hybridMultilevel"/>
    <w:lvl w:ilvl="0">
      <w:lvlJc w:val="left"/>
      <w:lvlText w:val="●"/>
      <w:numFmt w:val="bullet"/>
      <w:start w:val="1"/>
    </w:lvl>
  </w:abstractNum>
  <w:abstractNum w:abstractNumId="28">
    <w:nsid w:val="168E121F"/>
    <w:multiLevelType w:val="hybridMultilevel"/>
    <w:lvl w:ilvl="0">
      <w:lvlJc w:val="left"/>
      <w:lvlText w:val="●"/>
      <w:numFmt w:val="bullet"/>
      <w:start w:val="1"/>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
      <w:numFmt w:val="bullet"/>
      <w:start w:val="1"/>
    </w:lvl>
  </w:abstractNum>
  <w:abstractNum w:abstractNumId="37">
    <w:nsid w:val="11447B73"/>
    <w:multiLevelType w:val="hybridMultilevel"/>
    <w:lvl w:ilvl="0">
      <w:lvlJc w:val="left"/>
      <w:lvlText w:val="●"/>
      <w:numFmt w:val="bullet"/>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
      <w:numFmt w:val="bullet"/>
      <w:start w:val="1"/>
    </w:lvl>
  </w:abstractNum>
  <w:abstractNum w:abstractNumId="43">
    <w:nsid w:val="68EB2F63"/>
    <w:multiLevelType w:val="hybridMultilevel"/>
    <w:lvl w:ilvl="0">
      <w:lvlJc w:val="left"/>
      <w:lvlText w:val="●"/>
      <w:numFmt w:val="bullet"/>
      <w:start w:val="1"/>
    </w:lvl>
  </w:abstractNum>
  <w:abstractNum w:abstractNumId="44">
    <w:nsid w:val="4962813B"/>
    <w:multiLevelType w:val="hybridMultilevel"/>
    <w:lvl w:ilvl="0">
      <w:lvlJc w:val="left"/>
      <w:lvlText w:val="●"/>
      <w:numFmt w:val="bullet"/>
      <w:start w:val="1"/>
    </w:lvl>
  </w:abstractNum>
  <w:abstractNum w:abstractNumId="45">
    <w:nsid w:val="60B6DF70"/>
    <w:multiLevelType w:val="hybridMultilevel"/>
    <w:lvl w:ilvl="0">
      <w:lvlJc w:val="left"/>
      <w:lvlText w:val="•"/>
      <w:numFmt w:val="bullet"/>
      <w:start w:val="1"/>
    </w:lvl>
  </w:abstractNum>
  <w:abstractNum w:abstractNumId="46">
    <w:nsid w:val="6A5EE64"/>
    <w:multiLevelType w:val="hybridMultilevel"/>
    <w:lvl w:ilvl="0">
      <w:lvlJc w:val="left"/>
      <w:lvlText w:val="•"/>
      <w:numFmt w:val="bullet"/>
      <w:start w:val="1"/>
    </w:lvl>
  </w:abstractNum>
  <w:abstractNum w:abstractNumId="47">
    <w:nsid w:val="14330624"/>
    <w:multiLevelType w:val="hybridMultilevel"/>
    <w:lvl w:ilvl="0">
      <w:lvlJc w:val="left"/>
      <w:lvlText w:val="•"/>
      <w:numFmt w:val="bullet"/>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1)"/>
      <w:numFmt w:val="decimal"/>
      <w:start w:val="1"/>
    </w:lvl>
  </w:abstractNum>
  <w:abstractNum w:abstractNumId="52">
    <w:nsid w:val="7FB7E0AA"/>
    <w:multiLevelType w:val="hybridMultilevel"/>
    <w:lvl w:ilvl="0">
      <w:lvlJc w:val="left"/>
      <w:lvlText w:val="(%1)"/>
      <w:numFmt w:val="decimal"/>
      <w:start w:val="2"/>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endash "/>
      <w:numFmt w:val="bullet"/>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
      <w:numFmt w:val="bullet"/>
      <w:start w:val="1"/>
    </w:lvl>
  </w:abstractNum>
  <w:abstractNum w:abstractNumId="60">
    <w:nsid w:val="14E17E33"/>
    <w:multiLevelType w:val="hybridMultilevel"/>
    <w:lvl w:ilvl="0">
      <w:lvlJc w:val="left"/>
      <w:lvlText w:val="●"/>
      <w:numFmt w:val="bullet"/>
      <w:start w:val="1"/>
    </w:lvl>
  </w:abstractNum>
  <w:abstractNum w:abstractNumId="61">
    <w:nsid w:val="3222E7CD"/>
    <w:multiLevelType w:val="hybridMultilevel"/>
    <w:lvl w:ilvl="0">
      <w:lvlJc w:val="left"/>
      <w:lvlText w:val="●"/>
      <w:numFmt w:val="bullet"/>
      <w:start w:val="1"/>
    </w:lvl>
  </w:abstractNum>
  <w:abstractNum w:abstractNumId="62">
    <w:nsid w:val="74DE0EE3"/>
    <w:multiLevelType w:val="hybridMultilevel"/>
    <w:lvl w:ilvl="0">
      <w:lvlJc w:val="left"/>
      <w:lvlText w:val="●"/>
      <w:numFmt w:val="bullet"/>
      <w:start w:val="1"/>
    </w:lvl>
  </w:abstractNum>
  <w:abstractNum w:abstractNumId="63">
    <w:nsid w:val="68EBC550"/>
    <w:multiLevelType w:val="hybridMultilevel"/>
    <w:lvl w:ilvl="0">
      <w:lvlJc w:val="left"/>
      <w:lvlText w:val="●"/>
      <w:numFmt w:val="bullet"/>
      <w:start w:val="1"/>
    </w:lvl>
  </w:abstractNum>
  <w:abstractNum w:abstractNumId="64">
    <w:nsid w:val="2DF6D648"/>
    <w:multiLevelType w:val="hybridMultilevel"/>
    <w:lvl w:ilvl="0">
      <w:lvlJc w:val="left"/>
      <w:lvlText w:val="●"/>
      <w:numFmt w:val="bullet"/>
      <w:start w:val="1"/>
    </w:lvl>
  </w:abstractNum>
  <w:abstractNum w:abstractNumId="65">
    <w:nsid w:val="46B7D447"/>
    <w:multiLevelType w:val="hybridMultilevel"/>
    <w:lvl w:ilvl="0">
      <w:lvlJc w:val="left"/>
      <w:lvlText w:val="●"/>
      <w:numFmt w:val="bullet"/>
      <w:start w:val="1"/>
    </w:lvl>
  </w:abstractNum>
  <w:abstractNum w:abstractNumId="66">
    <w:nsid w:val="4A2AC315"/>
    <w:multiLevelType w:val="hybridMultilevel"/>
    <w:lvl w:ilvl="0">
      <w:lvlJc w:val="left"/>
      <w:lvlText w:val="(%1)"/>
      <w:numFmt w:val="decimal"/>
      <w:start w:val="2"/>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
      <w:numFmt w:val="bullet"/>
      <w:start w:val="1"/>
    </w:lvl>
  </w:abstractNum>
  <w:abstractNum w:abstractNumId="69">
    <w:nsid w:val="CC1016F"/>
    <w:multiLevelType w:val="hybridMultilevel"/>
    <w:lvl w:ilvl="0">
      <w:lvlJc w:val="left"/>
      <w:lvlText w:val="●"/>
      <w:numFmt w:val="bullet"/>
      <w:start w:val="1"/>
    </w:lvl>
  </w:abstractNum>
  <w:abstractNum w:abstractNumId="70">
    <w:nsid w:val="43F18422"/>
    <w:multiLevelType w:val="hybridMultilevel"/>
    <w:lvl w:ilvl="0">
      <w:lvlJc w:val="left"/>
      <w:lvlText w:val="●"/>
      <w:numFmt w:val="bullet"/>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4"/>
    </w:lvl>
  </w:abstractNum>
  <w:abstractNum w:abstractNumId="74">
    <w:nsid w:val="49DA307D"/>
    <w:multiLevelType w:val="hybridMultilevel"/>
    <w:lvl w:ilvl="0">
      <w:lvlJc w:val="left"/>
      <w:lvlText w:val="(%1)"/>
      <w:numFmt w:val="lowerRoman"/>
      <w:start w:val="2"/>
    </w:lvl>
  </w:abstractNum>
  <w:abstractNum w:abstractNumId="75">
    <w:nsid w:val="7055A5F5"/>
    <w:multiLevelType w:val="hybridMultilevel"/>
    <w:lvl w:ilvl="0">
      <w:lvlJc w:val="left"/>
      <w:lvlText w:val="(%1)"/>
      <w:numFmt w:val="decimal"/>
      <w:start w:val="1"/>
    </w:lvl>
  </w:abstractNum>
  <w:abstractNum w:abstractNumId="76">
    <w:nsid w:val="5FB8370B"/>
    <w:multiLevelType w:val="hybridMultilevel"/>
    <w:lvl w:ilvl="0">
      <w:lvlJc w:val="left"/>
      <w:lvlText w:val="(%1)"/>
      <w:numFmt w:val="decimal"/>
      <w:start w:val="2"/>
    </w:lvl>
  </w:abstractNum>
  <w:abstractNum w:abstractNumId="77">
    <w:nsid w:val="50801EE1"/>
    <w:multiLevelType w:val="hybridMultilevel"/>
    <w:lvl w:ilvl="0">
      <w:lvlJc w:val="left"/>
      <w:lvlText w:val="●"/>
      <w:numFmt w:val="bullet"/>
      <w:start w:val="1"/>
    </w:lvl>
  </w:abstractNum>
  <w:abstractNum w:abstractNumId="78">
    <w:nsid w:val="488AC1A"/>
    <w:multiLevelType w:val="hybridMultilevel"/>
    <w:lvl w:ilvl="0">
      <w:lvlJc w:val="left"/>
      <w:lvlText w:val="(%1)"/>
      <w:numFmt w:val="decimal"/>
      <w:start w:val="1"/>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1)"/>
      <w:numFmt w:val="decimal"/>
      <w:start w:val="1"/>
    </w:lvl>
  </w:abstractNum>
  <w:abstractNum w:abstractNumId="81">
    <w:nsid w:val="7672BD23"/>
    <w:multiLevelType w:val="hybridMultilevel"/>
    <w:lvl w:ilvl="0">
      <w:lvlJc w:val="left"/>
      <w:lvlText w:val="(%1)"/>
      <w:numFmt w:val="decimal"/>
      <w:start w:val="2"/>
    </w:lvl>
  </w:abstractNum>
  <w:abstractNum w:abstractNumId="82">
    <w:nsid w:val="6FC75AF8"/>
    <w:multiLevelType w:val="hybridMultilevel"/>
    <w:lvl w:ilvl="0">
      <w:lvlJc w:val="left"/>
      <w:lvlText w:val="•"/>
      <w:numFmt w:val="bullet"/>
      <w:start w:val="1"/>
    </w:lvl>
  </w:abstractNum>
  <w:abstractNum w:abstractNumId="83">
    <w:nsid w:val="6A5F7029"/>
    <w:multiLevelType w:val="hybridMultilevel"/>
    <w:lvl w:ilvl="0">
      <w:lvlJc w:val="left"/>
      <w:lvlText w:val="●"/>
      <w:numFmt w:val="bullet"/>
      <w:start w:val="1"/>
    </w:lvl>
  </w:abstractNum>
  <w:abstractNum w:abstractNumId="84">
    <w:nsid w:val="7D5E18F8"/>
    <w:multiLevelType w:val="hybridMultilevel"/>
    <w:lvl w:ilvl="0">
      <w:lvlJc w:val="left"/>
      <w:lvlText w:val="●"/>
      <w:numFmt w:val="bullet"/>
      <w:start w:val="1"/>
    </w:lvl>
  </w:abstractNum>
  <w:abstractNum w:abstractNumId="85">
    <w:nsid w:val="5F3534A4"/>
    <w:multiLevelType w:val="hybridMultilevel"/>
    <w:lvl w:ilvl="0">
      <w:lvlJc w:val="left"/>
      <w:lvlText w:val="(%1)"/>
      <w:numFmt w:val="lowerRoman"/>
      <w:start w:val="1"/>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2"/>
    </w:lvl>
  </w:abstractNum>
  <w:abstractNum w:abstractNumId="88">
    <w:nsid w:val="555C55B5"/>
    <w:multiLevelType w:val="hybridMultilevel"/>
    <w:lvl w:ilvl="0">
      <w:lvlJc w:val="left"/>
      <w:lvlText w:val="(%1)"/>
      <w:numFmt w:val="lowerLetter"/>
      <w:start w:val="3"/>
    </w:lvl>
  </w:abstractNum>
  <w:abstractNum w:abstractNumId="89">
    <w:nsid w:val="3FA62ACA"/>
    <w:multiLevelType w:val="hybridMultilevel"/>
    <w:lvl w:ilvl="0">
      <w:lvlJc w:val="left"/>
      <w:lvlText w:val="(%1)"/>
      <w:numFmt w:val="lowerLetter"/>
      <w:start w:val="6"/>
    </w:lvl>
  </w:abstractNum>
  <w:abstractNum w:abstractNumId="90">
    <w:nsid w:val="14FCE74E"/>
    <w:multiLevelType w:val="hybridMultilevel"/>
    <w:lvl w:ilvl="0">
      <w:lvlJc w:val="left"/>
      <w:lvlText w:val="(%1)"/>
      <w:numFmt w:val="lowerLetter"/>
      <w:start w:val="7"/>
    </w:lvl>
  </w:abstractNum>
  <w:abstractNum w:abstractNumId="91">
    <w:nsid w:val="6A3DD3E8"/>
    <w:multiLevelType w:val="hybridMultilevel"/>
    <w:lvl w:ilvl="0">
      <w:lvlJc w:val="left"/>
      <w:lvlText w:val="(%1)"/>
      <w:numFmt w:val="lowerLetter"/>
      <w:start w:val="8"/>
    </w:lvl>
  </w:abstractNum>
  <w:abstractNum w:abstractNumId="92">
    <w:nsid w:val="71C91298"/>
    <w:multiLevelType w:val="hybridMultilevel"/>
    <w:lvl w:ilvl="0">
      <w:lvlJc w:val="left"/>
      <w:lvlText w:val="(%1)"/>
      <w:numFmt w:val="lowerRoman"/>
      <w:start w:val="1"/>
    </w:lvl>
  </w:abstractNum>
  <w:abstractNum w:abstractNumId="93">
    <w:nsid w:val="9DAF632"/>
    <w:multiLevelType w:val="hybridMultilevel"/>
    <w:lvl w:ilvl="0">
      <w:lvlJc w:val="left"/>
      <w:lvlText w:val="(%1)"/>
      <w:numFmt w:val="lowerLetter"/>
      <w:start w:val="10"/>
    </w:lvl>
  </w:abstractNum>
  <w:abstractNum w:abstractNumId="94">
    <w:nsid w:val="53299938"/>
    <w:multiLevelType w:val="hybridMultilevel"/>
    <w:lvl w:ilvl="0">
      <w:lvlJc w:val="left"/>
      <w:lvlText w:val="(%1)"/>
      <w:numFmt w:val="lowerLetter"/>
      <w:start w:val="11"/>
    </w:lvl>
  </w:abstractNum>
  <w:abstractNum w:abstractNumId="95">
    <w:nsid w:val="1FBFE8E0"/>
    <w:multiLevelType w:val="hybridMultilevel"/>
    <w:lvl w:ilvl="0">
      <w:lvlJc w:val="left"/>
      <w:lvlText w:val="(%1)"/>
      <w:numFmt w:val="lowerLetter"/>
      <w:start w:val="12"/>
    </w:lvl>
  </w:abstractNum>
  <w:abstractNum w:abstractNumId="96">
    <w:nsid w:val="5092CA79"/>
    <w:multiLevelType w:val="hybridMultilevel"/>
    <w:lvl w:ilvl="0">
      <w:lvlJc w:val="left"/>
      <w:lvlText w:val="$"/>
      <w:numFmt w:val="bullet"/>
      <w:start w:val="1"/>
    </w:lvl>
  </w:abstractNum>
  <w:abstractNum w:abstractNumId="97">
    <w:nsid w:val="1D545C4D"/>
    <w:multiLevelType w:val="hybridMultilevel"/>
    <w:lvl w:ilvl="0">
      <w:lvlJc w:val="left"/>
      <w:lvlText w:val="$"/>
      <w:numFmt w:val="bullet"/>
      <w:start w:val="1"/>
    </w:lvl>
  </w:abstractNum>
  <w:abstractNum w:abstractNumId="98">
    <w:nsid w:val="59ADEA3D"/>
    <w:multiLevelType w:val="hybridMultilevel"/>
    <w:lvl w:ilvl="0">
      <w:lvlJc w:val="left"/>
      <w:lvlText w:val="(%1)"/>
      <w:numFmt w:val="lowerLetter"/>
      <w:start w:val="1"/>
    </w:lvl>
  </w:abstractNum>
  <w:abstractNum w:abstractNumId="99">
    <w:nsid w:val="288F1A34"/>
    <w:multiLevelType w:val="hybridMultilevel"/>
    <w:lvl w:ilvl="0">
      <w:lvlJc w:val="left"/>
      <w:lvlText w:val="(%1)"/>
      <w:numFmt w:val="lowerLetter"/>
      <w:start w:val="2"/>
    </w:lvl>
  </w:abstractNum>
  <w:abstractNum w:abstractNumId="100">
    <w:nsid w:val="2A155DBC"/>
    <w:multiLevelType w:val="hybridMultilevel"/>
    <w:lvl w:ilvl="0">
      <w:lvlJc w:val="left"/>
      <w:lvlText w:val="(%1)"/>
      <w:numFmt w:val="lowerLetter"/>
      <w:start w:val="3"/>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2"/>
    </w:lvl>
  </w:abstractNum>
  <w:abstractNum w:abstractNumId="103">
    <w:nsid w:val="51088277"/>
    <w:multiLevelType w:val="hybridMultilevel"/>
    <w:lvl w:ilvl="0">
      <w:lvlJc w:val="left"/>
      <w:lvlText w:val="(%1)"/>
      <w:numFmt w:val="lowerLetter"/>
      <w:start w:val="3"/>
    </w:lvl>
  </w:abstractNum>
  <w:abstractNum w:abstractNumId="104">
    <w:nsid w:val="1CA0C5FA"/>
    <w:multiLevelType w:val="hybridMultilevel"/>
    <w:lvl w:ilvl="0">
      <w:lvlJc w:val="left"/>
      <w:lvlText w:val="$"/>
      <w:numFmt w:val="bullet"/>
      <w:start w:val="1"/>
    </w:lvl>
  </w:abstractNum>
  <w:abstractNum w:abstractNumId="105">
    <w:nsid w:val="53584BCB"/>
    <w:multiLevelType w:val="hybridMultilevel"/>
    <w:lvl w:ilvl="0">
      <w:lvlJc w:val="left"/>
      <w:lvlText w:val="$"/>
      <w:numFmt w:val="bullet"/>
      <w:start w:val="1"/>
    </w:lvl>
  </w:abstractNum>
  <w:abstractNum w:abstractNumId="106">
    <w:nsid w:val="415E286C"/>
    <w:multiLevelType w:val="hybridMultilevel"/>
    <w:lvl w:ilvl="0">
      <w:lvlJc w:val="left"/>
      <w:lvlText w:val="%1"/>
      <w:numFmt w:val="decimal"/>
      <w:start w:val="107"/>
    </w:lvl>
  </w:abstractNum>
  <w:abstractNum w:abstractNumId="107">
    <w:nsid w:val="7C58FD05"/>
    <w:multiLevelType w:val="hybridMultilevel"/>
    <w:lvl w:ilvl="0">
      <w:lvlJc w:val="left"/>
      <w:lvlText w:val="*"/>
      <w:numFmt w:val="bullet"/>
      <w:start w:val="1"/>
    </w:lvl>
  </w:abstractNum>
  <w:abstractNum w:abstractNumId="108">
    <w:nsid w:val="23D86AAC"/>
    <w:multiLevelType w:val="hybridMultilevel"/>
    <w:lvl w:ilvl="0">
      <w:lvlJc w:val="left"/>
      <w:lvlText w:val="#"/>
      <w:numFmt w:val="bullet"/>
      <w:start w:val="1"/>
    </w:lvl>
  </w:abstractNum>
  <w:abstractNum w:abstractNumId="109">
    <w:nsid w:val="45E6D486"/>
    <w:multiLevelType w:val="hybridMultilevel"/>
    <w:lvl w:ilvl="0">
      <w:lvlJc w:val="left"/>
      <w:lvlText w:val="+"/>
      <w:numFmt w:val="bullet"/>
      <w:start w:val="1"/>
    </w:lvl>
  </w:abstractNum>
  <w:abstractNum w:abstractNumId="110">
    <w:nsid w:val="5C10FE21"/>
    <w:multiLevelType w:val="hybridMultilevel"/>
    <w:lvl w:ilvl="0">
      <w:lvlJc w:val="left"/>
      <w:lvlText w:val="^"/>
      <w:numFmt w:val="bullet"/>
      <w:start w:val="1"/>
    </w:lvl>
  </w:abstractNum>
  <w:abstractNum w:abstractNumId="111">
    <w:nsid w:val="E7FFA2B"/>
    <w:multiLevelType w:val="hybridMultilevel"/>
    <w:lvl w:ilvl="0">
      <w:lvlJc w:val="left"/>
      <w:lvlText w:val="(%1)"/>
      <w:numFmt w:val="decimal"/>
      <w:start w:val="1"/>
    </w:lvl>
  </w:abstractNum>
  <w:abstractNum w:abstractNumId="112">
    <w:nsid w:val="3C5991AA"/>
    <w:multiLevelType w:val="hybridMultilevel"/>
    <w:lvl w:ilvl="0">
      <w:lvlJc w:val="left"/>
      <w:lvlText w:val="(%1)"/>
      <w:numFmt w:val="lowerRoman"/>
      <w:start w:val="2"/>
    </w:lvl>
  </w:abstractNum>
  <w:abstractNum w:abstractNumId="113">
    <w:nsid w:val="4BD8591A"/>
    <w:multiLevelType w:val="hybridMultilevel"/>
    <w:lvl w:ilvl="0">
      <w:lvlJc w:val="left"/>
      <w:lvlText w:val="(%1)"/>
      <w:numFmt w:val="decimal"/>
      <w:start w:val="2"/>
    </w:lvl>
  </w:abstractNum>
  <w:abstractNum w:abstractNumId="114">
    <w:nsid w:val="78DF6A55"/>
    <w:multiLevelType w:val="hybridMultilevel"/>
    <w:lvl w:ilvl="0">
      <w:lvlJc w:val="left"/>
      <w:lvlText w:val="(%1)"/>
      <w:numFmt w:val="lowerRoman"/>
      <w:start w:val="1"/>
    </w:lvl>
  </w:abstractNum>
  <w:abstractNum w:abstractNumId="115">
    <w:nsid w:val="39B7AAA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70" Type="http://schemas.openxmlformats.org/officeDocument/2006/relationships/image" Target="media/image239.png"/><Relationship Id="rId289" Type="http://schemas.openxmlformats.org/officeDocument/2006/relationships/image" Target="media/image240.png"/><Relationship Id="rId312" Type="http://schemas.openxmlformats.org/officeDocument/2006/relationships/image" Target="media/image241.png"/><Relationship Id="rId329" Type="http://schemas.openxmlformats.org/officeDocument/2006/relationships/image" Target="media/image242.png"/><Relationship Id="rId330" Type="http://schemas.openxmlformats.org/officeDocument/2006/relationships/image" Target="media/image243.png"/><Relationship Id="rId331" Type="http://schemas.openxmlformats.org/officeDocument/2006/relationships/image" Target="media/image244.png"/><Relationship Id="rId332" Type="http://schemas.openxmlformats.org/officeDocument/2006/relationships/image" Target="media/image245.jpeg"/><Relationship Id="rId333" Type="http://schemas.openxmlformats.org/officeDocument/2006/relationships/image" Target="media/image246.jpeg"/><Relationship Id="rId334" Type="http://schemas.openxmlformats.org/officeDocument/2006/relationships/image" Target="media/image247.png"/><Relationship Id="rId335" Type="http://schemas.openxmlformats.org/officeDocument/2006/relationships/image" Target="media/image248.jpeg"/><Relationship Id="rId336" Type="http://schemas.openxmlformats.org/officeDocument/2006/relationships/image" Target="media/image249.png"/><Relationship Id="rId246" Type="http://schemas.openxmlformats.org/officeDocument/2006/relationships/hyperlink" Target="http://www.sec.gov/Archives/edgar/data/72444/000143774917017777/ex_97866.htm" TargetMode="External"/><Relationship Id="rId247" Type="http://schemas.openxmlformats.org/officeDocument/2006/relationships/hyperlink" Target="http://www.sec.gov/Archives/edgar/data/72444/000143774918001951/ex_104594.htm" TargetMode="External"/><Relationship Id="rId248" Type="http://schemas.openxmlformats.org/officeDocument/2006/relationships/hyperlink" Target="http://www.sec.gov/Archives/edgar/data/72444/000143774916038645/ex3-1.htm" TargetMode="External"/><Relationship Id="rId249" Type="http://schemas.openxmlformats.org/officeDocument/2006/relationships/hyperlink" Target="http://www.sec.gov/Archives/edgar/data/72444/000119312518049470/d536843dex31.htm" TargetMode="External"/><Relationship Id="rId250" Type="http://schemas.openxmlformats.org/officeDocument/2006/relationships/hyperlink" Target="http://www.sec.gov/Archives/edgar/data/72444/000119312518049470/d536843dex32.htm" TargetMode="External"/><Relationship Id="rId251" Type="http://schemas.openxmlformats.org/officeDocument/2006/relationships/hyperlink" Target="http://www.sec.gov/Archives/edgar/data/72444/000143774919007847/ex_141491.htm" TargetMode="External"/><Relationship Id="rId252" Type="http://schemas.openxmlformats.org/officeDocument/2006/relationships/hyperlink" Target="http://www.sec.gov/Archives/edgar/data/72444/000143774920012735/ex_189396.htm" TargetMode="External"/><Relationship Id="rId253" Type="http://schemas.openxmlformats.org/officeDocument/2006/relationships/hyperlink" Target="http://www.sec.gov/Archives/edgar/data/72444/000143774922019415/ex_404948.htm" TargetMode="External"/><Relationship Id="rId254" Type="http://schemas.openxmlformats.org/officeDocument/2006/relationships/hyperlink" Target="http://www.sec.gov/Archives/edgar/data/72444/000143774924020194/ex_687496.htm" TargetMode="External"/><Relationship Id="rId255" Type="http://schemas.openxmlformats.org/officeDocument/2006/relationships/hyperlink" Target="http://www.sec.gov/Archives/edgar/data/72444/000143774923028774/ex_584587.htm" TargetMode="External"/><Relationship Id="rId256" Type="http://schemas.openxmlformats.org/officeDocument/2006/relationships/hyperlink" Target="http://www.sec.gov/Archives/edgar/data/72444/000151316218000319/exhibit4_2.htm" TargetMode="External"/><Relationship Id="rId257" Type="http://schemas.openxmlformats.org/officeDocument/2006/relationships/hyperlink" Target="http://www.sec.gov/Archives/edgar/data/72444/000104746919000376/a2237660zex-10_25.htm" TargetMode="External"/><Relationship Id="rId258" Type="http://schemas.openxmlformats.org/officeDocument/2006/relationships/hyperlink" Target="http://www.sec.gov/Archives/edgar/data/72444/000104746919002040/a2238393zex-4_4.htm" TargetMode="External"/><Relationship Id="rId259" Type="http://schemas.openxmlformats.org/officeDocument/2006/relationships/hyperlink" Target="http://www.sec.gov/Archives/edgar/data/72444/000104746919002040/a2238393zex-4_5.htm" TargetMode="External"/><Relationship Id="rId260" Type="http://schemas.openxmlformats.org/officeDocument/2006/relationships/hyperlink" Target="http://www.sec.gov/Archives/edgar/data/72444/000104746919005145/a2239642zex-4_3.htm" TargetMode="External"/><Relationship Id="rId261" Type="http://schemas.openxmlformats.org/officeDocument/2006/relationships/hyperlink" Target="http://www.sec.gov/Archives/edgar/data/72444/000104746919005145/a2239642zex-4_4.htm" TargetMode="External"/><Relationship Id="rId262" Type="http://schemas.openxmlformats.org/officeDocument/2006/relationships/hyperlink" Target="http://www.sec.gov/Archives/edgar/data/72444/000104746919005429/a2239755zex-4_5.htm" TargetMode="External"/><Relationship Id="rId263" Type="http://schemas.openxmlformats.org/officeDocument/2006/relationships/hyperlink" Target="http://www.sec.gov/Archives/edgar/data/72444/000143774920004112/ex_174753.htm" TargetMode="External"/><Relationship Id="rId264" Type="http://schemas.openxmlformats.org/officeDocument/2006/relationships/hyperlink" Target="http://www.sec.gov/Archives/edgar/data/72444/000143774920004112/ex_174754.htm" TargetMode="External"/><Relationship Id="rId265" Type="http://schemas.openxmlformats.org/officeDocument/2006/relationships/hyperlink" Target="http://www.sec.gov/Archives/edgar/data/72444/000143774926008023/ex_889926.htm" TargetMode="External"/><Relationship Id="rId266" Type="http://schemas.openxmlformats.org/officeDocument/2006/relationships/hyperlink" Target="http://www.sec.gov/Archives/edgar/data/72444/000119312518049470/d536843dex102.htm" TargetMode="External"/><Relationship Id="rId267" Type="http://schemas.openxmlformats.org/officeDocument/2006/relationships/hyperlink" Target="http://www.sec.gov/Archives/edgar/data/72444/000143774913005823/ex10-5.htm" TargetMode="External"/><Relationship Id="rId268" Type="http://schemas.openxmlformats.org/officeDocument/2006/relationships/hyperlink" Target="http://www.sec.gov/Archives/edgar/data/72444/000143774913005823/ex10-6.htm" TargetMode="External"/><Relationship Id="rId269" Type="http://schemas.openxmlformats.org/officeDocument/2006/relationships/hyperlink" Target="http://www.sec.gov/Archives/edgar/data/72444/000143774913005823/ex10-7.htm" TargetMode="External"/><Relationship Id="rId271" Type="http://schemas.openxmlformats.org/officeDocument/2006/relationships/hyperlink" Target="http://www.sec.gov/Archives/edgar/data/72444/000143774913005823/ex10-8.htm" TargetMode="External"/><Relationship Id="rId272" Type="http://schemas.openxmlformats.org/officeDocument/2006/relationships/hyperlink" Target="http://www.sec.gov/Archives/edgar/data/72444/000143774913005823/ex10-9.htm" TargetMode="External"/><Relationship Id="rId273" Type="http://schemas.openxmlformats.org/officeDocument/2006/relationships/hyperlink" Target="http://www.sec.gov/Archives/edgar/data/72444/000143774913012393/ex10-6.htm" TargetMode="External"/><Relationship Id="rId274" Type="http://schemas.openxmlformats.org/officeDocument/2006/relationships/hyperlink" Target="http://www.sec.gov/Archives/edgar/data/72444/000119312507079679/ddef14a.htm" TargetMode="External"/><Relationship Id="rId275" Type="http://schemas.openxmlformats.org/officeDocument/2006/relationships/hyperlink" Target="http://www.sec.gov/Archives/edgar/data/72444/000143774913015786/ex10-1.htm" TargetMode="External"/><Relationship Id="rId276" Type="http://schemas.openxmlformats.org/officeDocument/2006/relationships/hyperlink" Target="http://www.sec.gov/Archives/edgar/data/72444/000143774916029948/ex10-1.htm" TargetMode="External"/><Relationship Id="rId277" Type="http://schemas.openxmlformats.org/officeDocument/2006/relationships/hyperlink" Target="http://www.sec.gov/Archives/edgar/data/72444/000143774916029948/ex10-2.htm" TargetMode="External"/><Relationship Id="rId278" Type="http://schemas.openxmlformats.org/officeDocument/2006/relationships/hyperlink" Target="http://www.sec.gov/Archives/edgar/data/72444/000143774917008297/ex10-1.htm" TargetMode="External"/><Relationship Id="rId279" Type="http://schemas.openxmlformats.org/officeDocument/2006/relationships/hyperlink" Target="http://www.sec.gov/Archives/edgar/data/72444/000143774916039160/bota20160927_def14a.htm" TargetMode="External"/><Relationship Id="rId280" Type="http://schemas.openxmlformats.org/officeDocument/2006/relationships/hyperlink" Target="http://www.sec.gov/Archives/edgar/data/72444/000143774917020581/ex_101915.htm" TargetMode="External"/><Relationship Id="rId281" Type="http://schemas.openxmlformats.org/officeDocument/2006/relationships/hyperlink" Target="http://www.sec.gov/Archives/edgar/data/72444/000119312518049470/d536843dex103.htm" TargetMode="External"/><Relationship Id="rId282" Type="http://schemas.openxmlformats.org/officeDocument/2006/relationships/hyperlink" Target="http://www.sec.gov/Archives/edgar/data/72444/000143774917021271/ex_102435.htm" TargetMode="External"/><Relationship Id="rId283" Type="http://schemas.openxmlformats.org/officeDocument/2006/relationships/hyperlink" Target="http://www.sec.gov/Archives/edgar/data/72444/000143774917021271/ex_102448.htm" TargetMode="External"/><Relationship Id="rId284" Type="http://schemas.openxmlformats.org/officeDocument/2006/relationships/hyperlink" Target="http://www.sec.gov/Archives/edgar/data/72444/000143774917021271/ex_102449.htm" TargetMode="External"/><Relationship Id="rId285" Type="http://schemas.openxmlformats.org/officeDocument/2006/relationships/hyperlink" Target="http://www.sec.gov/Archives/edgar/data/72444/000151316218000154/exhibit10_1.htm" TargetMode="External"/><Relationship Id="rId286" Type="http://schemas.openxmlformats.org/officeDocument/2006/relationships/hyperlink" Target="http://www.sec.gov/Archives/edgar/data/72444/000143774920014783/ex_192635.htm" TargetMode="External"/><Relationship Id="rId287" Type="http://schemas.openxmlformats.org/officeDocument/2006/relationships/hyperlink" Target="http://www.sec.gov/Archives/edgar/data/72444/000143774920014783/ex_192636.htm" TargetMode="External"/><Relationship Id="rId288" Type="http://schemas.openxmlformats.org/officeDocument/2006/relationships/hyperlink" Target="http://www.sec.gov/Archives/edgar/data/72444/000143774919007847/ex_141494.htm" TargetMode="External"/><Relationship Id="rId290" Type="http://schemas.openxmlformats.org/officeDocument/2006/relationships/hyperlink" Target="http://www.sec.gov/Archives/edgar/data/72444/000104746919005429/a2239755zex-10_30.htm" TargetMode="External"/><Relationship Id="rId291" Type="http://schemas.openxmlformats.org/officeDocument/2006/relationships/hyperlink" Target="http://www.sec.gov/Archives/edgar/data/72444/000143774919018711/ex_158186.htm" TargetMode="External"/><Relationship Id="rId292" Type="http://schemas.openxmlformats.org/officeDocument/2006/relationships/hyperlink" Target="http://www.sec.gov/Archives/edgar/data/72444/000143774920010425/ex_184915.htm" TargetMode="External"/><Relationship Id="rId293" Type="http://schemas.openxmlformats.org/officeDocument/2006/relationships/hyperlink" Target="http://www.sec.gov/Archives/edgar/data/72444/000143774920013152/ex_190535.htm" TargetMode="External"/><Relationship Id="rId294" Type="http://schemas.openxmlformats.org/officeDocument/2006/relationships/hyperlink" Target="http://www.sec.gov/Archives/edgar/data/72444/000143774920023615/ex_212784.htm" TargetMode="External"/><Relationship Id="rId295" Type="http://schemas.openxmlformats.org/officeDocument/2006/relationships/hyperlink" Target="http://www.sec.gov/Archives/edgar/data/72444/000143774920023615/ex_212785.htm" TargetMode="External"/><Relationship Id="rId296" Type="http://schemas.openxmlformats.org/officeDocument/2006/relationships/hyperlink" Target="http://www.sec.gov/Archives/edgar/data/72444/000143774920023615/ex_212786.htm" TargetMode="External"/><Relationship Id="rId297" Type="http://schemas.openxmlformats.org/officeDocument/2006/relationships/hyperlink" Target="http://www.sec.gov/Archives/edgar/data/72444/000143774921004115/ex_224964.htm" TargetMode="External"/><Relationship Id="rId298" Type="http://schemas.openxmlformats.org/officeDocument/2006/relationships/hyperlink" Target="http://www.sec.gov/Archives/edgar/data/72444/000143774921022493/ex_285460.htm" TargetMode="External"/><Relationship Id="rId299" Type="http://schemas.openxmlformats.org/officeDocument/2006/relationships/hyperlink" Target="http://www.sec.gov/Archives/edgar/data/72444/000143774921022493/ex_285461.htm" TargetMode="External"/><Relationship Id="rId300" Type="http://schemas.openxmlformats.org/officeDocument/2006/relationships/hyperlink" Target="http://www.sec.gov/Archives/edgar/data/72444/000143774921025287/ex_290201.htm" TargetMode="External"/><Relationship Id="rId301" Type="http://schemas.openxmlformats.org/officeDocument/2006/relationships/hyperlink" Target="http://www.sec.gov/Archives/edgar/data/72444/000143774922004354/ex_335023.htm" TargetMode="External"/><Relationship Id="rId302" Type="http://schemas.openxmlformats.org/officeDocument/2006/relationships/hyperlink" Target="http://www.sec.gov/Archives/edgar/data/72444/000143774922011554/ex_364726.htm" TargetMode="External"/><Relationship Id="rId303" Type="http://schemas.openxmlformats.org/officeDocument/2006/relationships/hyperlink" Target="http://www.sec.gov/Archives/edgar/data/72444/000143774924025556/ex_709042.htm" TargetMode="External"/><Relationship Id="rId304" Type="http://schemas.openxmlformats.org/officeDocument/2006/relationships/hyperlink" Target="http://www.sec.gov/Archives/edgar/data/72444/000143774922019415/ex_405687.htm" TargetMode="External"/><Relationship Id="rId305" Type="http://schemas.openxmlformats.org/officeDocument/2006/relationships/hyperlink" Target="http://www.sec.gov/Archives/edgar/data/72444/000143774924020194/ex_687497.htm" TargetMode="External"/><Relationship Id="rId306" Type="http://schemas.openxmlformats.org/officeDocument/2006/relationships/hyperlink" Target="http://www.sec.gov/Archives/edgar/data/72444/000143774924020194/ex_687498.htm" TargetMode="External"/><Relationship Id="rId307" Type="http://schemas.openxmlformats.org/officeDocument/2006/relationships/hyperlink" Target="http://www.sec.gov/Archives/edgar/data/72444/000143774923006688/ex_473277.htm" TargetMode="External"/><Relationship Id="rId308" Type="http://schemas.openxmlformats.org/officeDocument/2006/relationships/hyperlink" Target="http://www.sec.gov/Archives/edgar/data/72444/000143774923012560/ex_513186.htm" TargetMode="External"/><Relationship Id="rId309" Type="http://schemas.openxmlformats.org/officeDocument/2006/relationships/hyperlink" Target="http://www.sec.gov/Archives/edgar/data/72444/000143774923012560/ex_513187.htm" TargetMode="External"/><Relationship Id="rId310" Type="http://schemas.openxmlformats.org/officeDocument/2006/relationships/hyperlink" Target="http://www.sec.gov/Archives/edgar/data/72444/000143774924001326/ex_615318.htm" TargetMode="External"/><Relationship Id="rId311" Type="http://schemas.openxmlformats.org/officeDocument/2006/relationships/hyperlink" Target="http://www.sec.gov/Archives/edgar/data/72444/000143774924007865/ex_639243.htm" TargetMode="External"/><Relationship Id="rId313" Type="http://schemas.openxmlformats.org/officeDocument/2006/relationships/hyperlink" Target="http://www.sec.gov/Archives/edgar/data/72444/000143774924001419/ex_615503.htm" TargetMode="External"/><Relationship Id="rId314" Type="http://schemas.openxmlformats.org/officeDocument/2006/relationships/hyperlink" Target="http://www.sec.gov/Archives/edgar/data/72444/000143774924002971/ex_622122.htm" TargetMode="External"/><Relationship Id="rId315" Type="http://schemas.openxmlformats.org/officeDocument/2006/relationships/hyperlink" Target="http://www.sec.gov/Archives/edgar/data/72444/000143774924006109/ex_631955.htm" TargetMode="External"/><Relationship Id="rId316" Type="http://schemas.openxmlformats.org/officeDocument/2006/relationships/hyperlink" Target="http://www.sec.gov/Archives/edgar/data/72444/000143774924006109/ex_631956.htm" TargetMode="External"/><Relationship Id="rId317" Type="http://schemas.openxmlformats.org/officeDocument/2006/relationships/hyperlink" Target="http://www.sec.gov/Archives/edgar/data/72444/000143774924006109/ex_631957.htm" TargetMode="External"/><Relationship Id="rId318" Type="http://schemas.openxmlformats.org/officeDocument/2006/relationships/hyperlink" Target="http://www.sec.gov/Archives/edgar/data/72444/000143774924006743/ex_635311.htm" TargetMode="External"/><Relationship Id="rId319" Type="http://schemas.openxmlformats.org/officeDocument/2006/relationships/hyperlink" Target="http://www.sec.gov/Archives/edgar/data/72444/000143774924025556/ex_709229.htm" TargetMode="External"/><Relationship Id="rId320" Type="http://schemas.openxmlformats.org/officeDocument/2006/relationships/hyperlink" Target="http://www.sec.gov/Archives/edgar/data/72444/000143774924025556/ex_709230.htm" TargetMode="External"/><Relationship Id="rId321" Type="http://schemas.openxmlformats.org/officeDocument/2006/relationships/hyperlink" Target="http://www.sec.gov/Archives/edgar/data/72444/000143774924034927/ex_743953.htm" TargetMode="External"/><Relationship Id="rId322" Type="http://schemas.openxmlformats.org/officeDocument/2006/relationships/hyperlink" Target="http://www.sec.gov/Archives/edgar/data/72444/000143774925008572/ex_788840.htm" TargetMode="External"/><Relationship Id="rId323" Type="http://schemas.openxmlformats.org/officeDocument/2006/relationships/hyperlink" Target="http://www.sec.gov/Archives/edgar/data/72444/000143774925003319/ex_776577.htm" TargetMode="External"/><Relationship Id="rId324" Type="http://schemas.openxmlformats.org/officeDocument/2006/relationships/hyperlink" Target="http://www.sec.gov/Archives/edgar/data/72444/000143774925034840/ex_887368.htm" TargetMode="External"/><Relationship Id="rId325" Type="http://schemas.openxmlformats.org/officeDocument/2006/relationships/hyperlink" Target="http://www.sec.gov/Archives/edgar/data/72444/000143774925034840/ex_887369.htm" TargetMode="External"/><Relationship Id="rId326" Type="http://schemas.openxmlformats.org/officeDocument/2006/relationships/hyperlink" Target="http://www.sec.gov/Archives/edgar/data/72444/000143774926008023/ex_929726.htm" TargetMode="External"/><Relationship Id="rId327" Type="http://schemas.openxmlformats.org/officeDocument/2006/relationships/hyperlink" Target="http://www.sec.gov/Archives/edgar/data/72444/000143774926012623/ex_947186.htm" TargetMode="External"/><Relationship Id="rId328" Type="http://schemas.openxmlformats.org/officeDocument/2006/relationships/hyperlink" Target="http://www.sec.gov/Archives/edgar/data/72444/000143774926012623/ex_94718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2026-05-08T16:38:06Z</dcterms:created>
  <dcterms:modified xsi:type="dcterms:W3CDTF">2026-05-08T16:38:06Z</dcterms:modified>
</cp:coreProperties>
</file>