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 (June 13, 2024)</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Vaxart,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001-35285</w:t>
            </w:r>
          </w:p>
        </w:tc>
        <w:tc>
          <w:tcPr>
            <w:tcW w:w="35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59-1212264</w:t>
            </w:r>
          </w:p>
        </w:tc>
      </w:tr>
      <w:tr>
        <w:trPr>
          <w:trHeight w:val="232"/>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12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7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 California</w:t>
            </w:r>
          </w:p>
        </w:tc>
        <w:tc>
          <w:tcPr>
            <w:tcW w:w="35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2"/>
        </w:trPr>
        <w:tc>
          <w:tcPr>
            <w:tcW w:w="76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(650) 550-3500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13, 2024, Vaxart, Inc. (the “Company”) entered into an underwriting agreement (the “Underwriting Agreement”) with Oppenheimer &amp; Co. Inc. (“Oppenheimer”), relating to the issuance and sale by the Company in an underwritten registered direct offering (the “Offering”) of 50,000,000 shares (the “Shares”) of the Company’s common stock, par value $0.0001 per share (the “Common Stock”), at a price of $0.80 per share. The gross proceeds to the Company from the Offering are expected to be $40 million, before deducting the underwriting discounts and commissions and estimated offering expenses payable by the Company. All of the Shares are being sold by the Company. The closing of the Offering is expected to occur on June 17, 2024, subject to the satisfaction of customary closing conditions.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Oppenheimer,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Underwriting Agreement does not purport to be complete and is qualified in its entirety by reference to the Underwriting Agreement which is filed as Exhibit 1.1 hereto and incorporated herein by reference. A copy of the opinion of Thompson Hine LLP relating to the legality of the issuance and sale of the securities in the Offering is filed as Exhibit 5.1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t>The Offering was made pursuant to the Company’s registration statement on Form S-3 (File No. 333-270671), which was declared effective by the Securities and Exchange Commission (the “SEC”) on May 5, 2023, as supplemented by a prospectus supplement filed with the SEC pursuant to Rule 424(b) under the Securities Act. This Current Report on Form 8-K does not constitute an offer to sell or a solicitation of an offer to buy any of the Shares of Common Stock.</w:t>
      </w:r>
    </w:p>
    <w:p>
      <w:pPr>
        <w:spacing w:after="0" w:line="392"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On June 13, 2024, the Company issued a press release announcing the Offering. A copy of this press release is filed as Exhibit 99.1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made in reliance upon the safe harbor provisions of Section 27A of the Securities Act and Section 21E of the Securities Exchange Act of 1934, as amended. Forward-looking statements include all statements that do not relate solely to historical or current facts, and can be identified by the use of words such as “may,” “will,” “expect,” “project,” “estimate,” “anticipate,” “plan,” “believe,” “potential,” “should,” “continue” or the negative versions of those words or other comparable words. These forward-looking statements include statements about the Offering, such as the expected net proceeds and anticipated closing date. These forward-looking statements, which speak only as of the date of this Current Report on Form 8-K, are based on information currently available to the Company and its current plans or expectations, and are subject to a number of uncertainties and risks that could significantly affect current plans. Actual results and performance could differ materially from those projected in the forward-looking statements as a result of many factors, including the uncertainties related to market conditions and the completion of the Offering on the anticipated terms or at all. The Company’s forward-looking statements also involve assumptions that, if they prove incorrect, would cause its results to differ materially from those expressed or implied by such forward-looking statements. These and other risks concerning the Company’s business are described in additional detail in the Company’s Annual Report on Form 10-K for the year ended December 31, 2023, filed with the SEC on March 14, 2024, and in the Company’s other Periodic and Current Reports filed with the Securities and Exchange Commission. The Company is under no obligation to (and expressly disclaims any such obligation to) update or alter its forward-looking statements, whether as a result of new information, future events or otherwise.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June 13, 2024, by and between Vaxart, Inc. and Oppenheimer &amp; Co. Inc.</w:t>
            </w:r>
          </w:p>
        </w:tc>
        <w:tc>
          <w:tcPr>
            <w:tcW w:w="252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Thompson Hine LLP.</w:t>
            </w:r>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Thompson Hine LLP (included in Exhibit 5.1).</w:t>
            </w:r>
          </w:p>
        </w:tc>
        <w:tc>
          <w:tcPr>
            <w:tcW w:w="5880" w:type="dxa"/>
            <w:vAlign w:val="bottom"/>
            <w:gridSpan w:val="2"/>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June 13, 2024.</w:t>
            </w:r>
          </w:p>
        </w:tc>
      </w:tr>
      <w:tr>
        <w:trPr>
          <w:trHeight w:val="20"/>
        </w:trPr>
        <w:tc>
          <w:tcPr>
            <w:tcW w:w="11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8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VAXART, INC.</w:t>
            </w:r>
          </w:p>
        </w:tc>
        <w:tc>
          <w:tcPr>
            <w:tcW w:w="0" w:type="dxa"/>
            <w:vAlign w:val="bottom"/>
          </w:tcPr>
          <w:p>
            <w:pPr>
              <w:spacing w:after="0"/>
              <w:rPr>
                <w:sz w:val="1"/>
                <w:szCs w:val="1"/>
                <w:color w:val="auto"/>
              </w:rPr>
            </w:pPr>
          </w:p>
        </w:tc>
      </w:tr>
      <w:tr>
        <w:trPr>
          <w:trHeight w:val="6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Dated: June 14, 2024</w:t>
            </w:r>
          </w:p>
        </w:tc>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Steven Lo</w:t>
            </w:r>
          </w:p>
        </w:tc>
        <w:tc>
          <w:tcPr>
            <w:tcW w:w="0" w:type="dxa"/>
            <w:vAlign w:val="bottom"/>
          </w:tcPr>
          <w:p>
            <w:pPr>
              <w:spacing w:after="0"/>
              <w:rPr>
                <w:sz w:val="1"/>
                <w:szCs w:val="1"/>
                <w:color w:val="auto"/>
              </w:rPr>
            </w:pPr>
          </w:p>
        </w:tc>
      </w:tr>
      <w:tr>
        <w:trPr>
          <w:trHeight w:val="226"/>
        </w:trPr>
        <w:tc>
          <w:tcPr>
            <w:tcW w:w="47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6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Lo</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0880"/>
          </w:cols>
          <w:pgMar w:left="320" w:top="576"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 Shares of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0" w:lineRule="exact"/>
        <w:rPr>
          <w:sz w:val="20"/>
          <w:szCs w:val="20"/>
          <w:color w:val="auto"/>
        </w:rPr>
      </w:pPr>
    </w:p>
    <w:p>
      <w:pPr>
        <w:spacing w:after="0" w:line="24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13,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Oppenheimer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Broad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Vaxart, Inc.,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50,000,000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par value $0.0001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The amount and form of the Shares to be purchased by the Underwriters is set forth opposite its name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Oppenheimer &amp; Co. Inc. (“</w:t>
      </w:r>
      <w:r>
        <w:rPr>
          <w:rFonts w:ascii="Times New Roman" w:cs="Times New Roman" w:eastAsia="Times New Roman" w:hAnsi="Times New Roman"/>
          <w:sz w:val="18"/>
          <w:szCs w:val="18"/>
          <w:b w:val="1"/>
          <w:bCs w:val="1"/>
          <w:color w:val="auto"/>
        </w:rPr>
        <w:t>Oppenheimer</w:t>
      </w:r>
      <w:r>
        <w:rPr>
          <w:rFonts w:ascii="Times New Roman" w:cs="Times New Roman" w:eastAsia="Times New Roman" w:hAnsi="Times New Roman"/>
          <w:sz w:val="18"/>
          <w:szCs w:val="18"/>
          <w:color w:val="auto"/>
        </w:rPr>
        <w:t>”) has agreed to act as representative of the several Underwriters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xml:space="preserve">”) in connection with the offering and sale of the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as used herein shall mean you, as Underwriter, and the term “Underwriters” shall mean either the singular or the plural, as the context requires.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5" w:lineRule="exact"/>
        <w:rPr>
          <w:sz w:val="20"/>
          <w:szCs w:val="20"/>
          <w:color w:val="auto"/>
        </w:rPr>
      </w:pPr>
    </w:p>
    <w:p>
      <w:pPr>
        <w:ind w:right="20" w:firstLine="656"/>
        <w:spacing w:after="0" w:line="282" w:lineRule="auto"/>
        <w:tabs>
          <w:tab w:leader="none" w:pos="15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as of the date of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Applicable Time and the Closing Date (as hereinafter defined) as follows:</w:t>
      </w:r>
    </w:p>
    <w:p>
      <w:pPr>
        <w:spacing w:after="0" w:line="15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of the Company on Form S-3 (File No. 333-270671)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has been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including a prospectus, relating to certain securities, including the Shares, to be issued from time to time by the Company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Initial Registration Statement and any post-effective amendment thereto, each in the form heretofore delivered to you, have been declared effective by the Commission in such form; no stop order suspending the effectiveness of the Initial Registration Statement or any post-effective amendment, if any, has been issued, no proceeding for that purpose has been initiated or, to the Company's knowledge, threatened by the Commission and any request on the part of the Commission for additional information from the Company has been satisfied in all material respects. If the Company has filed an abbreviated registration statement pursuant to Rule 462(b) under the Securities Act (the “</w:t>
      </w:r>
      <w:r>
        <w:rPr>
          <w:rFonts w:ascii="Times New Roman" w:cs="Times New Roman" w:eastAsia="Times New Roman" w:hAnsi="Times New Roman"/>
          <w:sz w:val="18"/>
          <w:szCs w:val="18"/>
          <w:b w:val="1"/>
          <w:bCs w:val="1"/>
          <w:color w:val="auto"/>
        </w:rPr>
        <w:t>Rule 462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then any reference herein to the term “Registration Statement” shall be deemed to include such Rule 462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For purposes of this Agreement, any preliminary prospectus included in the Initial Registration Statement, as originally filed or as part of any amendment thereto, or filed with the Commission pursuant to Rule 424(b) of the rules and regulations of the Commission under the Securities Act is hereinafter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various parts of the Initial Registration Statement and the Rule 462(b) Registration Statement, if any, including (A) all documents incorporated by reference therein, (B) all schedules and exhibits thereto and (C) the information contained in the form of final prospectus filed with the Commission pursuant to Rule 424(b) under the Securities Act and deemed by virtue of Rule 430B under the Securities Act to be part of the Initial Registration Statement at the time it was declared effective or such part of the Rule 462(b) Registration Statement, if any, became or hereafter becomes effective, each as amended at the time such part of the Initial Registration Statement became effective, are hereinafter collectively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Preliminary Prospectus relating to the Shares that was included in the Registration Statement immediately prior to the Applicable Time (as defined in Section 1(c) hereof) is hereinafter called the “</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the final prospectus, in the form first filed pursuant to Rule 424(b) under the Securities Act, together with the Base Prospectus,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any “free writing prospectus” as defined in Rule 433 under the Securities Act relating to the Shares is hereinafter called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any reference to “amend”, “amendment” or “supplement” with respect to the Registration Statement, the Rule 462 Registration Statement, any Preliminary Prospectus, the Pricing Prospectus, the Initial Registration Statement, the Pricing Disclosure Package (as defined below) or the Prospectus shall be deemed to refer to and include any documents filed after the effective date of the Initial Registration Statement, the Registration Statement or the Rule 462 Registration Statement or the date of such Preliminary Prospectus, the Pricing Prospectus, the Pricing Disclosure Package or the Prospectus, as the case may be under the Securities Exchange Act of 1934, as amended, and the rules and regulations of the Commission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all references in this Agreement to financial statements and schedules and other information which are “contained,” “included” or “stated” in, or “part of” the Registration Statement, any Preliminary Prospectus, the Pricing Prospectus, the Pricing Disclosure Package or the Prospectus, and all other references of like import, shall be deemed to mean and include all such financial statements and schedules and other information which is or is deemed to be incorporated by reference in the Registration Statement, any Preliminary Prospectus, the Pricing Prospectus, the Pricing Disclosure Package or the Prospectus, as the case may be; all references in this Agreement to (I) the Registration Statement, any Preliminary Prospectus, the Pricing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Shares as contemplated by Section 3(n) of this Agreement.</w:t>
      </w:r>
    </w:p>
    <w:p>
      <w:pPr>
        <w:spacing w:after="0" w:line="204" w:lineRule="exact"/>
        <w:rPr>
          <w:sz w:val="20"/>
          <w:szCs w:val="20"/>
          <w:color w:val="auto"/>
        </w:rPr>
      </w:pPr>
    </w:p>
    <w:p>
      <w:pPr>
        <w:jc w:val="both"/>
        <w:ind w:firstLine="1304"/>
        <w:spacing w:after="0" w:line="261" w:lineRule="auto"/>
        <w:tabs>
          <w:tab w:leader="none" w:pos="21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respective times the Initial Registration Statement, any Rule 462(b) Registration Statement and any post-effective amendments thereto became effective and at the Closing Date, the Initial Registration Statement, any Rule 462(b) Registration Statement and any amendments and supplements thereto complied and will comply in all material respects with the requirements of the Securities Act and the rules and regulations of the Commission thereunder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Neither the Registration Statement nor any amendment thereto, at its effective time, as of the Applicable Time or at the Closing Date, contained, contains or will contain an untrue statement of a material fact or omitted, omits or will omit to state a material fact required to be stated therein or necessary to make the statements therein not misleading; (2) the Pricing Disclosure Package, as of the Applicable Time, did not include an untrue statement of a material fact or omit to state a material fact necessary in order to make the statements therein, in the light of the circumstances under which they were made, not misleading; and (3) as of the date of the Prospectus and any amendments or supplements thereto and at the Closing Date, neither the Prospectus nor any amendment or supplement thereto included or will include an untrue statement of a material fact or omitted or will omit to state a material fact necessary in order to make the statements therein, in light of the circumstances under which they were made, not misleading; provided that the representations and warranties in clauses (1), (2) and (3) above shall not apply to statements in or omissions from the Pricing Disclosure Package or the Prospectus made in reliance upon and in strict conformity with information furnished to the Company in writing by the Underwriters expressly for use in the Pricing Disclosure Package or the Prospectus or any amendment or supplement thereto, it being understood and agreed that the only such information provided by the Underwriter that constitutes Underwriter Information (as defined below). No order preventing or suspending the use of any Preliminary Prospectus, the Pricing Prospectus, the Prospectus or any free writing prospectus has been issued by the Commission;</w:t>
      </w:r>
    </w:p>
    <w:p>
      <w:pPr>
        <w:spacing w:after="0" w:line="18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7:00 p.m. (Eastern time) on June 13, 2024.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means the Base Prospectus, as amended or supplemented immediately prior to the Applicable Time, together with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the pricing information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 of the Shares contemplated hereby that is a “written communication”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left="-1120" w:firstLine="1304"/>
        <w:spacing w:after="0" w:line="254" w:lineRule="auto"/>
        <w:tabs>
          <w:tab w:leader="none" w:pos="10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Pricing Prospectus, and the Prospectus filed as part of the Initial Registration Statement as originally filed or as part of any amendment thereto, or filed pursuant to Rule 424(b) under the Securities Act, complied when so filed in all material respects with the requirements of the Securities Act and the Rules and Regulations and any Preliminary Prospectus, Pricing Prospectus, and the Prospectus delivered to the Underwriter for use in connection with this offering was identical to the electronically transmitted copies thereof filed with the Commission pursuant to EDGAR, except to the extent permitted by Regulation S-T. The documents incorporated or deemed to be incorporated by reference in the Registration Statement, the Pricing Prospectus and the Prospectus, at the time they were or hereafter are filed with the Commission, or became effective under the Exchange Act, as the case may be, complied and will comply in all material respects with the requirements of the Exchange Act. There are no contracts or other documents required to be described in any Preliminary Prospectus, Pricing Prospectus, or the Prospectus or to be filed as an exhibit to the Registration Statement which have not been described or filed as required.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 Road Show</w:t>
      </w:r>
      <w:r>
        <w:rPr>
          <w:rFonts w:ascii="Times New Roman" w:cs="Times New Roman" w:eastAsia="Times New Roman" w:hAnsi="Times New Roman"/>
          <w:sz w:val="18"/>
          <w:szCs w:val="18"/>
          <w:color w:val="auto"/>
        </w:rPr>
        <w:t xml:space="preserve">. The Company is not, and at the time of filing the Initial Registration Statement, was not an “ineligible issuer,” as defined under Rule 405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Pricing Disclosure Package, does not contain any untrue statement of a material fact or omit to state a material fact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Prior to the completion of the Underwriters' distribution, the Company has not distributed and will not distribute any offering material in connection with the offering and sale of the Shares other than the Registration Statement, the Pricing Disclosure Package and the Prospectus.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9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the Closing Date,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46" w:lineRule="exact"/>
        <w:rPr>
          <w:rFonts w:ascii="Times New Roman" w:cs="Times New Roman" w:eastAsia="Times New Roman" w:hAnsi="Times New Roman"/>
          <w:sz w:val="18"/>
          <w:szCs w:val="18"/>
          <w:color w:val="auto"/>
        </w:rPr>
      </w:pPr>
    </w:p>
    <w:p>
      <w:pPr>
        <w:jc w:val="both"/>
        <w:ind w:left="-1120" w:firstLine="1304"/>
        <w:spacing w:after="0" w:line="236" w:lineRule="exact"/>
        <w:tabs>
          <w:tab w:leader="none" w:pos="8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data included in the Registration Statement, the Pricing Disclosure Package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7" w:name="page8"/>
    <w:bookmarkEnd w:id="7"/>
    <w:p>
      <w:pPr>
        <w:jc w:val="both"/>
        <w:ind w:left="-8" w:firstLine="1304"/>
        <w:spacing w:after="0" w:line="253" w:lineRule="auto"/>
        <w:tabs>
          <w:tab w:leader="none" w:pos="19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(other than any significant deficiencies previously disclosed to the Underwriters)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9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Pricing Disclosure Package and the Prospectus.</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95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Pricing Disclosure Package and the Prospectus, and the issuance and sale of the Shares is not subject to any preemptive rights, rights of first refusal or other similar rights to subscribe for or purchase the Shares.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00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92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given in the Registration Statement, the Pricing Disclosure Package and the Prospectus: (i) there has been no material adverse change, or any development that would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202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WithumSmith+Brown, PC, which has expressed its opinion with respect to the December 31, 2023 and December 31, 2022 financial statements, (which term as used in this Agreement includes the related notes and supporting schedules, if any, thereto) filed with the Commission as a part of the Registration Statement, the Pricing Disclosure Package and the Prospectus, is (or was at the date of its opinion)</w:t>
      </w:r>
    </w:p>
    <w:p>
      <w:pPr>
        <w:spacing w:after="0" w:line="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WithumSmith+Brown, PC has not been engaged by the Company to perform any “prohibited activities” or provided to the Company any “non-audit services” (as defined in Section 10A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8" w:name="page9"/>
    <w:bookmarkEnd w:id="8"/>
    <w:p>
      <w:pPr>
        <w:jc w:val="both"/>
        <w:ind w:left="-1120" w:firstLine="1304"/>
        <w:spacing w:after="0" w:line="252" w:lineRule="auto"/>
        <w:tabs>
          <w:tab w:leader="none" w:pos="9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including the notes thereto and the supporting schedules, if any, filed with the Commission as a part of the Registration Statement, the Pricing Disclosure Package and the Prospectus present fairly the consolidated financial position of the Company and its subsidiaries as of the dates indicated and the results of their operations, changes in stockholders’ equity and cash flows for the periods specified. Such financial statements, and supporting schedules, if any, have been prepared in conformity with generally accepted accounting principles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Pricing Disclosure Package or the Prospectus. The financial data set forth in each of the Registration Statement, the Pricing Disclosure Package and the Prospectus under the caption “Description of Capital Stock” fairly present the information set forth therein on a basis consistent with that of the audited financial statements contained in the Registration Statement, the Pricing Disclosure Package and the Prospectus. The statistical, industry-related and market-related data included or incorporated by reference in the Registration Statement, the Pricing Disclosure Package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Pricing Disclosure Package and the Prospectus.</w:t>
      </w:r>
    </w:p>
    <w:p>
      <w:pPr>
        <w:spacing w:after="0" w:line="19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10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except where the failure to be so organized or existing or in good standing would not, individually or in the aggregate, reasonably be expected to result in a Material Adverse Change. The Company is duly qualified as a foreign corporation to transact business and is in good standing in the State of Delaware and each other jurisdiction in which such qualification is required, whether by reason of the ownership or leasing of property or the conduct of business, except to the extent that the failure to be so qualified or in good standing would not reasonably be expected, individually or in the aggregate, to result in a Material Adverse Change.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20" w:lineRule="exact"/>
        <w:tabs>
          <w:tab w:leader="none" w:pos="8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Pricing Disclosure Package and the Prospectus, except where the failure to be so organized or existing or in good standing would not, individually or in the aggregate, reasonably be expected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to the extent that the failure to be so qualified or in good standing could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21.1 to the Company’s most recent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 w:name="page10"/>
    <w:bookmarkEnd w:id="9"/>
    <w:p>
      <w:pPr>
        <w:jc w:val="both"/>
        <w:ind w:left="-1120" w:firstLine="1304"/>
        <w:spacing w:after="0" w:line="253" w:lineRule="auto"/>
        <w:tabs>
          <w:tab w:leader="none" w:pos="89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the Pricing Disclosure Package and the Prospectus under the captions “Description of Common Stock” and “Description of Preferred Stock” (other than for subsequent issuances, if any, pursuant to employee benefit plans described in the Pricing Disclosure Package and the Prospectus or upon the exercise of outstanding options or warrants, in each case described in the Registration Statement, Pricing Disclosure Package and the Prospectus). The Common Stock (including the Shares) conform in all material respects to the description thereof contained in the Pricing Disclosure Package and the Prospectus. All of the issued and outstanding Common Stock have been duly authorized and validly issued, are fully paid and nonassessable and have been issued in compliance with all federal and state securities laws. None of the outstanding Common Stock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Pricing Disclosure Package and the Prospectus. The descriptions of the Company’s stock option, stock bonus and other stock plans or arrangements, and the options or other rights granted thereunder, set forth in the Registration Statement, Pricing Disclosure Package and the Prospectus accurately and fairly presents the information required to be shown with respect to such plans, arrangements, options and rights.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8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Stock is registered pursuant to Section 12(b) or 12(g) of the Exchange Act and is listed on the Nasdaq Capital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of the Common Stock under the Exchange Act or delisting the Common Stock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17" w:lineRule="exact"/>
        <w:tabs>
          <w:tab w:leader="none" w:pos="8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could not be expected, individually or in the aggregate, to result in a Material Adverse Change. The Company’s execution, delivery and performance of this Agreement, consummation of the transactions contemplated hereby and by the Registration Statement, the Pricing Disclosure Package and the Prospectus and the issuance and sale of the Shares (including the use of proceeds from the sale of the Shares as described in the Registration Statement, the Pricing Disclosure Package and the Prospectus under the caption “Use of Proceeds”) (i) have been duly authorized by all necessary corporate action and will not result in any violation of the provisions of the charter or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could not be expected, individually or in the aggregate, to result in a Material Adverse Change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Pricing Disclosure Package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365125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 w:name="page11"/>
    <w:bookmarkEnd w:id="10"/>
    <w:p>
      <w:pPr>
        <w:jc w:val="both"/>
        <w:ind w:left="-1120" w:firstLine="1304"/>
        <w:spacing w:after="0" w:line="258" w:lineRule="auto"/>
        <w:tabs>
          <w:tab w:leader="none" w:pos="8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There is no action, suit, proceeding, inquiry or 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which could be expected, individually or in the aggregate, to result in a Material Adverse Change.</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8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possess, license or have other rights to use, or could obtain on commercially reasonable terms,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the conduct of their respective businesses as now conducted except to the extent that the failure to own, possess, license or otherwise hold adequate rights to use such Intellectual Property would not, individually or in the aggregate, result in a Material Adverse Change. Except as would as would not, individually or in the aggregate, reasonably be expected to result in a Material Adverse Change (i) there are no rights of third parties to any such Intellectual Property owned by the Company and its subsidiaries, except for licenses granted in the ordinary course to third parties, or that could not, individually or in the aggregate, reasonably be expected to result in a Material Adverse Change;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or the equivalent in any other jurisdiction, has been commenced against any patent or patent application described in the Registration Statement, the Pricing Disclosure Package and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19" w:lineRule="exact"/>
        <w:tabs>
          <w:tab w:leader="none" w:pos="9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each subsidiary possess such valid and current certificates, authorizations or permits required by state, federal or foreign regulatory agencies or bodies to conduct their respective businesses as currently conducted and as described in the Registration Statement, the Pricing Disclosure Package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for such failure as would not, individually or in the aggregate, reasonably be expected to result in a Material Adverse Change. Neither the Company nor any of its subsidiaries is in violation of, or in default under, any of the Permits or has received any notice of proceedings relating to the revocation or modification of,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any such certificate, authorization or permit, which, individually or in the aggregate, if the subject of an unfavorable decision, ruling or finding, could reasonably be expected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 w:name="page12"/>
    <w:bookmarkEnd w:id="11"/>
    <w:p>
      <w:pPr>
        <w:jc w:val="both"/>
        <w:ind w:left="-1120" w:firstLine="1304"/>
        <w:spacing w:after="0" w:line="254"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The Company and its subsidiaries do not own any real property. The Company and its subsidiaries has good and marketable title to all of the personal property and other assets reflected as owned in the financial statements referred to in </w:t>
      </w:r>
      <w:r>
        <w:rPr>
          <w:rFonts w:ascii="Times New Roman" w:cs="Times New Roman" w:eastAsia="Times New Roman" w:hAnsi="Times New Roman"/>
          <w:sz w:val="18"/>
          <w:szCs w:val="18"/>
          <w:u w:val="single" w:color="auto"/>
          <w:color w:val="auto"/>
        </w:rPr>
        <w:t>1(o)</w:t>
      </w:r>
      <w:r>
        <w:rPr>
          <w:rFonts w:ascii="Times New Roman" w:cs="Times New Roman" w:eastAsia="Times New Roman" w:hAnsi="Times New Roman"/>
          <w:sz w:val="18"/>
          <w:szCs w:val="18"/>
          <w:color w:val="auto"/>
        </w:rPr>
        <w:t xml:space="preserve"> above (or elsewhere in the Registration Statement, the Pricing Disclosure Package or the Prospectus), in each case free and clear of any security interests, mortgages, liens, encumbrances, equities, adverse claims and other defects, except where it would not, individually or in the aggregate, reasonably be expected to result in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 and would not otherwise result in a Material Adverse Change.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xml:space="preserve">. The Company and its subsidiaries have filed all necessary federal, state and foreign income and franchise tax returns or have properly requested extensions thereof and have paid all taxes required to be paid by any of them except insofar as the failure to file such returns would not, individually or in the aggregate, reasonably be expected to result in a Material Adverse Change and, if due and payable, any related or similar assessment, fine or penalty levied against any of them except as may be being contested in good faith and by appropriate proceedings or except insofar as the failure to file such returns would not, individually or in the aggregate, reasonably be expected to result in a Material Adverse Change. The Company has made adequate charges, accruals and reserves in the applicable financial statements referred to in </w:t>
      </w:r>
      <w:r>
        <w:rPr>
          <w:rFonts w:ascii="Times New Roman" w:cs="Times New Roman" w:eastAsia="Times New Roman" w:hAnsi="Times New Roman"/>
          <w:sz w:val="18"/>
          <w:szCs w:val="18"/>
          <w:u w:val="single" w:color="auto"/>
          <w:color w:val="auto"/>
        </w:rPr>
        <w:t>1(o)</w:t>
      </w:r>
      <w:r>
        <w:rPr>
          <w:rFonts w:ascii="Times New Roman" w:cs="Times New Roman" w:eastAsia="Times New Roman" w:hAnsi="Times New Roman"/>
          <w:sz w:val="18"/>
          <w:szCs w:val="18"/>
          <w:color w:val="auto"/>
        </w:rPr>
        <w:t xml:space="preserve"> above in respect of all federal, state and foreign income and franchise taxes for all periods as to which the tax liability of the Company or any of its subsidiaries has not been finally determined except to the extent of any inadequacy that would not reasonably be expected to result in a Material Adverse Change.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194" w:lineRule="exact"/>
        <w:rPr>
          <w:sz w:val="20"/>
          <w:szCs w:val="20"/>
          <w:color w:val="auto"/>
        </w:rPr>
      </w:pPr>
    </w:p>
    <w:p>
      <w:pPr>
        <w:jc w:val="both"/>
        <w:ind w:left="-1120" w:firstLine="1304"/>
        <w:spacing w:after="0" w:line="266" w:lineRule="auto"/>
        <w:tabs>
          <w:tab w:leader="none" w:pos="8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8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are insured by recognized, financially sound and reputable institutions with policies that, are to the Company’s knowledge,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not been informed by any insurance carrier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Neither the Company nor any of its subsidiaries has been denied any insurance coverage which it has sought or for which it has applied.</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nor to the knowledge of the Company, any of its or their respective directors, officers or controlling persons has taken, directly or indirectly, any action designed to or that might cause or result in stabilization or manipulation of the price of the Common Stock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Common Stock, whether to facilitate the sale or resale of the Shares or otherwise,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the Pricing Disclosure Package or the Prospectus which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-2640330</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 w:name="page13"/>
    <w:bookmarkEnd w:id="12"/>
    <w:p>
      <w:pPr>
        <w:jc w:val="both"/>
        <w:ind w:left="-1120" w:firstLine="1304"/>
        <w:spacing w:after="0" w:line="258"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is true, complete and correct. The Company meets the requirements for use of Form S-3 under the Securities Act specified in FINRA Rule 5110(h)(1)(C) and is an experienced issuer (as defined in FINRA Rule 5110(j)(6)).</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Neither the Company nor any of its subsidiaries nor, to the Company’s knowledge, any respective directors, officers, agents, employees or affiliates of the Company or any subsidiary, has made any contribution or other payment to any official of, or candidate for, any federal, state or foreign office in violation of any law or of the character required to be disclosed in the Registration Statement, the Pricing Disclosure Package and the Prospectus.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10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the Pricing Disclosure Package or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result in a Material Adverse Change.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10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7"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8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contemplated by this Agreement, other than pursuant to the terms of this Agreement.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9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its subsidiaries have been and are in compliance with all applicable laws, rules and regulations, except where failure to be so in compliance could not be expected, individually or in the aggregate,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 w:name="page14"/>
    <w:bookmarkEnd w:id="13"/>
    <w:p>
      <w:pPr>
        <w:jc w:val="both"/>
        <w:ind w:left="-1120" w:firstLine="1304"/>
        <w:spacing w:after="0" w:line="261" w:lineRule="auto"/>
        <w:tabs>
          <w:tab w:leader="none" w:pos="8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Neither the Company nor any of its subsidiaries nor any director, officer, or employee of the Company or any of its subsidiaries, nor to the knowledge of the Company, any agent, representative,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6"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10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research, preclinical tests and clinical trials,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that are described in, or the results of which are referred to in, the Registration Statement, the Pricing Disclosure Package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Pricing Disclosure Package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except for such failures that, individually or in the aggregate, would not reasonably be expected to result in a Material Adverse Change; neither the Company nor any of its subsidiaries has received any notice of, or correspondence from, any Regulatory Agency requiring the termination, suspension or modification of any clinical trials that are described or referred to in the Registration Statement, the Pricing Disclosure Package or the Prospectus; and the Company and its subsidiaries have each operated and currently are in compliance in all material respects with all applicable rules, regulations and policies of the Regulatory Agencies.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4" w:name="page15"/>
    <w:bookmarkEnd w:id="14"/>
    <w:p>
      <w:pPr>
        <w:jc w:val="both"/>
        <w:ind w:left="-1120" w:firstLine="1304"/>
        <w:spacing w:after="0" w:line="252" w:lineRule="auto"/>
        <w:tabs>
          <w:tab w:leader="none" w:pos="9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Neither the Company nor any of its subsidiaries, nor, to the Company’s knowledge, any director, officer, employee, agent, affiliate or representative of the Company or any of its subsidiaries is currently, or is owned or controlled by an individual or entity that is currently, the subject or the target of any U.S. sanctions administered or enforced by the United States government (including, without limitation,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the Crimea Region and the non-government controlled areas of the Zaporizhzhia and Kherson Regions of Ukraine, the so-called Donetsk People’s Republic, the so-called Luhansk People’s Republic and any other Covered Region of Ukraine identified pursuant to Executive Order 14065,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or the target of Sanctions or in any other manner that will result in a violation by any person or entity (including any person participating in the transaction whether as underwriter, advisor, investor or otherwise) of applicable Sanctions. The Company and its subsidiaries have not for the past ten years knowingly engaged in, and are not now knowingly engaged in, any dealings or transactions with any person or entity, or in any country or territory, that at the time of the dealing or transaction is or was the subject or the target of Sanctions or with any Sanctioned Country.</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compliance, and there is and has been no failure on the part of the Company and, to the Company’s knowledge, any of the Company’s directors or officers, in their capacities as such, to comply with, in all material respects, all applicable provisions of the Sarbanes-Oxley Act of 2002 and the rules and regulations promulgated thereunder.</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Underwriters in the United States or any political subdivision or taxing authority thereof or therein in connection with the execution, delivery or performance of this Agreement by the Company or the sale and delivery by the Company of the Shares.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8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to the Company’s knowledge,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confidential information and the integrity, continuous operation, redundancy and security of all IT Systems and data, including all “Personal Data” (defined below) and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(the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(v) any “personal information” as defined by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(vi)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have implemented backup and disaster recovery technology consistent with industry standards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 w:name="page16"/>
    <w:bookmarkEnd w:id="15"/>
    <w:p>
      <w:pPr>
        <w:jc w:val="both"/>
        <w:ind w:left="-1120" w:firstLine="1304"/>
        <w:spacing w:after="0" w:line="252"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presently in material compliance with all applicable laws or statutes and all judgments, orders, rules and regulations of any court or arbitrator or governmental or regulatory authority, including HIPAA and the GDPR, internal policies and contractual obligations relating to the privacy and security of IT Systems, Confidential Data and Personal Data and to the protection of such IT Systems, Confidential Data and Personal Data from unauthorized use, access, misappropriation or modification. The Company and its subsidiaries are, and at all prior times were, in material compliance with all applicable state and federal data privacy and security laws and regulations, including without limitation HIPAA, CCPA and GDPR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execution, delivery and performance of this Agreement or any other agreement referred to in this Agreement will not result in a breach of any Privacy Law or Policies. Neither the Company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Data Protection Requirement; or (iii) is a party to any order, decree, or agreement that imposes any obligation or liability by a governmental or regulatory authority under any Privacy Law.</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1" w:lineRule="auto"/>
        <w:tabs>
          <w:tab w:leader="none" w:pos="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and at all times have been, in material compliance with all Health Care Laws.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287, 1347 and 1349, the health care fraud criminal provisions under the U.S. Health Insurance Portability and Accountability Act of 1996 (“HIPAA”)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which, either individually or in the aggregate, would not reasonably be expected to result in a Material Adverse Change.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deferred or non-prosecution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 w:name="page17"/>
    <w:bookmarkEnd w:id="16"/>
    <w:p>
      <w:pPr>
        <w:jc w:val="both"/>
        <w:ind w:left="-8" w:firstLine="1304"/>
        <w:spacing w:after="0" w:line="253" w:lineRule="auto"/>
        <w:tabs>
          <w:tab w:leader="none" w:pos="20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Preclinical and Clinical Studies</w:t>
      </w:r>
      <w:r>
        <w:rPr>
          <w:rFonts w:ascii="Times New Roman" w:cs="Times New Roman" w:eastAsia="Times New Roman" w:hAnsi="Times New Roman"/>
          <w:sz w:val="18"/>
          <w:szCs w:val="18"/>
          <w:color w:val="auto"/>
        </w:rPr>
        <w:t>. The preclinical and clinical studies conducted or sponsored by or on behalf of the Company and its subsidiaries have been and, if still pending, are being conducted in all material respects in accordance with all applicable laws and regulations, including, without limitation, the FDCA and its implementing regulations, with the protocols, procedures and controls designed and approved for such studies and with standard medical and scientific research procedures; each description of the results of such studies is accurate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Pricing Disclosure Package and the Prospectus; the Company and its subsidiaries have made all such filings and obtained all such approvals, authorizations or exemptions as may be required by the FDA and any other regulatory authority or agency, notified body, or health care facility Institutional Review Board required for the conduct of such preclinical or clinical studies; neither the Company nor its subsidiaries have received any notice of, or correspondence from, any regulatory authority or agency requiring or threatening the termination, suspension or material modification of any studies currently being conducted or proposed to be conducted by or for the Company or its subsidiaries.</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216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 Dealer Requirement</w:t>
      </w:r>
      <w:r>
        <w:rPr>
          <w:rFonts w:ascii="Times New Roman" w:cs="Times New Roman" w:eastAsia="Times New Roman" w:hAnsi="Times New Roman"/>
          <w:sz w:val="18"/>
          <w:szCs w:val="18"/>
          <w:color w:val="auto"/>
        </w:rPr>
        <w:t>.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the Pricing Disclosure Package and the Prospectus, which is not so described. All of the information (including, but not limited to, information regarding affiliations, security ownership and trading activity) provided to the Underwriters or their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3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At the time the Registration Statement was originally declared effective, and at the time the Company’s most recent Annual Report on Form 10-K was filed with the Commission, the Company met the then applicable requirements for the use of Form S-3 under the Securities Act, including General Instruction I.B.1 of Form S-3. The Company is not a shell company (as defined in Rule 405) and has not been a shell company for at least 12 calendar months previously.</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1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Additional Regulations.</w:t>
      </w:r>
      <w:r>
        <w:rPr>
          <w:rFonts w:ascii="Times New Roman" w:cs="Times New Roman" w:eastAsia="Times New Roman" w:hAnsi="Times New Roman"/>
          <w:sz w:val="18"/>
          <w:szCs w:val="18"/>
          <w:color w:val="auto"/>
        </w:rPr>
        <w:t xml:space="preserve"> Neither the issuance, sale and delivery of the Shares nor the application of the proceeds thereof by the Company as described in the Registration Statement, the Pricing Disclosure Package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Nasdaq Independence Standards</w:t>
      </w:r>
      <w:r>
        <w:rPr>
          <w:rFonts w:ascii="Times New Roman" w:cs="Times New Roman" w:eastAsia="Times New Roman" w:hAnsi="Times New Roman"/>
          <w:sz w:val="18"/>
          <w:szCs w:val="18"/>
          <w:color w:val="auto"/>
        </w:rPr>
        <w:t>. Each of the independent directors (or independent director nominees, once appointed, if applicable) named in the Registration Statement, the Pricing Disclosure Package and Prospectus satisfies the independence standards established by Nasdaq and, with respect to members of the Company’s audit committee, the enhanced independence standards contained in Rule 10A-3(b)</w:t>
      </w:r>
    </w:p>
    <w:p>
      <w:pPr>
        <w:spacing w:after="0" w:line="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by the Commission under the Exchange Act.</w:t>
      </w:r>
    </w:p>
    <w:p>
      <w:pPr>
        <w:spacing w:after="0" w:line="206"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0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Shares hereunder.</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1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Obligations.</w:t>
      </w:r>
      <w:r>
        <w:rPr>
          <w:rFonts w:ascii="Times New Roman" w:cs="Times New Roman" w:eastAsia="Times New Roman" w:hAnsi="Times New Roman"/>
          <w:sz w:val="18"/>
          <w:szCs w:val="18"/>
          <w:color w:val="auto"/>
        </w:rPr>
        <w:t xml:space="preserve"> Neither the Company nor any of its subsidiaries has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7" w:name="page18"/>
    <w:bookmarkEnd w:id="17"/>
    <w:p>
      <w:pPr>
        <w:jc w:val="both"/>
        <w:ind w:left="-1120" w:firstLine="1304"/>
        <w:spacing w:after="0" w:line="256" w:lineRule="auto"/>
        <w:tabs>
          <w:tab w:leader="none" w:pos="9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the Pricing Disclosure Package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7"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and Insolvency.</w:t>
      </w:r>
      <w:r>
        <w:rPr>
          <w:rFonts w:ascii="Times New Roman" w:cs="Times New Roman" w:eastAsia="Times New Roman" w:hAnsi="Times New Roman"/>
          <w:sz w:val="18"/>
          <w:szCs w:val="18"/>
          <w:color w:val="auto"/>
        </w:rPr>
        <w:t xml:space="preserve"> The Company is not in or subject to a bankruptcy or insolvency proceeding in any jurisdiction.</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8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Occupational Laws.</w:t>
      </w:r>
      <w:r>
        <w:rPr>
          <w:rFonts w:ascii="Times New Roman" w:cs="Times New Roman" w:eastAsia="Times New Roman" w:hAnsi="Times New Roman"/>
          <w:sz w:val="18"/>
          <w:szCs w:val="18"/>
          <w:color w:val="auto"/>
        </w:rPr>
        <w:t xml:space="preserve"> 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Times New Roman" w:cs="Times New Roman" w:eastAsia="Times New Roman" w:hAnsi="Times New Roman"/>
          <w:sz w:val="18"/>
          <w:szCs w:val="18"/>
          <w:b w:val="1"/>
          <w:bCs w:val="1"/>
          <w:color w:val="auto"/>
        </w:rPr>
        <w:t>Occupational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(ii) have received all material permits, licenses or other approvals required of it under applicable Occupational Laws to conduct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 Agreements.</w:t>
      </w:r>
      <w:r>
        <w:rPr>
          <w:rFonts w:ascii="Times New Roman" w:cs="Times New Roman" w:eastAsia="Times New Roman" w:hAnsi="Times New Roman"/>
          <w:sz w:val="18"/>
          <w:szCs w:val="18"/>
          <w:color w:val="auto"/>
        </w:rPr>
        <w:t xml:space="preserve"> 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9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PTO Requirements.</w:t>
      </w:r>
      <w:r>
        <w:rPr>
          <w:rFonts w:ascii="Times New Roman" w:cs="Times New Roman" w:eastAsia="Times New Roman" w:hAnsi="Times New Roman"/>
          <w:sz w:val="18"/>
          <w:szCs w:val="18"/>
          <w:color w:val="auto"/>
        </w:rPr>
        <w:t xml:space="preserve"> The Company has duly and properly filed or caused to be filed with the U.S. Patent and Trademark Office (the “</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and applicable foreign and international patent and trademark authorities all patents, trademarks, copyrights and applications relating to the same owned by the Company and its subsidiaries (the “</w:t>
      </w:r>
      <w:r>
        <w:rPr>
          <w:rFonts w:ascii="Times New Roman" w:cs="Times New Roman" w:eastAsia="Times New Roman" w:hAnsi="Times New Roman"/>
          <w:sz w:val="18"/>
          <w:szCs w:val="18"/>
          <w:b w:val="1"/>
          <w:bCs w:val="1"/>
          <w:color w:val="auto"/>
        </w:rPr>
        <w:t>Company Patent and Trademark Applications</w:t>
      </w:r>
      <w:r>
        <w:rPr>
          <w:rFonts w:ascii="Times New Roman" w:cs="Times New Roman" w:eastAsia="Times New Roman" w:hAnsi="Times New Roman"/>
          <w:sz w:val="18"/>
          <w:szCs w:val="18"/>
          <w:color w:val="auto"/>
        </w:rPr>
        <w: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result in a Material Adverse Change,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result in Material Adverse Change,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9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0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Any Preliminary Prospectus and the Prospectus delivered to the Underwriter for use in connection with the sale of the Shares pursuant to this Agreement was and will be identical to the versions of any Preliminary Prospectus and the Prospectus transmitted to the Commission for filing via EDGAR, except to the extent permitted by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346075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8" w:name="page19"/>
    <w:bookmarkEnd w:id="18"/>
    <w:p>
      <w:pPr>
        <w:jc w:val="both"/>
        <w:ind w:firstLine="1304"/>
        <w:spacing w:after="0" w:line="258" w:lineRule="auto"/>
        <w:tabs>
          <w:tab w:leader="none" w:pos="19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to Lock-Up Agreements</w:t>
      </w:r>
      <w:r>
        <w:rPr>
          <w:rFonts w:ascii="Times New Roman" w:cs="Times New Roman" w:eastAsia="Times New Roman" w:hAnsi="Times New Roman"/>
          <w:sz w:val="18"/>
          <w:szCs w:val="18"/>
          <w:color w:val="auto"/>
        </w:rPr>
        <w:t xml:space="preserve">. The Company has furnished to the Underwriters a letter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Oppenheimer a Lock-up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Shares shall be deemed a representation and warranty by the Company to each Underwriter as to the matters covered thereby.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6" w:lineRule="exact"/>
        <w:rPr>
          <w:sz w:val="20"/>
          <w:szCs w:val="20"/>
          <w:color w:val="auto"/>
        </w:rPr>
      </w:pPr>
    </w:p>
    <w:p>
      <w:pPr>
        <w:ind w:left="1340" w:hanging="684"/>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Sale and Delivery of the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Shares</w:t>
      </w:r>
      <w:r>
        <w:rPr>
          <w:rFonts w:ascii="Times New Roman" w:cs="Times New Roman" w:eastAsia="Times New Roman" w:hAnsi="Times New Roman"/>
          <w:sz w:val="18"/>
          <w:szCs w:val="18"/>
          <w:color w:val="auto"/>
        </w:rPr>
        <w:t>. Subject to the terms and conditions herein set forth, the Company agrees to sell to the several Underwriters, and on the basis of the representations, warranties and agreements herein contained and upon the terms but subject to the conditions herein set forth, the Underwriters agree to purchase the number of Shares set forth the name of such Underwriter in Schedule A hereto. The purchase price for each Share shall be $0.752 per share.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Closing Date</w:t>
      </w:r>
      <w:r>
        <w:rPr>
          <w:rFonts w:ascii="Times New Roman" w:cs="Times New Roman" w:eastAsia="Times New Roman" w:hAnsi="Times New Roman"/>
          <w:sz w:val="18"/>
          <w:szCs w:val="18"/>
          <w:color w:val="auto"/>
        </w:rPr>
        <w:t>. Delivery of book-entry entitlements for the Shares to be purchased by the Underwriters and payment therefor shall be made at the offices of Paul Hastings LLP, the MetLife Building, 200 Park Avenue, New York, New York 10166 (or such other place as may be agreed to by the Company and the Representative) at 9 a.m. Eastern time, on June 17, 2024, or such other time and date not later than 1:00 p.m. Eastern time, on June 18, 2024, as the Representative shall designate by notice to the Company (the time and date of such closing are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hereby acknowledges that circumstances under which the Representative may provide notice to postpone the Closing Date as originally scheduled include, but are not limited to, any determination by the Company or the Representative to recirculate to the public copies of an amended or supplemented Prospectus or a delay as contemplated by the provisions of Section 10.</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Offering of the Shares</w:t>
      </w:r>
      <w:r>
        <w:rPr>
          <w:rFonts w:ascii="Times New Roman" w:cs="Times New Roman" w:eastAsia="Times New Roman" w:hAnsi="Times New Roman"/>
          <w:sz w:val="18"/>
          <w:szCs w:val="18"/>
          <w:color w:val="auto"/>
        </w:rPr>
        <w:t>. The Representative hereby advises the Company that the Underwriters intend to offer for sale to the public, initially on the terms set forth in the Registration Statement, the Pricing Disclosure Package and the Prospectus, their respective portions of the Shares as soon after this Agreement has been executed as the Representative, in its sole judgment, has determined is advisable and practicable.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the Shares</w:t>
      </w:r>
      <w:r>
        <w:rPr>
          <w:rFonts w:ascii="Times New Roman" w:cs="Times New Roman" w:eastAsia="Times New Roman" w:hAnsi="Times New Roman"/>
          <w:sz w:val="18"/>
          <w:szCs w:val="18"/>
          <w:color w:val="auto"/>
        </w:rPr>
        <w:t>. Payment for the Shares shall be made at the Closing Date by wire transfer of immediately available funds to the order of the Company. It is understood that the Representative has been authorized, for its own account and the accounts of the several Underwriters, to accept delivery of and receipt for, and make payment of the purchase price for, the Shares the Underwriters have agreed to purchase. Oppenheimer, individually and not as the Representative of the Underwriters, may (but shall not be obligated to) make payment for any Shares to be purchased by any Underwriter whose funds shall not have been received by the Representative by the Closing Date for the account of such Underwriter, but any such payment shall not relieve such Underwriter from any of its obligations under this Agreement.</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2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the Shares</w:t>
      </w:r>
      <w:r>
        <w:rPr>
          <w:rFonts w:ascii="Times New Roman" w:cs="Times New Roman" w:eastAsia="Times New Roman" w:hAnsi="Times New Roman"/>
          <w:sz w:val="18"/>
          <w:szCs w:val="18"/>
          <w:color w:val="auto"/>
        </w:rPr>
        <w:t>. The Company shall deliver, or cause to be delivered through the facilities of DTC unless the Representative shall otherwise instruct, to the Representative for the accounts of the several Underwriters, book-entry entitlements for the Shares at the Closing Date, against the irrevocable release of a wire transfer of immediately available funds for the amount of the purchase price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Representative so elects, delivery of the Shares will be made by credit to the accounts designated by the Representative through DTC’s full fast transfer or DWAC programs. Time shall be of the essence, and delivery at the time and place specified in this Agreement is a further condition to the obligations of the Underwriters.</w:t>
      </w:r>
    </w:p>
    <w:p>
      <w:pPr>
        <w:spacing w:after="0" w:line="176" w:lineRule="exact"/>
        <w:rPr>
          <w:sz w:val="20"/>
          <w:szCs w:val="20"/>
          <w:color w:val="auto"/>
        </w:rPr>
      </w:pPr>
    </w:p>
    <w:p>
      <w:pPr>
        <w:ind w:left="1340" w:hanging="684"/>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225" w:lineRule="exact"/>
        <w:rPr>
          <w:sz w:val="20"/>
          <w:szCs w:val="20"/>
          <w:color w:val="auto"/>
        </w:rPr>
      </w:pPr>
    </w:p>
    <w:p>
      <w:pPr>
        <w:jc w:val="both"/>
        <w:ind w:firstLine="1304"/>
        <w:spacing w:after="0" w:line="258" w:lineRule="auto"/>
        <w:tabs>
          <w:tab w:leader="none" w:pos="19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Pricing Disclosure Package and Prospectus</w:t>
      </w:r>
      <w:r>
        <w:rPr>
          <w:rFonts w:ascii="Times New Roman" w:cs="Times New Roman" w:eastAsia="Times New Roman" w:hAnsi="Times New Roman"/>
          <w:sz w:val="18"/>
          <w:szCs w:val="18"/>
          <w:color w:val="auto"/>
        </w:rPr>
        <w:t>. The Company shall furnish to you in New York City, without charge, prior to 10:00 a.m. New York City time on the business day next succeeding the date of this Agreement and during the period when a prospectus relating to the Shares is required by the Securities Act to be delivered (whether physically or through compliance with Rule 172 under the Securities Act or any similar rule) in connection with sales of the Shares, as many copies of the Pricing Disclosure Package, the Prospectus and any supplements and amendments thereto or to the Registration Statement as you may reasonably request.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Representative's Review of Proposed Amendments and Supplements</w:t>
      </w:r>
      <w:r>
        <w:rPr>
          <w:rFonts w:ascii="Times New Roman" w:cs="Times New Roman" w:eastAsia="Times New Roman" w:hAnsi="Times New Roman"/>
          <w:sz w:val="18"/>
          <w:szCs w:val="18"/>
          <w:color w:val="auto"/>
        </w:rPr>
        <w:t>. During the period when a prospectus relating to the Shares 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not to be unreasonably withheld, conditioned or delayed. Prior to amending or supplementing any preliminary prospectus, the Pricing Disclosure Package or the Prospectus (including any amendment or supplement through incorporation of any report filed under the Exchange Act),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not to be unreasonably withheld, conditioned or delayed. The Company shall file with the Commission within the applicable period specified in Rule 424(b) under the Securities Act any prospectus required to be filed pursuant to such Rule.</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shall furnish to the Representative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not to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Shares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provided, however, that prior to amending or supplementing any such free writing prospectus, the Company shall furnish to the Representative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not to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left="-1120" w:firstLine="1304"/>
        <w:spacing w:after="0" w:line="266" w:lineRule="auto"/>
        <w:tabs>
          <w:tab w:leader="none" w:pos="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Underwriter Free Writing Prospectuses</w:t>
      </w:r>
      <w:r>
        <w:rPr>
          <w:rFonts w:ascii="Times New Roman" w:cs="Times New Roman" w:eastAsia="Times New Roman" w:hAnsi="Times New Roman"/>
          <w:sz w:val="18"/>
          <w:szCs w:val="18"/>
          <w:color w:val="auto"/>
        </w:rPr>
        <w:t>.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Pricing Disclosure Package</w:t>
      </w:r>
      <w:r>
        <w:rPr>
          <w:rFonts w:ascii="Times New Roman" w:cs="Times New Roman" w:eastAsia="Times New Roman" w:hAnsi="Times New Roman"/>
          <w:sz w:val="18"/>
          <w:szCs w:val="18"/>
          <w:color w:val="auto"/>
        </w:rPr>
        <w:t>. If the Pricing Disclosure Package is being used to solicit offers to buy the Shares at a time when the Prospectus is not yet available to prospective purchasers, and any event shall occur or condition exist as a result of which it is necessary to amend or supplement the Pricing Disclosure Package so that the Pricing Disclosure Package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Pricing Disclosure Package conflicts with the information contained in the Registration Statement, or if, in the opinion of counsel for the Underwriters, it is necessary to amend or supplement the Pricing Disclosure Package to comply with applicable law, the Company shall (subject to Section 3(b) and Section 3(c) hereof) promptly prepare, file with the Commission and furnish, at its own expense, to the Underwriters and to any dealer upon request, either amendments or supplements to the Pricing Disclosure Package so that the statements in the Pricing Disclosure Package as so amended or supplemented will not include an untrue statement of a material fact or omit to state a material fact necessary in order to make the statements therein, in the light of the circumstances when delivered to a prospective purchaser, not misleading or so that the Pricing Disclosure Package, as amended or supplemented, will no longer conflict with the information contained in the Registration Statement, or so that the Pricing Disclosure Package, as amended or supplemented, will comply with applicable law.</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10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Notifications and Required Actions</w:t>
      </w:r>
      <w:r>
        <w:rPr>
          <w:rFonts w:ascii="Times New Roman" w:cs="Times New Roman" w:eastAsia="Times New Roman" w:hAnsi="Times New Roman"/>
          <w:sz w:val="18"/>
          <w:szCs w:val="18"/>
          <w:color w:val="auto"/>
        </w:rPr>
        <w:t>. During the period when a prospectus relating to the Shares is required by the Securities Act to be delivered (whether physically or through compliance with Rule 172 under the Securities Act or any similar rule), the Company shall promptly advise the Representative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Pricing Disclosure Package,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Pricing Disclosure Package or the Prospectus or of any order preventing or suspending the use of any preliminary prospectus, the Pricing Disclosure Package, any free writing prospectus or the Prospectus, or of any proceedings to remove, suspend or terminate from listing or quotation the Common Stock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97"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354965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1" w:name="page22"/>
    <w:bookmarkEnd w:id="21"/>
    <w:p>
      <w:pPr>
        <w:jc w:val="both"/>
        <w:ind w:left="-1120" w:firstLine="1304"/>
        <w:spacing w:after="0" w:line="253" w:lineRule="auto"/>
        <w:tabs>
          <w:tab w:leader="none" w:pos="9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Representative and counsel for the Underwriters to qualify or register the Shares for sale under (or obtain exemptions from the application of) the state securities or blue sky laws (or other foreign laws as reasonably requested by the Underwriters and agreed to by the Company) of those jurisdictions designated by the Representative, shall comply in all material respects with such laws and shall continue such qualifications, registrations and exemptions in effect so long as required for the distribution of the Shares. The Company shall not be required to qualify as a foreign corporation or other entity or to take any action that would subject it to general service of process in any such jurisdiction where it is not presently qualified or where it would be subject to taxation as a foreign corporation or other entity. The Company will advise the Representative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194" w:lineRule="exact"/>
        <w:rPr>
          <w:rFonts w:ascii="Times New Roman" w:cs="Times New Roman" w:eastAsia="Times New Roman" w:hAnsi="Times New Roman"/>
          <w:sz w:val="18"/>
          <w:szCs w:val="18"/>
          <w:color w:val="auto"/>
        </w:rPr>
      </w:pPr>
    </w:p>
    <w:p>
      <w:pPr>
        <w:ind w:left="-1120" w:firstLine="1304"/>
        <w:spacing w:after="0" w:line="282" w:lineRule="auto"/>
        <w:tabs>
          <w:tab w:leader="none" w:pos="8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apply the net proceeds from the sale of the Shares sold by it in the manner described under the caption “Use of Proceeds” in the Registration Statement, the Pricing Disclosure Package and the Prospectus.</w:t>
      </w:r>
    </w:p>
    <w:p>
      <w:pPr>
        <w:spacing w:after="0" w:line="161"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Common Stock.</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8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Compliance with Securities Laws</w:t>
      </w:r>
      <w:r>
        <w:rPr>
          <w:rFonts w:ascii="Times New Roman" w:cs="Times New Roman" w:eastAsia="Times New Roman" w:hAnsi="Times New Roman"/>
          <w:sz w:val="18"/>
          <w:szCs w:val="18"/>
          <w:color w:val="auto"/>
        </w:rPr>
        <w:t>. The Company will comply with the Securities Act and the Exchange Act so as to permit the completion of the distribution of the Shares as contemplated by this Agreement, the Registration Statement, the Pricing Disclosure Package and the Prospectus. Without limiting the generality of the foregoing, the Company will, during the period when a prospectus relating to the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183"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will use its best efforts to maintain the listing of its shares of Common Stock on Nasdaq.</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11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Provide Copy of the Prospectus in Form That May be Downloaded from the Internet</w:t>
      </w:r>
      <w:r>
        <w:rPr>
          <w:rFonts w:ascii="Times New Roman" w:cs="Times New Roman" w:eastAsia="Times New Roman" w:hAnsi="Times New Roman"/>
          <w:sz w:val="18"/>
          <w:szCs w:val="18"/>
          <w:color w:val="auto"/>
        </w:rPr>
        <w:t>. If requested by the Representative, the Company shall cause to be prepared and delivered, at its expense, within one business day from the effective date of this Agreement, to Oppenheimer, an “electronic Prospectus” to be used by the Underwriters in connection with the offering and sale of the Shares. As used herein, the term “electronic Prospectus” means a form of Pricing Disclosure Package, and any amendment or supplement thereto, that meets each of the following conditions: (i) it shall be encoded in an electronic format, satisfactory to Oppenheimer, that may be transmitted electronically by Oppenheimer and the other Underwriters to offerees and purchasers of the Shares; (ii) it shall disclose the same information as the paper Pricing Disclosure Package,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Oppenheimer, that will allow investors to store and have continuously ready access to the Pricing Disclosure Package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Pricing Disclosure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2" w:name="page23"/>
    <w:bookmarkEnd w:id="22"/>
    <w:p>
      <w:pPr>
        <w:jc w:val="both"/>
        <w:ind w:firstLine="1304"/>
        <w:spacing w:after="0" w:line="252" w:lineRule="auto"/>
        <w:tabs>
          <w:tab w:leader="none" w:pos="1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Not to Offer or Sell Common Stock</w:t>
      </w:r>
      <w:r>
        <w:rPr>
          <w:rFonts w:ascii="Times New Roman" w:cs="Times New Roman" w:eastAsia="Times New Roman" w:hAnsi="Times New Roman"/>
          <w:sz w:val="18"/>
          <w:szCs w:val="18"/>
          <w:color w:val="auto"/>
        </w:rPr>
        <w:t>. During the period commencing on and including the date hereof and continuing through and including the 60th day following the date of the Prospectus (such period, as extended as described below, being referred to herein as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without the prior written consent of Oppenheimer (which consent may be withheld in its sole discretion), directly or indirectly: (i) offer, sell, assign, transfer, pledge, contract to sell, or otherwise dispose of, or announce the intention to otherwise dispose of, any shares of Common Stock or Related Securities (as defined below); (ii) engage in any short selling of any Common Stock or Related Securities; (iii) pledge, hypothecate or grant any security interest in any Common Stock or Related Securities; (iv) in any other way transfer or dispose of any Common Stock or Related Securities; (v) enter into any swap, hedge or similar arrangement or agreement or transaction that transfers, in whole or in part, the economic risk of ownership of any Common Stock or Related Securities, regardless of whether any such transaction is to be settled in securities, in cash or otherwise; (vi) announce the offering of any Common Stock or Related Securities; (vii) file any registration statement under the Securities Act under applicable securities laws in respect of any Common Stock or Related Securities (other than as contemplated by this Agreement with respect to the Shares); or (viii) publicly announce the intention to do any of the foregoing; provided, however, that the Company may (A) effect the transactions contemplated hereby; (B) issue Common Stock or options to purchase Common Stock or restricted stock units or similar equity securities, or issue Common Stock upon exercise of options, restricted stock units or similar equity securities to employees, officers or directors of the Company for services rendered to the Company, pursuant to any options, share bonus or other share plan or arrangement pursuant to an incentive plan described in the Registration Statement, the Pricing Disclosure Package and the Prospectus; and (C) file a registration statement on Form S-8 in respect of the issuance, vesting, exercise or settlement of equity awards to officers or directors granted or to be granted pursuant to an incentive plan described in the Registration Statement, Pricing Disclosure Package and the Prospectus (the provisions of clauses (A) through (D) are “</w:t>
      </w:r>
      <w:r>
        <w:rPr>
          <w:rFonts w:ascii="Times New Roman" w:cs="Times New Roman" w:eastAsia="Times New Roman" w:hAnsi="Times New Roman"/>
          <w:sz w:val="18"/>
          <w:szCs w:val="18"/>
          <w:b w:val="1"/>
          <w:bCs w:val="1"/>
          <w:color w:val="auto"/>
        </w:rPr>
        <w:t>Exempt Issuances</w:t>
      </w:r>
      <w:r>
        <w:rPr>
          <w:rFonts w:ascii="Times New Roman" w:cs="Times New Roman" w:eastAsia="Times New Roman" w:hAnsi="Times New Roman"/>
          <w:sz w:val="18"/>
          <w:szCs w:val="18"/>
          <w:color w:val="auto"/>
        </w:rPr>
        <w:t>”).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Common Stock or any securities exchangeable or exercisable for or convertible into Common Stock, or to acquire other securities or rights ultimately exchangeable or exercisable for, or convertible into, Common Stock.</w:t>
      </w:r>
    </w:p>
    <w:p>
      <w:pPr>
        <w:spacing w:after="0" w:line="190"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Reports to the Representative</w:t>
      </w:r>
      <w:r>
        <w:rPr>
          <w:rFonts w:ascii="Times New Roman" w:cs="Times New Roman" w:eastAsia="Times New Roman" w:hAnsi="Times New Roman"/>
          <w:sz w:val="18"/>
          <w:szCs w:val="18"/>
          <w:color w:val="auto"/>
        </w:rPr>
        <w:t>. During the period of five years hereafter, the Company will furnish to the Representative, c/o Oppenheimer &amp; Co. Inc., at 85 Broad Street, New York, New York 10004, Attention: General Counsel: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provided, however, that the requirements of this Section 3(p) shall be satisfied to the extent that such reports, statement, communications, financial statements or other documents are available on EDGAR.</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 or Manipulation and Compliance with Regulation M</w:t>
      </w:r>
      <w:r>
        <w:rPr>
          <w:rFonts w:ascii="Times New Roman" w:cs="Times New Roman" w:eastAsia="Times New Roman" w:hAnsi="Times New Roman"/>
          <w:sz w:val="18"/>
          <w:szCs w:val="18"/>
          <w:color w:val="auto"/>
        </w:rPr>
        <w:t>. The Company will not take, and will use its reasonable best efforts to ensure that no affiliate of the Company will take, directly or indirectly, without giving effect to activities by the Underwriters, any action designed to or that might cause or result in stabilization or manipulation of the price of the Common Stock or any reference security with respect to the Common Stock, whether to facilitate the sale or resale of the Shares or otherwise, and the Company will, and shall use its reasonable best efforts to cause each of its affiliates to, comply with all applicable provisions of Regulation M.</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 Lock-Up Agreements</w:t>
      </w:r>
      <w:r>
        <w:rPr>
          <w:rFonts w:ascii="Times New Roman" w:cs="Times New Roman" w:eastAsia="Times New Roman" w:hAnsi="Times New Roman"/>
          <w:sz w:val="18"/>
          <w:szCs w:val="18"/>
          <w:color w:val="auto"/>
        </w:rPr>
        <w:t>. During the Lock-up Period, the Company will enforce all agreements between the Company and any of its security holders that restrict or prohibit, expressly or in operation, the offer, sale or transfer of Common Stock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certain other stockholders pursuant to Section 1(iii) hereof.</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left="-8" w:firstLine="656"/>
        <w:spacing w:after="0" w:line="257" w:lineRule="auto"/>
        <w:tabs>
          <w:tab w:leader="none" w:pos="15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Common Stock,</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issue, transfer and other stamp taxes in connection with the issuance and sale of the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Pricing Disclosure Package, the Prospectus, each free writing prospectus prepared by or on behalf of, used by, or referred to by the Company, and any Preliminary Prospectus, and all amendments and supplements thereto, and this Agreement, (vi) all filing fees, attorneys’ fees and expenses incurred by the Underwriters in connection with qualifying or registering (or obtaining exemptions from the qualification or registration of) all or any part of the Shares for offer and sale under the state securities or blue sky laws, and, if requested by the Representative, preparing and printing a “Blue Sky Survey” or memorandum, and any supplements thereto, advising the Underwriters of such qualifications, registrations and exemptions, in an amount not to exceed $7,500.00, (vii) the costs, fees and expenses incurred by the Underwriters in connection with determining their compliance with the rules and regulations of FINRA related to the Underwriters' participation in the offering and distribution of the Shares, including any related filings fees and the legal fees of, and disbursements by, counsel to the Underwriters, in an amount not to exceed $15,000 (excluding filing fees),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reasonable travel and lodging expenses of the Representative approved by the Company in advance, employees and officers of the Company and any such consultants, (ix) the fees and expenses associated with listing the Shares on Nasdaq, (x) all other fees, costs and expenses of the nature referred to in Item 13 of Part II of the Registration Statement and (xi) all actual and documented out-of-pocket expenses and all fees of the Underwriter's legal counsel and other out-of-pocket expenses of the Underwriters reasonably incurred in connection with the transactions contemplated hereby; provided, that the amount payable pursuant to this clause (x) shall not exceed $125,000.</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3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34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Obligations of the Underwriters</w:t>
      </w:r>
      <w:r>
        <w:rPr>
          <w:rFonts w:ascii="Times New Roman" w:cs="Times New Roman" w:eastAsia="Times New Roman" w:hAnsi="Times New Roman"/>
          <w:sz w:val="18"/>
          <w:szCs w:val="18"/>
          <w:color w:val="auto"/>
        </w:rPr>
        <w:t>. The respective obligations of the several Underwriters hereunder to purchase and pay for the Shares as provided herein on the Closing Date, shall be subject to the accuracy of the representations and warranties on the part of the Company set forth in Section 1 hereof as of the date hereof and as of the Closing Date as though then made, to the timely performance by the Company of its covenants and other obligations hereunder, and to each of the following additional conditions: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215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On the date hereof, the Representative shall have received from WithumSmith+Brown, PC, independent registered public accountants for the Company, a letter dated the date hereof addressed to the Representative,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Pricing Disclosure Package, and each free writing prospectus, if any.</w:t>
      </w:r>
    </w:p>
    <w:p>
      <w:pPr>
        <w:spacing w:after="0" w:line="183" w:lineRule="exact"/>
        <w:rPr>
          <w:rFonts w:ascii="Times New Roman" w:cs="Times New Roman" w:eastAsia="Times New Roman" w:hAnsi="Times New Roman"/>
          <w:sz w:val="18"/>
          <w:szCs w:val="18"/>
          <w:color w:val="auto"/>
        </w:rPr>
      </w:pPr>
    </w:p>
    <w:p>
      <w:pPr>
        <w:ind w:left="-8" w:firstLine="1304"/>
        <w:spacing w:after="0" w:line="282" w:lineRule="auto"/>
        <w:tabs>
          <w:tab w:leader="none" w:pos="194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 No Stop Order; No Objection from FINRA</w:t>
      </w:r>
      <w:r>
        <w:rPr>
          <w:rFonts w:ascii="Times New Roman" w:cs="Times New Roman" w:eastAsia="Times New Roman" w:hAnsi="Times New Roman"/>
          <w:sz w:val="18"/>
          <w:szCs w:val="18"/>
          <w:color w:val="auto"/>
        </w:rPr>
        <w:t>. For a period from and after the date of this Agreement and through and including the Closing Date:</w:t>
      </w:r>
    </w:p>
    <w:p>
      <w:pPr>
        <w:spacing w:after="0" w:line="161" w:lineRule="exact"/>
        <w:rPr>
          <w:rFonts w:ascii="Times New Roman" w:cs="Times New Roman" w:eastAsia="Times New Roman" w:hAnsi="Times New Roman"/>
          <w:sz w:val="18"/>
          <w:szCs w:val="18"/>
          <w:color w:val="auto"/>
        </w:rPr>
      </w:pPr>
    </w:p>
    <w:p>
      <w:pPr>
        <w:ind w:left="-8" w:firstLine="1952"/>
        <w:spacing w:after="0" w:line="282" w:lineRule="auto"/>
        <w:tabs>
          <w:tab w:leader="none" w:pos="2628"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required by Rule 430B under the Securities Act) in the manner and within the time period required by Rule 424(b)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4" w:name="page25"/>
    <w:bookmarkEnd w:id="24"/>
    <w:p>
      <w:pPr>
        <w:ind w:firstLine="1952"/>
        <w:spacing w:after="0" w:line="282" w:lineRule="auto"/>
        <w:tabs>
          <w:tab w:leader="none" w:pos="27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or Ratings Agency Change</w:t>
      </w:r>
      <w:r>
        <w:rPr>
          <w:rFonts w:ascii="Times New Roman" w:cs="Times New Roman" w:eastAsia="Times New Roman" w:hAnsi="Times New Roman"/>
          <w:sz w:val="18"/>
          <w:szCs w:val="18"/>
          <w:color w:val="auto"/>
        </w:rPr>
        <w:t>. For the period from and after the date of this Agreement and through and including the Closing Date, in the judgment of the Representative there shall not have occurred any material adverse change in the authorized capital stock of the Company or any Material Adverse Change or any development that would cause a Material Adverse Change.</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the Company</w:t>
      </w:r>
      <w:r>
        <w:rPr>
          <w:rFonts w:ascii="Times New Roman" w:cs="Times New Roman" w:eastAsia="Times New Roman" w:hAnsi="Times New Roman"/>
          <w:sz w:val="18"/>
          <w:szCs w:val="18"/>
          <w:color w:val="auto"/>
        </w:rPr>
        <w:t>. On the Closing Date the Representative shall have received (i) an opinion and negative assurance letter of Thompson Hine LLP, counsel for the Company, dated as of such date in form and substance satisfactory to the Representative, dated as of such date, and (ii) an opinion from Kilpatrick Townsend &amp; Stockton LLP regarding intellectual property matters, dated as of such date in form and substance satisfactory to the Representative.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the Underwriters</w:t>
      </w:r>
      <w:r>
        <w:rPr>
          <w:rFonts w:ascii="Times New Roman" w:cs="Times New Roman" w:eastAsia="Times New Roman" w:hAnsi="Times New Roman"/>
          <w:sz w:val="18"/>
          <w:szCs w:val="18"/>
          <w:color w:val="auto"/>
        </w:rPr>
        <w:t>. On the Closing Date the Representative shall have received the opinion and negative assurance letter of Paul Hastings LLP, counsel for the Underwriters in connection with the offer and sale of the Shares, in form and substance satisfactory to the Representative, dated as of such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On the Closing Date the Representative shall have received a certificate executed by the President and Chief Executive Officer of the Company, dated as of such date, to the effect set forth in Section 6(b)(ii) and further to the effect that:</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7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Letters</w:t>
      </w:r>
      <w:r>
        <w:rPr>
          <w:rFonts w:ascii="Times New Roman" w:cs="Times New Roman" w:eastAsia="Times New Roman" w:hAnsi="Times New Roman"/>
          <w:sz w:val="18"/>
          <w:szCs w:val="18"/>
          <w:color w:val="auto"/>
        </w:rPr>
        <w:t>. On the Closing Date the Representative shall have received from WithumSmith+Brown, PC, independent registered public accountants for the Company, a letter dated as of the Closing Date, in form and substance satisfactory to the Representative, which letter shall: (a) reaffirm the statements made in the letter furnished by them pursuant to Section 6(a), except that the specified date referred to therein for the carrying out of procedures shall be no more than two business days prior to the Closing Date; and (b) cover certain financial information contained in the Prospectus.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On or prior to the date hereof, the Company shall have furnished to the Representative an agreement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of the Company's directors and officers (as defined in Rule 16a-1(f) under the Exchange Act), and each such agreement shall be in full force and effect on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firstLine="1304"/>
        <w:spacing w:after="0" w:line="282" w:lineRule="auto"/>
        <w:tabs>
          <w:tab w:leader="none" w:pos="19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Company shall have submitted a listing of additional shares notification form to Nasdaq with respect to the Shares and shall have received no objection thereto from Nasdaq.</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the Closing Date, the Representative and counsel for the Underwriters shall have received such information, documents and opinions as they may reasonably request for the purposes of enabling them to pass upon the issuance and sale of the Shares as contemplated herein, or in order to evidence the accuracy of any of the representations and warranties, or the satisfaction of any of the conditions or agreements, herein contained; and all proceedings taken by the Company in connection with the issuance and sale of the Shares as contemplated herein and in connection with the other transactions contemplated by this Agreement shall be satisfactory in form and substance to the Representative and counsel for the Underwriters.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 by notice from the Representative to the Company at any time on or prior to the Closing Date, which termination shall be without liability on the part of any party to any other party, except that Section 4, Section 8 and Section 9 shall at all times be effective and shall survive such termination.</w:t>
      </w:r>
    </w:p>
    <w:p>
      <w:pPr>
        <w:spacing w:after="0" w:line="176" w:lineRule="exact"/>
        <w:rPr>
          <w:sz w:val="20"/>
          <w:szCs w:val="20"/>
          <w:color w:val="auto"/>
        </w:rPr>
      </w:pPr>
    </w:p>
    <w:p>
      <w:pPr>
        <w:ind w:left="1340" w:hanging="684"/>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Underwriters</w:t>
      </w:r>
      <w:r>
        <w:rPr>
          <w:rFonts w:ascii="Times New Roman" w:cs="Times New Roman" w:eastAsia="Times New Roman" w:hAnsi="Times New Roman"/>
          <w:sz w:val="18"/>
          <w:szCs w:val="18"/>
          <w:color w:val="auto"/>
        </w:rPr>
        <w:t>. The Company shall indemnify and hold harmless each Underwriter, its affiliates, the directors, officers, employees, counsel and agents of each Underwriter and each person, if any, who controls each Underwriter within the meaning of Section 15 of the Securities Act or Section 20 of the Exchange Act from and against any and all losses, claims, liabilities, expenses and damages (including any and all investigative, legal and other expenses reasonably incurred in connection with, and any amount paid in settlement of, any action, suit or proceeding between any of the indemnified parties and any indemnifying parties or between any indemnified party and any third party, or otherwise, or any claim asserted), to which they, or any of them, may become subject under the Securities Act, the Exchange Act or other Federal or state statutory law or regulation, at common law or otherwise, insofar as such losses, claims, liabilities, expenses or damages arise out of or are based on (i)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(ii) any untrue statement or alleged untrue statement of a material fact contained in any preliminary prospectus, any free writing prospectus, the Pricing Disclosure Package or the Prospectus (or any amendment or supplement to any of the foregoing) or the omission or alleged omission therefrom of a material fact necessary in order to make the statements therein, in the light of the circumstances under which they were made, not misleading or (iii) any untrue statement or alleged untrue statement of a material fact contained in any materials or information provided to investors by, or with the approval of, the Company in connection with the marketing of the offering of the Shares, including any roadshow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 provided, however, that the Company shall not be liable to the extent that such loss, claim, liability, expense or damage arises from the sale of the Shares in the public offering to any person by an Underwriter and is based on an untrue statement or omission or alleged untrue statement or omission made in reliance on and in conformity with Underwriter Information. This indemnity agreement will be in addition to any liability that the Company might otherwise have.</w:t>
      </w:r>
    </w:p>
    <w:p>
      <w:pPr>
        <w:spacing w:after="0" w:line="190"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Each Underwriter shall indemnify and hold harmless the Company, its affiliates, the directors, officers, employees, counsel and agents, each person, if any, who controls the Company within the meaning of Section 15 of the Securities Act or Section 20 of the Exchange Act to the same extent as the foregoing indemnity from the Company to each Underwriter, but only insofar as losses, claims, liabilities, expenses or damages arise out of or are based on any untrue statement or omission or alleged untrue statement or omission made in reliance on and in conformity with Underwriter Information. This indemnity will be in addition to any liability that each Underwriter might otherwise have. The Company hereby acknowledges that the only information that the Underwriters have furnished to the Company expressly for use in the Registration Statement, any preliminary prospectus, any free writing prospectus, the Pricing Disclosure Package or the Prospectus (or any amendment or supplement to any of the foregoing) are the statements set forth in the fourth sentence of the fourth paragraph relating to selling concessions and the ninth and twelfth paragraphs under the section “Underwriting” in each case contained in the Prospectus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left="-1120" w:firstLine="1304"/>
        <w:spacing w:after="0" w:line="251"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Any party that proposes to assert the right to be indemnified under this Section 8 shall, promptly after receipt of notice of commencement of any action against such party in respect of which a claim is to be made against an indemnifying party or parties under this Section 8, notify each such indemnifying party of the commencement of such action, enclosing a copy of all papers served, but the omission so to notify such indemnifying party shall not relieve the indemnifying party from any liability that it may have to any indemnified party under the foregoing provisions of this Section 8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its own counsel,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(including local counsel, if necessary) in any such action, but the fees, expenses and other charges of such counsel will be at the expense of such indemnified party unless (i) the employment of counsel by the indemnified party has been authorized in writing by the indemnifying party, (ii) the indemnified party has reasonably concluded (based on advice of counsel) that there may be legal defenses available to it or other indemnified parties that are different from or in addition to those available to the indemnifying party, (iii) the indemnified party has reasonably concluded that a conflict or potential conflict exists (based on advice of counsel to the indemnified party) between the indemnified party and the indemnifying party (in which case the indemnifying party shall not have the right to direct the defense of such action on behalf of the indemnified party) or (iv)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shall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shall be reimbursed by the indemnifying party promptly as they are incurred. An indemnifying party shall not be liable for any settlement of any action or claim effected without its written consent (which consent will not be unreasonably withheld or delayed). No indemnifying party shall, without the prior written consent of each indemnified party, settle or compromise or consent to the entry of any judgment in any pending or threatened claim, action or proceeding relating to the matters contemplated by this Section 8 (whether or not any indemnified party is a party thereto), unless such settlement, compromise or consent (i) includes an unconditional release of each indemnified party from all liability arising or that may arise out of such claim, action or proceeding and (ii) does not include a statement as to or an admission of fault, culpability or a failure to act by or on behalf of any indemnified party. Notwithstanding the foregoing, if at any time an indemnified party shall have requested an indemnifying party to reimburse the indemnified party for fees and expenses of counsel, such indemnifying party agrees that it shall be liable for any settlement of the nature contemplated by Section 8(a)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361950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7" w:name="page28"/>
    <w:bookmarkEnd w:id="27"/>
    <w:p>
      <w:pPr>
        <w:jc w:val="both"/>
        <w:ind w:left="-8" w:firstLine="656"/>
        <w:spacing w:after="0" w:line="251" w:lineRule="auto"/>
        <w:tabs>
          <w:tab w:leader="none" w:pos="13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Section 8 is applicable in accordance with its terms but for any reason is held to be unavailable from the Company or the Underwriters, the Company and the Underwriters shall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Underwriters, such as persons who control the Company within the meaning of the Securities Act, officers of the Company who signed the Registration Statement and directors of the Company, who also may be liable for contribution) to which the Company and the Underwriters may be subject in such proportion as shall be appropriate to reflect the relative benefits received by the Company on the one hand and the Underwriters on the other.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Underwriters, on the other, with respect to the statements or omissions which resulted in such loss, claim, liability, expense or damage, or action in respect thereof, as well as any other relevant equitable considerations with respect to such offering. Such relative fault shall be determined by reference to whether the untrue or alleged untrue statement of a material fact or omission or alleged omission to state a material fact relates to information supplied by the Company or Representative on behalf of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9 were to be determined by pro rata allocation or by any other method of allocation (even if the Underwriters were treated as one entity for such purpose) which does not take into account the equitable considerations referred to herein. The amount paid or payable by an indemnified party as a result of the loss, claim, liability, expense or damage, or action in respect thereof, referred to above in this Section 9 shall be deemed to include, for purpose of this Section 9, any legal or other expenses reasonably incurred by such indemnified party in connection with investigating or defending any such action or claim. Notwithstanding the provisions of this Section 9, no Underwriter shall be required to contribute any amount in excess of the underwriting discounts and commissions received by it, and no person found guilty of fraudulent misrepresentation (within the meaning of Section 11(f) of the Securities Act) shall be entitled to contribution from any person who was not guilty of such fraudulent misrepresentation. The Underwriters' obligation to contribute as provided in this Section 9 are several in proportion to their respective underwriting obligations and not joint. For purposes of this Section 9, any person who controls a party to this Agreement within the meaning of the Securities Act will have the same rights to contribution as that party, and each officer of the Company who signed the Registration Statement will have the same rights to contribution as the Company, and each director, officer, employee, counsel or agent of any Underwriter will have the same rights to contribution as such Underwriter, subject in each case to the provisions hereof. Any party entitled to contribution, promptly after receipt of notice of commencement of any action against such party in respect of which a claim for contribution may be made under this Section 9, will notify any such party or parties from whom contribution may be sought, but the omission so to notify will not relieve the party or parties from whom contribution may be sought from any other obligation it or they may have under this Section 9. No party will be liable for contribution with respect to any action or claim settled without its written consent (which consent will not be unreasonably withheld).</w:t>
      </w:r>
    </w:p>
    <w:p>
      <w:pPr>
        <w:spacing w:after="0" w:line="200" w:lineRule="exact"/>
        <w:rPr>
          <w:rFonts w:ascii="Times New Roman" w:cs="Times New Roman" w:eastAsia="Times New Roman" w:hAnsi="Times New Roman"/>
          <w:sz w:val="18"/>
          <w:szCs w:val="18"/>
          <w:color w:val="auto"/>
        </w:rPr>
      </w:pPr>
    </w:p>
    <w:p>
      <w:pPr>
        <w:ind w:left="1332" w:hanging="684"/>
        <w:spacing w:after="0"/>
        <w:tabs>
          <w:tab w:leader="none" w:pos="133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43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this Agreement</w:t>
      </w:r>
      <w:r>
        <w:rPr>
          <w:rFonts w:ascii="Times New Roman" w:cs="Times New Roman" w:eastAsia="Times New Roman" w:hAnsi="Times New Roman"/>
          <w:sz w:val="17"/>
          <w:szCs w:val="17"/>
          <w:color w:val="auto"/>
        </w:rPr>
        <w:t>. Prior to the purchase of the Shares by the Underwriters on the Closing Date, this Agreement may be terminated by the Representative by notice given to the Company if at any time: (i) trading or quotation in any of the Company's securities shall have been suspended or limited by the Commission, any other securities regulatory authority, or by Nasdaq or trading in securities generally on the NYSE or Nasdaq shall have been suspended or limited, or minimum or maximum prices shall have been generally established on any of such stock exchanges; (ii) a general banking moratorium shall have been declared by any of U.S. federal or New York or authorities or a major disruption of securities settlements or clearing services in the United States shall have occurred and be continuing; (iii) there shall have occurred any outbreak or escalation of national or international hostilities or any crisis or calamity, or any substantial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market the Shares in the manner and on the terms described in the Pricing Disclosure Package or the Prospectus or to enforce contracts for the sale of securities; (iv) in the good faith judgment of the Representative there shall have occurred any material adverse change, or any development or event involving a prospective material adverse change, in the condition, financial or otherwise, or in the business, properties, earnings, results of operations or prospects of the Company and its Subsidiaries considered as one enterprise, whether or not arising in the ordinary course of business;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w:t>
      </w:r>
    </w:p>
    <w:p>
      <w:pPr>
        <w:spacing w:after="0" w:line="8" w:lineRule="exact"/>
        <w:rPr>
          <w:rFonts w:ascii="Times New Roman" w:cs="Times New Roman" w:eastAsia="Times New Roman" w:hAnsi="Times New Roman"/>
          <w:sz w:val="17"/>
          <w:szCs w:val="17"/>
          <w:color w:val="auto"/>
        </w:rPr>
      </w:pPr>
    </w:p>
    <w:p>
      <w:pPr>
        <w:jc w:val="both"/>
        <w:ind w:left="-8" w:firstLine="8"/>
        <w:spacing w:after="0" w:line="255" w:lineRule="auto"/>
        <w:tabs>
          <w:tab w:leader="none" w:pos="2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any Underwriter, except that the Company shall be obligated to reimburse the expenses of the Representative and the Underwriters pursuant to Section 4 hereof or (b) any Underwriter to the Company; provided, however, that the provisions of Section 8, Section 9, and Section 11 shall at all times be effective and shall survive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8" w:name="page29"/>
    <w:bookmarkEnd w:id="28"/>
    <w:p>
      <w:pPr>
        <w:jc w:val="both"/>
        <w:ind w:firstLine="656"/>
        <w:spacing w:after="0" w:line="253" w:lineRule="auto"/>
        <w:tabs>
          <w:tab w:leader="none" w:pos="13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agent or fiduciary of the Company, or its stockholders, or its creditors, employees or any other party, (iii)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Underwriters and their respective affiliates may be engaged in a broad range of transactions that involve interests that differ from those of the Company, (v) the Underwriters have not provided any legal, accounting, regulatory or tax advice with respect to the offering contemplated hereby and the Company has consulted its own legal, accounting, regulatory and tax advisors to the extent it deemed appropriate, and (vi)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or employees or any controlling person, as the case may be, and, anything herein to the contrary notwithstanding, will survive delivery of and payment for the Shares sold hereunder and any termination of this Agreement.</w:t>
      </w:r>
    </w:p>
    <w:p>
      <w:pPr>
        <w:spacing w:after="0" w:line="183"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If to the Representative:</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Oppenheimer &amp; Co. Inc.</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85 Broad Street</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New York, New York 10004</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216"/>
        </w:trPr>
        <w:tc>
          <w:tcPr>
            <w:tcW w:w="3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with a copy to:</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Paul Hastings LLP</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MetLife Building</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200 Park Avenue</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New York, New York 10166</w:t>
            </w:r>
          </w:p>
        </w:tc>
      </w:tr>
      <w:tr>
        <w:trPr>
          <w:trHeight w:val="234"/>
        </w:trPr>
        <w:tc>
          <w:tcPr>
            <w:tcW w:w="326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Attention: Siavosh Salimi &amp; William A. Magioncalda</w:t>
            </w:r>
          </w:p>
        </w:tc>
      </w:tr>
      <w:tr>
        <w:trPr>
          <w:trHeight w:val="414"/>
        </w:trPr>
        <w:tc>
          <w:tcPr>
            <w:tcW w:w="3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If to the Company:</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Vaxart, Inc.</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170 Harbor Way, Suite 300</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South San Francisco, California 94080</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Attention: Chief Executive Officer</w:t>
            </w:r>
          </w:p>
        </w:tc>
      </w:tr>
      <w:tr>
        <w:trPr>
          <w:trHeight w:val="216"/>
        </w:trPr>
        <w:tc>
          <w:tcPr>
            <w:tcW w:w="3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with a copy to:</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Thompson Hine LLP</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300 Madison Avenue, 27th Floor</w:t>
            </w:r>
          </w:p>
        </w:tc>
      </w:tr>
      <w:tr>
        <w:trPr>
          <w:trHeight w:val="216"/>
        </w:trPr>
        <w:tc>
          <w:tcPr>
            <w:tcW w:w="32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New York, NY 10017</w:t>
            </w:r>
          </w:p>
        </w:tc>
      </w:tr>
      <w:tr>
        <w:trPr>
          <w:trHeight w:val="234"/>
        </w:trPr>
        <w:tc>
          <w:tcPr>
            <w:tcW w:w="326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Attention: Faith Charles</w:t>
            </w:r>
          </w:p>
        </w:tc>
      </w:tr>
      <w:tr>
        <w:trPr>
          <w:trHeight w:val="574"/>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3" w:lineRule="exact"/>
        <w:rPr>
          <w:sz w:val="20"/>
          <w:szCs w:val="20"/>
          <w:color w:val="auto"/>
        </w:rPr>
      </w:pPr>
    </w:p>
    <w:p>
      <w:pPr>
        <w:jc w:val="both"/>
        <w:ind w:firstLine="656"/>
        <w:spacing w:after="0" w:line="259" w:lineRule="auto"/>
        <w:tabs>
          <w:tab w:leader="none" w:pos="15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color w:val="auto"/>
        </w:rPr>
        <w:t>Electronic Notice</w:t>
      </w:r>
      <w:r>
        <w:rPr>
          <w:rFonts w:ascii="Times New Roman" w:cs="Times New Roman" w:eastAsia="Times New Roman" w:hAnsi="Times New Roman"/>
          <w:sz w:val="18"/>
          <w:szCs w:val="18"/>
          <w:color w:val="auto"/>
        </w:rPr>
        <w:t>”) shall be deemed written notice for purposes of this Section 15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color w:val="auto"/>
        </w:rPr>
        <w:t>Nonelectronic Notice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Company and the Underwriters and their respective successors and the parties referred to in Section 8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provided, however, that the Representative may assign its rights and obligations hereunder to an affiliate thereof without obtaining the Company's consent.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Representative.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7" w:lineRule="auto"/>
        <w:tabs>
          <w:tab w:leader="none" w:pos="15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56"/>
        <w:spacing w:after="0" w:line="253" w:lineRule="auto"/>
        <w:tabs>
          <w:tab w:leader="none" w:pos="19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“without limitation”;</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policies, notices, instruments and regulations promulgated thereunder;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 and</w:t>
      </w:r>
    </w:p>
    <w:p>
      <w:pPr>
        <w:spacing w:after="0" w:line="171" w:lineRule="exact"/>
        <w:rPr>
          <w:rFonts w:ascii="Times New Roman" w:cs="Times New Roman" w:eastAsia="Times New Roman" w:hAnsi="Times New Roman"/>
          <w:sz w:val="18"/>
          <w:szCs w:val="18"/>
          <w:color w:val="auto"/>
        </w:rPr>
      </w:pPr>
    </w:p>
    <w:p>
      <w:pPr>
        <w:ind w:firstLine="1304"/>
        <w:spacing w:after="0" w:line="286" w:lineRule="auto"/>
        <w:tabs>
          <w:tab w:leader="none" w:pos="19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as it pertains to the Company, the actual knowledge of the officers and directors of the Company, together with the knowledge which they would have had if they had conducted a reasonable inquiry of the relevant persons into the relevant subject matter.</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(i) any federal,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(including any stock exchange or quotation system); or (iii) any political subdivision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left="1340" w:hanging="684"/>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Section 24:</w:t>
      </w:r>
    </w:p>
    <w:p>
      <w:pPr>
        <w:spacing w:after="0" w:line="221" w:lineRule="exact"/>
        <w:rPr>
          <w:sz w:val="20"/>
          <w:szCs w:val="20"/>
          <w:color w:val="auto"/>
        </w:rPr>
      </w:pPr>
    </w:p>
    <w:p>
      <w:pPr>
        <w:ind w:left="2280" w:hanging="652"/>
        <w:spacing w:after="0" w:line="286" w:lineRule="auto"/>
        <w:tabs>
          <w:tab w:leader="none" w:pos="2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54"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rFonts w:ascii="Times New Roman" w:cs="Times New Roman" w:eastAsia="Times New Roman" w:hAnsi="Times New Roman"/>
          <w:sz w:val="18"/>
          <w:szCs w:val="18"/>
          <w:color w:val="auto"/>
        </w:rPr>
      </w:pPr>
    </w:p>
    <w:p>
      <w:pPr>
        <w:ind w:left="2700" w:hanging="424"/>
        <w:spacing w:after="0"/>
        <w:tabs>
          <w:tab w:leader="none" w:pos="2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700" w:hanging="424"/>
        <w:spacing w:after="0"/>
        <w:tabs>
          <w:tab w:leader="none" w:pos="2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700" w:hanging="424"/>
        <w:spacing w:after="0"/>
        <w:tabs>
          <w:tab w:leader="none" w:pos="2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rFonts w:ascii="Times New Roman" w:cs="Times New Roman" w:eastAsia="Times New Roman" w:hAnsi="Times New Roman"/>
          <w:sz w:val="18"/>
          <w:szCs w:val="18"/>
          <w:color w:val="auto"/>
        </w:rPr>
      </w:pPr>
    </w:p>
    <w:p>
      <w:pPr>
        <w:ind w:left="2280" w:hanging="652"/>
        <w:spacing w:after="0" w:line="286" w:lineRule="auto"/>
        <w:tabs>
          <w:tab w:leader="none" w:pos="2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4" w:lineRule="exact"/>
        <w:rPr>
          <w:rFonts w:ascii="Times New Roman" w:cs="Times New Roman" w:eastAsia="Times New Roman" w:hAnsi="Times New Roman"/>
          <w:sz w:val="18"/>
          <w:szCs w:val="18"/>
          <w:color w:val="auto"/>
        </w:rPr>
      </w:pPr>
    </w:p>
    <w:p>
      <w:pPr>
        <w:jc w:val="both"/>
        <w:ind w:left="2280" w:hanging="652"/>
        <w:spacing w:after="0" w:line="268" w:lineRule="auto"/>
        <w:tabs>
          <w:tab w:leader="none" w:pos="2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Pricing Disclosure Package, each free writing prospectus and the Prospectus (and any amendments and supplements to the foregoing), as contemplated by the Securities Act and the Exchange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Underwriters, please so indicate in the space provided below for that purpose, whereupon this letter shall constitute a binding agreement between the Company and the Underwriters.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VAXART,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Lo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Steven Lo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behalf of itself and the several Underwriters named in Schedule A hereto.</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Margolis, R.Ph.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Margolis, R.Ph.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 Head of Healthcare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Number of</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Name of Underwriter</w:t>
            </w:r>
          </w:p>
        </w:tc>
        <w:tc>
          <w:tcPr>
            <w:tcW w:w="100" w:type="dxa"/>
            <w:vAlign w:val="bottom"/>
          </w:tcPr>
          <w:p>
            <w:pPr>
              <w:spacing w:after="0"/>
              <w:rPr>
                <w:sz w:val="20"/>
                <w:szCs w:val="20"/>
                <w:color w:val="auto"/>
              </w:rPr>
            </w:pPr>
          </w:p>
        </w:tc>
        <w:tc>
          <w:tcPr>
            <w:tcW w:w="25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Shares</w:t>
            </w:r>
          </w:p>
        </w:tc>
      </w:tr>
      <w:tr>
        <w:trPr>
          <w:trHeight w:val="209"/>
        </w:trPr>
        <w:tc>
          <w:tcPr>
            <w:tcW w:w="6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50,000,000</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share for the Shares shall be $0.80.</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purchase price per share for the Shares to be paid by the several Underwriters shall be $0.752, being an amount equal to the initial public offering price set forth above less $0.048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Prospectuses Included in the Pricing Disclosure Package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Information</w:t>
      </w:r>
    </w:p>
    <w:p>
      <w:pPr>
        <w:spacing w:after="0" w:line="229"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50,000,000 shares of Common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share for the Shares shall be $0.80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and Principal Stockholder Signing Lock-up Agreement</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J. Finney</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Elaine J. Heron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Mark Watson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Wheadon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 Yedid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 E. Lee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Tucker</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B. Berg</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F. Cummings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Lo</w:t>
      </w:r>
    </w:p>
    <w:p>
      <w:pPr>
        <w:sectPr>
          <w:pgSz w:w="11900" w:h="16838" w:orient="portrait"/>
          <w:cols w:equalWidth="0" w:num="1">
            <w:col w:w="11240"/>
          </w:cols>
          <w:pgMar w:left="320" w:top="57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5349240" cy="643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Harbor Way,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counsel to Vaxart,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 and sale by the Company of 50,000,000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a Registration Statement on Form S-3 (File No. 333-270671)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March 17, 2023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capacity as such counsel, we have examined originals or copies of those corporate and other records, documents, and agreements we considered appropriate, including the Company’s certificate of incorporation and bylaws (as amended to date), the Registration Statement, and the Prospectus. As to relevant factual matters, we have relied upon, among other things, factual representations we have received from the Company. In addition, we have obtained and relied upon those certificates of public officials we considered appropriate.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assumed the genuineness of all signatures, the authenticity of all documents submitted to us as originals, and the conformity with originals of all documents submitted to us as copies.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basis of such examination, our reliance upon the assumptions in this opinion and our consideration of those questions of law we considered relevant, and subject to the limitations and qualifications in this opinion, we are of the opinion that the Shares, when sold and issued in accordance with the Registration Statement and the Prospectus, will be validly issued,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 covered by this opinion is limited to the present Delaware General Corporation Law and the present federal law of the United States. We express no opinion as to the laws of any other jurisdiction and no opinion regarding the statutes, administrative decisions, rules, regulations, or requirements of any county, municipality, subdivision, or local authority of any jurisdiction.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letter with the Commission as an exhibit to the Company’s Current Report on Form 8-K to be incorporated by reference into the Registration Statement. We also hereby consent to the use of our name under the heading “Legal Matters” in the Prospectus. In giving this consent, we do not thereby admit that we are within the category of persons whose consent is required under Section 7 of the Securities Act or the rules and regulations of the Commission promulgated thereunder. The opinion in this letter is expressed as of the date hereof unless otherwise expressly stated, and we disclaim any undertaking to advise you of any subsequent changes in the facts stated or assumed herein or of any subsequent changes in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Thompson Hine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54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Thompson Hine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288290</wp:posOffset>
            </wp:positionV>
            <wp:extent cx="5349240" cy="52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52260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Announces $40 Million Underwritten Offering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 SAN FRANCISCO, CA, June 13, 2024 - Vaxart, Inc. (“Vaxart”) (Nasdaq: VXRT) today announced an underwritten offering of 50,000,000 shares of its common stock at an offering price of $0.80 per share, which is a premium to the last closing price of $0.75 per share. Gross proceeds to Vaxart from the offering are expected to be $40 million, before deducting underwriting discounts and commissions and estimated offering expenses payable by Vaxart. The offering is expected to close on or about June 17, 2024, subject to customary closing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is acting as sole bookrunner for the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were offered by Vaxart pursuant to an effective shelf registration statement previously filed by Vaxart with the Securities and Exchange Commission (SEC). A prospectus supplement and accompanying prospectus related to the offering will be filed with the SEC, and will be available on the SEC’s website located at http://www.sec.gov. When available, copies of the final prospectus supplement and the accompanying prospectus relating to the offering may also be obtained by contacting: Oppenheimer &amp; Co. Inc., Attention: Syndicate Prospectus Department, 85 Broad Street, 26th Floor, New York, NY 10004, by telephone at (212) 667-8055, or by email at EquityProspectus@opco.com.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facts, included in this press release regarding Vaxart’s strategy, prospects, plans and objectives, results from preclinical and clinical trials and the timing of such results, commercialization agreements and licenses, and beliefs and expectations of management are forward-looking statements. These forward-looking statements may be accompanied by such words as “should,” “believe,” “could,” “potential,” “will,” “expected,” “anticipate,” “plan,” and other words and terms of similar meaning. Examples of such statements include, but are not limited to, statements relating to the anticipated gross proceeds and anticipated closing date of the offering, including the satisfaction of customary closing conditions related to the offering. Other risks facing Vaxart are described in the “Risk Factors” sections of Vaxart’s Quarterly and Annual Reports filed with the SEC. Vaxart does not assume any obligation to update any forward-looking statements, except as required by law.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Vaxart Media Relations</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Mark Herr </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Vaxart, Inc.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mherr@vaxart.com </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(203) 517-8957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Blazier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Finn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IR@Vaxart.com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871-8486</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lvl w:ilvl="1">
      <w:lvlJc w:val="left"/>
      <w:lvlText w:val="(%2)"/>
      <w:numFmt w:val="lowerLetter"/>
      <w:start w:val="1"/>
    </w:lvl>
  </w:abstractNum>
  <w:abstractNum w:abstractNumId="2">
    <w:nsid w:val="2443A858"/>
    <w:multiLevelType w:val="hybridMultilevel"/>
    <w:lvl w:ilvl="0">
      <w:lvlJc w:val="left"/>
      <w:lvlText w:val="(%1)"/>
      <w:numFmt w:val="lowerLetter"/>
      <w:start w:val="2"/>
    </w:lvl>
  </w:abstractNum>
  <w:abstractNum w:abstractNumId="3">
    <w:nsid w:val="2D1D5AE9"/>
    <w:multiLevelType w:val="hybridMultilevel"/>
    <w:lvl w:ilvl="0">
      <w:lvlJc w:val="left"/>
      <w:lvlText w:val="(%1)"/>
      <w:numFmt w:val="lowerLetter"/>
      <w:start w:val="4"/>
    </w:lvl>
  </w:abstractNum>
  <w:abstractNum w:abstractNumId="4">
    <w:nsid w:val="6763845E"/>
    <w:multiLevelType w:val="hybridMultilevel"/>
    <w:lvl w:ilvl="0">
      <w:lvlJc w:val="left"/>
      <w:lvlText w:val="%1"/>
      <w:numFmt w:val="lowerLetter"/>
      <w:start w:val="1"/>
    </w:lvl>
    <w:lvl w:ilvl="1">
      <w:lvlJc w:val="left"/>
      <w:lvlText w:val="(%2)"/>
      <w:numFmt w:val="lowerLetter"/>
      <w:start w:val="9"/>
    </w:lvl>
  </w:abstractNum>
  <w:abstractNum w:abstractNumId="5">
    <w:nsid w:val="75A2A8D4"/>
    <w:multiLevelType w:val="hybridMultilevel"/>
    <w:lvl w:ilvl="0">
      <w:lvlJc w:val="left"/>
      <w:lvlText w:val="(%1)"/>
      <w:numFmt w:val="lowerLetter"/>
      <w:start w:val="9"/>
    </w:lvl>
    <w:lvl w:ilvl="1">
      <w:lvlJc w:val="left"/>
      <w:lvlText w:val="%2"/>
      <w:numFmt w:val="lowerLetter"/>
      <w:start w:val="1"/>
    </w:lvl>
  </w:abstractNum>
  <w:abstractNum w:abstractNumId="6">
    <w:nsid w:val="8EDBDAB"/>
    <w:multiLevelType w:val="hybridMultilevel"/>
    <w:lvl w:ilvl="0">
      <w:lvlJc w:val="left"/>
      <w:lvlText w:val="(%1)"/>
      <w:numFmt w:val="lowerLetter"/>
      <w:start w:val="15"/>
    </w:lvl>
  </w:abstractNum>
  <w:abstractNum w:abstractNumId="7">
    <w:nsid w:val="79838CB2"/>
    <w:multiLevelType w:val="hybridMultilevel"/>
    <w:lvl w:ilvl="0">
      <w:lvlJc w:val="left"/>
      <w:lvlText w:val="(%1)"/>
      <w:numFmt w:val="lowerLetter"/>
      <w:start w:val="19"/>
    </w:lvl>
  </w:abstractNum>
  <w:abstractNum w:abstractNumId="8">
    <w:nsid w:val="4353D0CD"/>
    <w:multiLevelType w:val="hybridMultilevel"/>
    <w:lvl w:ilvl="0">
      <w:lvlJc w:val="left"/>
      <w:lvlText w:val="(%1)"/>
      <w:numFmt w:val="lowerLetter"/>
      <w:start w:val="22"/>
    </w:lvl>
  </w:abstractNum>
  <w:abstractNum w:abstractNumId="9">
    <w:nsid w:val="B03E0C6"/>
    <w:multiLevelType w:val="hybridMultilevel"/>
    <w:lvl w:ilvl="0">
      <w:lvlJc w:val="left"/>
      <w:lvlText w:val="(%1)"/>
      <w:numFmt w:val="lowerLetter"/>
      <w:start w:val="25"/>
    </w:lvl>
  </w:abstractNum>
  <w:abstractNum w:abstractNumId="10">
    <w:nsid w:val="189A769B"/>
    <w:multiLevelType w:val="hybridMultilevel"/>
    <w:lvl w:ilvl="0">
      <w:lvlJc w:val="left"/>
      <w:lvlText w:val="(%1)"/>
      <w:numFmt w:val="lowerLetter"/>
      <w:start w:val="27"/>
    </w:lvl>
  </w:abstractNum>
  <w:abstractNum w:abstractNumId="11">
    <w:nsid w:val="54E49EB4"/>
    <w:multiLevelType w:val="hybridMultilevel"/>
    <w:lvl w:ilvl="0">
      <w:lvlJc w:val="left"/>
      <w:lvlText w:val="(%1)"/>
      <w:numFmt w:val="lowerLetter"/>
      <w:start w:val="31"/>
    </w:lvl>
  </w:abstractNum>
  <w:abstractNum w:abstractNumId="12">
    <w:nsid w:val="71F32454"/>
    <w:multiLevelType w:val="hybridMultilevel"/>
    <w:lvl w:ilvl="0">
      <w:lvlJc w:val="left"/>
      <w:lvlText w:val="(%1)"/>
      <w:numFmt w:val="lowerLetter"/>
      <w:start w:val="38"/>
    </w:lvl>
  </w:abstractNum>
  <w:abstractNum w:abstractNumId="13">
    <w:nsid w:val="2CA88611"/>
    <w:multiLevelType w:val="hybridMultilevel"/>
    <w:lvl w:ilvl="0">
      <w:lvlJc w:val="left"/>
      <w:lvlText w:val="(%1)"/>
      <w:numFmt w:val="lowerLetter"/>
      <w:start w:val="42"/>
    </w:lvl>
  </w:abstractNum>
  <w:abstractNum w:abstractNumId="14">
    <w:nsid w:val="836C40E"/>
    <w:multiLevelType w:val="hybridMultilevel"/>
    <w:lvl w:ilvl="0">
      <w:lvlJc w:val="left"/>
      <w:lvlText w:val="(%1)"/>
      <w:numFmt w:val="lowerLetter"/>
      <w:start w:val="46"/>
    </w:lvl>
  </w:abstractNum>
  <w:abstractNum w:abstractNumId="15">
    <w:nsid w:val="2901D82"/>
    <w:multiLevelType w:val="hybridMultilevel"/>
    <w:lvl w:ilvl="0">
      <w:lvlJc w:val="left"/>
      <w:lvlText w:val="%1"/>
      <w:numFmt w:val="decimal"/>
      <w:start w:val="1"/>
    </w:lvl>
    <w:lvl w:ilvl="1">
      <w:lvlJc w:val="left"/>
      <w:lvlText w:val="(%2)"/>
      <w:numFmt w:val="lowerLetter"/>
      <w:start w:val="48"/>
    </w:lvl>
  </w:abstractNum>
  <w:abstractNum w:abstractNumId="16">
    <w:nsid w:val="3A95F874"/>
    <w:multiLevelType w:val="hybridMultilevel"/>
    <w:lvl w:ilvl="0">
      <w:lvlJc w:val="left"/>
      <w:lvlText w:val="(%1)"/>
      <w:numFmt w:val="decimal"/>
      <w:start w:val="1"/>
    </w:lvl>
    <w:lvl w:ilvl="1">
      <w:lvlJc w:val="left"/>
      <w:lvlText w:val="(%2)"/>
      <w:numFmt w:val="lowerLetter"/>
      <w:start w:val="53"/>
    </w:lvl>
  </w:abstractNum>
  <w:abstractNum w:abstractNumId="17">
    <w:nsid w:val="8138641"/>
    <w:multiLevelType w:val="hybridMultilevel"/>
    <w:lvl w:ilvl="0">
      <w:lvlJc w:val="left"/>
      <w:lvlText w:val="(%1)"/>
      <w:numFmt w:val="lowerLetter"/>
      <w:start w:val="55"/>
    </w:lvl>
  </w:abstractNum>
  <w:abstractNum w:abstractNumId="18">
    <w:nsid w:val="1E7FF521"/>
    <w:multiLevelType w:val="hybridMultilevel"/>
    <w:lvl w:ilvl="0">
      <w:lvlJc w:val="left"/>
      <w:lvlText w:val="(%1)"/>
      <w:numFmt w:val="lowerRoman"/>
      <w:start w:val="3"/>
    </w:lvl>
  </w:abstractNum>
  <w:abstractNum w:abstractNumId="19">
    <w:nsid w:val="7C3DBD3D"/>
    <w:multiLevelType w:val="hybridMultilevel"/>
    <w:lvl w:ilvl="0">
      <w:lvlJc w:val="left"/>
      <w:lvlText w:val="%1."/>
      <w:numFmt w:val="decimal"/>
      <w:start w:val="2"/>
    </w:lvl>
    <w:lvl w:ilvl="1">
      <w:lvlJc w:val="left"/>
      <w:lvlText w:val="(%2)"/>
      <w:numFmt w:val="lowerLetter"/>
      <w:start w:val="1"/>
    </w:lvl>
  </w:abstractNum>
  <w:abstractNum w:abstractNumId="20">
    <w:nsid w:val="737B8DDC"/>
    <w:multiLevelType w:val="hybridMultilevel"/>
    <w:lvl w:ilvl="0">
      <w:lvlJc w:val="left"/>
      <w:lvlText w:val="%1."/>
      <w:numFmt w:val="decimal"/>
      <w:start w:val="3"/>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4"/>
    </w:lvl>
  </w:abstractNum>
  <w:abstractNum w:abstractNumId="23">
    <w:nsid w:val="4516DDE9"/>
    <w:multiLevelType w:val="hybridMultilevel"/>
    <w:lvl w:ilvl="0">
      <w:lvlJc w:val="left"/>
      <w:lvlText w:val="(%1)"/>
      <w:numFmt w:val="lowerLetter"/>
      <w:start w:val="8"/>
    </w:lvl>
  </w:abstractNum>
  <w:abstractNum w:abstractNumId="24">
    <w:nsid w:val="3006C83E"/>
    <w:multiLevelType w:val="hybridMultilevel"/>
    <w:lvl w:ilvl="0">
      <w:lvlJc w:val="left"/>
      <w:lvlText w:val="(%1)"/>
      <w:numFmt w:val="lowerLetter"/>
      <w:start w:val="15"/>
    </w:lvl>
  </w:abstractNum>
  <w:abstractNum w:abstractNumId="25">
    <w:nsid w:val="614FD4A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6">
    <w:nsid w:val="419AC241"/>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lvl w:ilvl="3">
      <w:lvlJc w:val="left"/>
      <w:lvlText w:val="(%4)"/>
      <w:numFmt w:val="lowerLetter"/>
      <w:start w:val="9"/>
    </w:lvl>
  </w:abstractNum>
  <w:abstractNum w:abstractNumId="27">
    <w:nsid w:val="5577F8E1"/>
    <w:multiLevelType w:val="hybridMultilevel"/>
    <w:lvl w:ilvl="0">
      <w:lvlJc w:val="left"/>
      <w:lvlText w:val="%1"/>
      <w:numFmt w:val="lowerLetter"/>
      <w:start w:val="1"/>
    </w:lvl>
    <w:lvl w:ilvl="1">
      <w:lvlJc w:val="left"/>
      <w:lvlText w:val="(%2)"/>
      <w:numFmt w:val="lowerRoman"/>
      <w:start w:val="2"/>
    </w:lvl>
  </w:abstractNum>
  <w:abstractNum w:abstractNumId="28">
    <w:nsid w:val="440BADFC"/>
    <w:multiLevelType w:val="hybridMultilevel"/>
    <w:lvl w:ilvl="0">
      <w:lvlJc w:val="left"/>
      <w:lvlText w:val="(%1)"/>
      <w:numFmt w:val="lowerLetter"/>
      <w:start w:val="3"/>
    </w:lvl>
    <w:lvl w:ilvl="1">
      <w:lvlJc w:val="left"/>
      <w:lvlText w:val="(%2)"/>
      <w:numFmt w:val="lowerRoman"/>
      <w:start w:val="1"/>
    </w:lvl>
  </w:abstractNum>
  <w:abstractNum w:abstractNumId="29">
    <w:nsid w:val="5072367"/>
    <w:multiLevelType w:val="hybridMultilevel"/>
    <w:lvl w:ilvl="0">
      <w:lvlJc w:val="left"/>
      <w:lvlText w:val="(%1)"/>
      <w:numFmt w:val="lowerLetter"/>
      <w:start w:val="11"/>
    </w:lvl>
  </w:abstractNum>
  <w:abstractNum w:abstractNumId="30">
    <w:nsid w:val="3804823E"/>
    <w:multiLevelType w:val="hybridMultilevel"/>
    <w:lvl w:ilvl="0">
      <w:lvlJc w:val="left"/>
      <w:lvlText w:val="%1."/>
      <w:numFmt w:val="decimal"/>
      <w:start w:val="7"/>
    </w:lvl>
    <w:lvl w:ilvl="1">
      <w:lvlJc w:val="left"/>
      <w:lvlText w:val="(%2)"/>
      <w:numFmt w:val="lowerLetter"/>
      <w:start w:val="1"/>
    </w:lvl>
  </w:abstractNum>
  <w:abstractNum w:abstractNumId="31">
    <w:nsid w:val="77465F01"/>
    <w:multiLevelType w:val="hybridMultilevel"/>
    <w:lvl w:ilvl="0">
      <w:lvlJc w:val="left"/>
      <w:lvlText w:val="(%1)"/>
      <w:numFmt w:val="lowerLetter"/>
      <w:start w:val="3"/>
    </w:lvl>
  </w:abstractNum>
  <w:abstractNum w:abstractNumId="32">
    <w:nsid w:val="7724C67E"/>
    <w:multiLevelType w:val="hybridMultilevel"/>
    <w:lvl w:ilvl="0">
      <w:lvlJc w:val="left"/>
      <w:lvlText w:val="%1"/>
      <w:numFmt w:val="lowerLetter"/>
      <w:start w:val="1"/>
    </w:lvl>
    <w:lvl w:ilvl="1">
      <w:lvlJc w:val="left"/>
      <w:lvlText w:val="%2."/>
      <w:numFmt w:val="decimal"/>
      <w:start w:val="9"/>
    </w:lvl>
  </w:abstractNum>
  <w:abstractNum w:abstractNumId="33">
    <w:nsid w:val="5C482A97"/>
    <w:multiLevelType w:val="hybridMultilevel"/>
    <w:lvl w:ilvl="0">
      <w:lvlJc w:val="left"/>
      <w:lvlText w:val="(%1)"/>
      <w:numFmt w:val="lowerLetter"/>
      <w:start w:val="1"/>
    </w:lvl>
    <w:lvl w:ilvl="1">
      <w:lvlJc w:val="left"/>
      <w:lvlText w:val="%2"/>
      <w:numFmt w:val="decimal"/>
      <w:start w:val="1"/>
    </w:lvl>
  </w:abstractNum>
  <w:abstractNum w:abstractNumId="34">
    <w:nsid w:val="2463B9EA"/>
    <w:multiLevelType w:val="hybridMultilevel"/>
    <w:lvl w:ilvl="0">
      <w:lvlJc w:val="left"/>
      <w:lvlText w:val="%1."/>
      <w:numFmt w:val="decimal"/>
      <w:start w:val="12"/>
    </w:lvl>
  </w:abstractNum>
  <w:abstractNum w:abstractNumId="35">
    <w:nsid w:val="5E884ADC"/>
    <w:multiLevelType w:val="hybridMultilevel"/>
    <w:lvl w:ilvl="0">
      <w:lvlJc w:val="left"/>
      <w:lvlText w:val="%1."/>
      <w:numFmt w:val="decimal"/>
      <w:start w:val="15"/>
    </w:lvl>
  </w:abstractNum>
  <w:abstractNum w:abstractNumId="36">
    <w:nsid w:val="51EAD36B"/>
    <w:multiLevelType w:val="hybridMultilevel"/>
    <w:lvl w:ilvl="0">
      <w:lvlJc w:val="left"/>
      <w:lvlText w:val="%1."/>
      <w:numFmt w:val="decimal"/>
      <w:start w:val="20"/>
    </w:lvl>
    <w:lvl w:ilvl="1">
      <w:lvlJc w:val="left"/>
      <w:lvlText w:val="(%2)"/>
      <w:numFmt w:val="lowerLetter"/>
      <w:start w:val="1"/>
    </w:lvl>
  </w:abstractNum>
  <w:abstractNum w:abstractNumId="37">
    <w:nsid w:val="2D517796"/>
    <w:multiLevelType w:val="hybridMultilevel"/>
    <w:lvl w:ilvl="0">
      <w:lvlJc w:val="left"/>
      <w:lvlText w:val="%1."/>
      <w:numFmt w:val="decimal"/>
      <w:start w:val="23"/>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9">
    <w:nsid w:val="153EA438"/>
    <w:multiLevelType w:val="hybridMultilevel"/>
    <w:lvl w:ilvl="0">
      <w:lvlJc w:val="left"/>
      <w:lvlText w:val="%1."/>
      <w:numFmt w:val="decimal"/>
      <w:start w:val="24"/>
    </w:lvl>
    <w:lvl w:ilvl="1">
      <w:lvlJc w:val="left"/>
      <w:lvlText w:val="%2"/>
      <w:numFmt w:val="lowerRoman"/>
      <w:start w:val="1"/>
    </w:lvl>
    <w:lvl w:ilvl="2">
      <w:lvlJc w:val="left"/>
      <w:lvlText w:val="%3"/>
      <w:numFmt w:val="upp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2024-06-14T05:16:16Z</dcterms:created>
  <dcterms:modified xsi:type="dcterms:W3CDTF">2024-06-14T05:16:16Z</dcterms:modified>
</cp:coreProperties>
</file>