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BREITMEYER JAMES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VAXART,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 UTAH AVENUE,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Vaxart, Inc.</w:t>
              </w:r>
            </w:hyperlink>
            <w:r>
              <w:rPr/>
              <w:t xml:space="preserve"> [ </w:t>
            </w:r>
            <w:r>
              <w:rPr>
                <w:rFonts w:ascii="Times;serif" w:hAnsi="Times;serif"/>
                <w:color w:val="0000FF"/>
                <w:sz w:val="24"/>
                <w:shd w:fill="FFFFFF" w:val="clear"/>
              </w:rPr>
              <w:t>VXRT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8,315</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87,115</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0.5149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16,610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16,610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shares upon vesting of restricted stock units. The shares underlying the award shall vest on the earlier of the date immediately prior of the 2027 annual meeting of stockholders of the Issuer and July 16, 2027, the first anniversary date of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shall vest on the earlier of the date immediately prior of the 2027 annual meeting of stockholders of the Issuer and July 16, 2027, the first anniversary of the date of the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Berg,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4823" TargetMode="External"/><Relationship Id="rId5" Type="http://schemas.openxmlformats.org/officeDocument/2006/relationships/hyperlink" Target="http://www.sec.gov/cgi-bin/browse-edgar?action=getcompany&amp;CIK=00000724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3530</Characters>
  <CharactersWithSpaces>4126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