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As filed with the U.S. Securities and Exchange Commission on December 29, 2017</w:t>
      </w:r>
    </w:p>
    <w:p>
      <w:pPr>
        <w:spacing w:after="0" w:line="8" w:lineRule="exact"/>
        <w:rPr>
          <w:sz w:val="24"/>
          <w:szCs w:val="24"/>
          <w:color w:val="auto"/>
        </w:rPr>
      </w:pPr>
    </w:p>
    <w:p>
      <w:pPr>
        <w:jc w:val="right"/>
        <w:ind w:right="440"/>
        <w:spacing w:after="0"/>
        <w:rPr>
          <w:sz w:val="20"/>
          <w:szCs w:val="20"/>
          <w:color w:val="auto"/>
        </w:rPr>
      </w:pPr>
      <w:r>
        <w:rPr>
          <w:rFonts w:ascii="Arial" w:cs="Arial" w:eastAsia="Arial" w:hAnsi="Arial"/>
          <w:sz w:val="18"/>
          <w:szCs w:val="18"/>
          <w:b w:val="1"/>
          <w:bCs w:val="1"/>
          <w:color w:val="auto"/>
        </w:rPr>
        <w:t>Registration No. 333-222009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175260</wp:posOffset>
            </wp:positionV>
            <wp:extent cx="1811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175895</wp:posOffset>
            </wp:positionV>
            <wp:extent cx="1811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Aviragen Therapeutics,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175260</wp:posOffset>
            </wp:positionV>
            <wp:extent cx="1811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29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2836</w:t>
            </w:r>
          </w:p>
        </w:tc>
        <w:tc>
          <w:tcPr>
            <w:tcW w:w="25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59-1212264</w:t>
            </w:r>
          </w:p>
        </w:tc>
      </w:tr>
      <w:tr>
        <w:trPr>
          <w:trHeight w:val="215"/>
        </w:trPr>
        <w:tc>
          <w:tcPr>
            <w:tcW w:w="296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(State or other jurisdiction of</w:t>
            </w:r>
          </w:p>
        </w:tc>
        <w:tc>
          <w:tcPr>
            <w:tcW w:w="42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(Primary Standard Industrial</w:t>
            </w:r>
          </w:p>
        </w:tc>
        <w:tc>
          <w:tcPr>
            <w:tcW w:w="2520" w:type="dxa"/>
            <w:vAlign w:val="bottom"/>
          </w:tcPr>
          <w:p>
            <w:pPr>
              <w:jc w:val="center"/>
              <w:ind w:left="6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9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incorporation or organization)</w:t>
            </w:r>
          </w:p>
        </w:tc>
        <w:tc>
          <w:tcPr>
            <w:tcW w:w="4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Classification Code Number)</w:t>
            </w:r>
          </w:p>
        </w:tc>
        <w:tc>
          <w:tcPr>
            <w:tcW w:w="252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2"/>
        </w:trPr>
        <w:tc>
          <w:tcPr>
            <w:tcW w:w="296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2500 Northwinds Parkway, Suite 100</w:t>
            </w:r>
          </w:p>
        </w:tc>
        <w:tc>
          <w:tcPr>
            <w:tcW w:w="2520" w:type="dxa"/>
            <w:vAlign w:val="bottom"/>
          </w:tcPr>
          <w:p>
            <w:pPr>
              <w:spacing w:after="0"/>
              <w:rPr>
                <w:sz w:val="24"/>
                <w:szCs w:val="24"/>
                <w:color w:val="auto"/>
              </w:rPr>
            </w:pPr>
          </w:p>
        </w:tc>
      </w:tr>
      <w:tr>
        <w:trPr>
          <w:trHeight w:val="215"/>
        </w:trPr>
        <w:tc>
          <w:tcPr>
            <w:tcW w:w="2960" w:type="dxa"/>
            <w:vAlign w:val="bottom"/>
          </w:tcPr>
          <w:p>
            <w:pPr>
              <w:spacing w:after="0"/>
              <w:rPr>
                <w:sz w:val="18"/>
                <w:szCs w:val="18"/>
                <w:color w:val="auto"/>
              </w:rPr>
            </w:pPr>
          </w:p>
        </w:tc>
        <w:tc>
          <w:tcPr>
            <w:tcW w:w="4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Alpharetta, Georgia 30009</w:t>
            </w:r>
          </w:p>
        </w:tc>
        <w:tc>
          <w:tcPr>
            <w:tcW w:w="252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42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(678) 221-3343</w:t>
            </w:r>
          </w:p>
        </w:tc>
        <w:tc>
          <w:tcPr>
            <w:tcW w:w="2520" w:type="dxa"/>
            <w:vAlign w:val="bottom"/>
          </w:tcPr>
          <w:p>
            <w:pPr>
              <w:spacing w:after="0"/>
              <w:rPr>
                <w:sz w:val="20"/>
                <w:szCs w:val="20"/>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187960</wp:posOffset>
            </wp:positionV>
            <wp:extent cx="1811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M. Patti,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Northwinds Parkway, Suite 100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Georgia 30009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221-3343</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175895</wp:posOffset>
            </wp:positionV>
            <wp:extent cx="1811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40" w:type="dxa"/>
            <w:vAlign w:val="bottom"/>
            <w:gridSpan w:val="2"/>
          </w:tcPr>
          <w:p>
            <w:pPr>
              <w:jc w:val="center"/>
              <w:ind w:right="680"/>
              <w:spacing w:after="0"/>
              <w:rPr>
                <w:sz w:val="20"/>
                <w:szCs w:val="20"/>
                <w:color w:val="auto"/>
              </w:rPr>
            </w:pPr>
            <w:r>
              <w:rPr>
                <w:rFonts w:ascii="Arial" w:cs="Arial" w:eastAsia="Arial" w:hAnsi="Arial"/>
                <w:sz w:val="18"/>
                <w:szCs w:val="18"/>
                <w:b w:val="1"/>
                <w:bCs w:val="1"/>
                <w:i w:val="1"/>
                <w:iCs w:val="1"/>
                <w:color w:val="auto"/>
                <w:w w:val="84"/>
              </w:rPr>
              <w:t>Copies to:</w:t>
            </w:r>
          </w:p>
        </w:tc>
        <w:tc>
          <w:tcPr>
            <w:tcW w:w="3600" w:type="dxa"/>
            <w:vAlign w:val="bottom"/>
          </w:tcPr>
          <w:p>
            <w:pPr>
              <w:spacing w:after="0"/>
              <w:rPr>
                <w:sz w:val="19"/>
                <w:szCs w:val="19"/>
                <w:color w:val="auto"/>
              </w:rPr>
            </w:pPr>
          </w:p>
        </w:tc>
      </w:tr>
      <w:tr>
        <w:trPr>
          <w:trHeight w:val="627"/>
        </w:trPr>
        <w:tc>
          <w:tcPr>
            <w:tcW w:w="358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David S. Rosenthal, Esq.</w:t>
            </w:r>
          </w:p>
        </w:tc>
        <w:tc>
          <w:tcPr>
            <w:tcW w:w="700" w:type="dxa"/>
            <w:vAlign w:val="bottom"/>
          </w:tcPr>
          <w:p>
            <w:pPr>
              <w:spacing w:after="0"/>
              <w:rPr>
                <w:sz w:val="24"/>
                <w:szCs w:val="24"/>
                <w:color w:val="auto"/>
              </w:rPr>
            </w:pPr>
          </w:p>
        </w:tc>
        <w:tc>
          <w:tcPr>
            <w:tcW w:w="35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4"/>
              </w:rPr>
              <w:t>Wouter W. Latour, M.D.</w:t>
            </w:r>
          </w:p>
        </w:tc>
        <w:tc>
          <w:tcPr>
            <w:tcW w:w="3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John T. McKenna, Esq.</w:t>
            </w:r>
          </w:p>
        </w:tc>
      </w:tr>
      <w:tr>
        <w:trPr>
          <w:trHeight w:val="215"/>
        </w:trPr>
        <w:tc>
          <w:tcPr>
            <w:tcW w:w="358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Dechert LLP</w:t>
            </w:r>
          </w:p>
        </w:tc>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6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Josh Seidenfeld, Esq.</w:t>
            </w:r>
          </w:p>
        </w:tc>
      </w:tr>
      <w:tr>
        <w:trPr>
          <w:trHeight w:val="215"/>
        </w:trPr>
        <w:tc>
          <w:tcPr>
            <w:tcW w:w="358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1095 Avenue of Americas</w:t>
            </w:r>
          </w:p>
        </w:tc>
        <w:tc>
          <w:tcPr>
            <w:tcW w:w="700" w:type="dxa"/>
            <w:vAlign w:val="bottom"/>
          </w:tcPr>
          <w:p>
            <w:pPr>
              <w:spacing w:after="0"/>
              <w:rPr>
                <w:sz w:val="18"/>
                <w:szCs w:val="18"/>
                <w:color w:val="auto"/>
              </w:rPr>
            </w:pPr>
          </w:p>
        </w:tc>
        <w:tc>
          <w:tcPr>
            <w:tcW w:w="35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5"/>
              </w:rPr>
              <w:t>Vaxart, Inc.</w:t>
            </w:r>
          </w:p>
        </w:tc>
        <w:tc>
          <w:tcPr>
            <w:tcW w:w="3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Cooley LLP</w:t>
            </w:r>
          </w:p>
        </w:tc>
      </w:tr>
      <w:tr>
        <w:trPr>
          <w:trHeight w:val="215"/>
        </w:trPr>
        <w:tc>
          <w:tcPr>
            <w:tcW w:w="358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New York, New York 10036</w:t>
            </w:r>
          </w:p>
        </w:tc>
        <w:tc>
          <w:tcPr>
            <w:tcW w:w="700" w:type="dxa"/>
            <w:vAlign w:val="bottom"/>
          </w:tcPr>
          <w:p>
            <w:pPr>
              <w:spacing w:after="0"/>
              <w:rPr>
                <w:sz w:val="18"/>
                <w:szCs w:val="18"/>
                <w:color w:val="auto"/>
              </w:rPr>
            </w:pPr>
          </w:p>
        </w:tc>
        <w:tc>
          <w:tcPr>
            <w:tcW w:w="35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395 Oyster Point Blvd., Suite 405</w:t>
            </w:r>
          </w:p>
        </w:tc>
        <w:tc>
          <w:tcPr>
            <w:tcW w:w="3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3175 Hanover Street</w:t>
            </w:r>
          </w:p>
        </w:tc>
      </w:tr>
      <w:tr>
        <w:trPr>
          <w:trHeight w:val="215"/>
        </w:trPr>
        <w:tc>
          <w:tcPr>
            <w:tcW w:w="35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(212) 698-3616</w:t>
            </w:r>
          </w:p>
        </w:tc>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36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Palo Alto, California 94304</w:t>
            </w:r>
          </w:p>
        </w:tc>
      </w:tr>
      <w:tr>
        <w:trPr>
          <w:trHeight w:val="234"/>
        </w:trPr>
        <w:tc>
          <w:tcPr>
            <w:tcW w:w="3580" w:type="dxa"/>
            <w:vAlign w:val="bottom"/>
          </w:tcPr>
          <w:p>
            <w:pPr>
              <w:spacing w:after="0"/>
              <w:rPr>
                <w:sz w:val="20"/>
                <w:szCs w:val="20"/>
                <w:color w:val="auto"/>
              </w:rPr>
            </w:pPr>
          </w:p>
        </w:tc>
        <w:tc>
          <w:tcPr>
            <w:tcW w:w="356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0"/>
              </w:rPr>
              <w:t>(650) 550-3500</w:t>
            </w:r>
          </w:p>
        </w:tc>
        <w:tc>
          <w:tcPr>
            <w:tcW w:w="680" w:type="dxa"/>
            <w:vAlign w:val="bottom"/>
          </w:tcPr>
          <w:p>
            <w:pPr>
              <w:spacing w:after="0"/>
              <w:rPr>
                <w:sz w:val="20"/>
                <w:szCs w:val="20"/>
                <w:color w:val="auto"/>
              </w:rPr>
            </w:pPr>
          </w:p>
        </w:tc>
        <w:tc>
          <w:tcPr>
            <w:tcW w:w="36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(650) 843-5000</w:t>
            </w:r>
          </w:p>
        </w:tc>
      </w:tr>
      <w:tr>
        <w:trPr>
          <w:trHeight w:val="269"/>
        </w:trPr>
        <w:tc>
          <w:tcPr>
            <w:tcW w:w="3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68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619"/>
        </w:trPr>
        <w:tc>
          <w:tcPr>
            <w:tcW w:w="3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280"/>
        <w:spacing w:after="0" w:line="280"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registration statement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or waiver of all other conditions under the Merger Agreement described herein.</w:t>
      </w:r>
    </w:p>
    <w:p>
      <w:pPr>
        <w:spacing w:after="0" w:line="167" w:lineRule="exact"/>
        <w:rPr>
          <w:sz w:val="20"/>
          <w:szCs w:val="20"/>
          <w:color w:val="auto"/>
        </w:rPr>
      </w:pPr>
    </w:p>
    <w:p>
      <w:pPr>
        <w:ind w:right="440" w:firstLine="323"/>
        <w:spacing w:after="0" w:line="232"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60" w:firstLine="323"/>
        <w:spacing w:after="0" w:line="232"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right="420" w:firstLine="323"/>
        <w:spacing w:after="0" w:line="23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right="80" w:firstLine="323"/>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1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1"/>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6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110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1"/>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0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81" w:lineRule="exact"/>
        <w:rPr>
          <w:sz w:val="20"/>
          <w:szCs w:val="20"/>
          <w:color w:val="auto"/>
        </w:rPr>
      </w:pPr>
    </w:p>
    <w:p>
      <w:pPr>
        <w:jc w:val="both"/>
        <w:ind w:right="18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19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205740</wp:posOffset>
            </wp:positionV>
            <wp:extent cx="1811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22"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00" w:type="dxa"/>
            <w:vAlign w:val="bottom"/>
            <w:tcBorders>
              <w:top w:val="single" w:sz="8" w:color="auto"/>
              <w:right w:val="single" w:sz="8" w:color="auto"/>
            </w:tcBorders>
          </w:tcPr>
          <w:p>
            <w:pPr>
              <w:spacing w:after="0"/>
              <w:rPr>
                <w:sz w:val="18"/>
                <w:szCs w:val="18"/>
                <w:color w:val="auto"/>
              </w:rPr>
            </w:pPr>
          </w:p>
        </w:tc>
      </w:tr>
      <w:tr>
        <w:trPr>
          <w:trHeight w:val="215"/>
        </w:trPr>
        <w:tc>
          <w:tcPr>
            <w:tcW w:w="388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1700" w:type="dxa"/>
            <w:vAlign w:val="bottom"/>
            <w:tcBorders>
              <w:right w:val="single" w:sz="8" w:color="auto"/>
            </w:tcBorders>
          </w:tcPr>
          <w:p>
            <w:pPr>
              <w:spacing w:after="0"/>
              <w:rPr>
                <w:sz w:val="18"/>
                <w:szCs w:val="18"/>
                <w:color w:val="auto"/>
              </w:rPr>
            </w:pPr>
          </w:p>
        </w:tc>
      </w:tr>
      <w:tr>
        <w:trPr>
          <w:trHeight w:val="215"/>
        </w:trPr>
        <w:tc>
          <w:tcPr>
            <w:tcW w:w="3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 of</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be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 be registered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registered(1)(2)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fee(4)</w:t>
            </w:r>
          </w:p>
        </w:tc>
      </w:tr>
      <w:tr>
        <w:trPr>
          <w:trHeight w:val="209"/>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$0.10 per share</w:t>
            </w:r>
          </w:p>
        </w:tc>
        <w:tc>
          <w:tcPr>
            <w:tcW w:w="17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62,509,974</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$0.587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29" w:lineRule="exact"/>
        <w:rPr>
          <w:sz w:val="20"/>
          <w:szCs w:val="20"/>
          <w:color w:val="auto"/>
        </w:rPr>
      </w:pPr>
    </w:p>
    <w:p>
      <w:pPr>
        <w:ind w:left="500" w:right="40" w:hanging="492"/>
        <w:spacing w:after="0" w:line="266"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maximum number of shares of common stock of Aviragen Therapeutics, Inc., or Aviragen, issuable to securityholders of Vaxart, Inc., or Vaxart, in the proposed merger described in the proxy statement/prospectus/information statement included herein. The amount of Aviragen common stock to be registered is based on the estimated number of shares of Aviragen common stock that are expected to be issued pursuant to the merger, prior to giving effect the proposed reverse stock split, assuming a pre-split exchange ratio of 0.3198 shares of Aviragen common stock for each outstanding share of Vaxart common stock. The estimated exchange ratio calculation contained herein is based upon Aviragen’s capitalization immediately prior to the date of this proxy statement/prospectus/information statement, and will be adjusted to account for the issuance of any additional shares of Aviragen common stock prior to the closing of the merger.</w:t>
      </w:r>
    </w:p>
    <w:p>
      <w:pPr>
        <w:spacing w:after="0" w:line="5" w:lineRule="exact"/>
        <w:rPr>
          <w:rFonts w:ascii="Arial" w:cs="Arial" w:eastAsia="Arial" w:hAnsi="Arial"/>
          <w:sz w:val="17"/>
          <w:szCs w:val="17"/>
          <w:color w:val="auto"/>
        </w:rPr>
      </w:pPr>
    </w:p>
    <w:p>
      <w:pPr>
        <w:ind w:left="500" w:right="60" w:hanging="492"/>
        <w:spacing w:after="0" w:line="24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or Securities Act, there are also being registered such additional shares of Aviragen common stock that may be issued because of events such as recapitalizations, stock dividends, stock splits and reverse stock splits, and similar transactions.</w:t>
      </w:r>
    </w:p>
    <w:p>
      <w:pPr>
        <w:spacing w:after="0" w:line="1" w:lineRule="exact"/>
        <w:rPr>
          <w:rFonts w:ascii="Arial" w:cs="Arial" w:eastAsia="Arial" w:hAnsi="Arial"/>
          <w:sz w:val="18"/>
          <w:szCs w:val="18"/>
          <w:color w:val="auto"/>
        </w:rPr>
      </w:pPr>
    </w:p>
    <w:p>
      <w:pPr>
        <w:ind w:left="500" w:hanging="492"/>
        <w:spacing w:after="0" w:line="24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calculation of the registration fee in accordance with Rule 457(f) of the Securities Act. Vaxart is a private company and no market exists for its equity securities. Vaxart has accumulated a capital deficit; therefore, pursuant to Rule 457(f)(2) under the Securities Act, the proposed maximum offering price is one-third of the aggregate par value of Vaxart’s capital stock being acquired in the proposed merger, which is calculated by taking one-third of the product of the par value of $0.00001 and the maximum number of shares of Vaxart capital stock that may be exchanged in the merger, or 62,509,974 shares of Vaxart capital stock (computed as of December 27, 2017, the latest practicable date prior to the date of filing this registration statement, and inclusive of all shares of Vaxart capital stock issuable upon conversion of any securities convertible into or exercisable for shares of Vaxart capital stock).</w:t>
      </w:r>
    </w:p>
    <w:p>
      <w:pPr>
        <w:spacing w:after="0" w:line="4" w:lineRule="exact"/>
        <w:rPr>
          <w:rFonts w:ascii="Arial" w:cs="Arial" w:eastAsia="Arial" w:hAnsi="Arial"/>
          <w:sz w:val="18"/>
          <w:szCs w:val="18"/>
          <w:color w:val="auto"/>
        </w:rPr>
      </w:pPr>
    </w:p>
    <w:p>
      <w:pPr>
        <w:ind w:left="500" w:right="580" w:hanging="492"/>
        <w:spacing w:after="0" w:line="24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Determined in accordance with Section 6(b) of the Securities Act at a rate equal to $124.50 per $1,000,000 of the proposed maximum aggregate offering price.</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39370</wp:posOffset>
            </wp:positionV>
            <wp:extent cx="1811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306"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7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001" w:gutter="0" w:footer="0" w:header="0"/>
        </w:sectPr>
      </w:pPr>
    </w:p>
    <w:bookmarkStart w:id="2" w:name="page3"/>
    <w:bookmarkEnd w:id="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360"/>
        <w:spacing w:after="0" w:line="342" w:lineRule="auto"/>
        <w:rPr>
          <w:sz w:val="20"/>
          <w:szCs w:val="20"/>
          <w:color w:val="auto"/>
        </w:rPr>
      </w:pPr>
      <w:r>
        <w:rPr>
          <w:rFonts w:ascii="Arial" w:cs="Arial" w:eastAsia="Arial" w:hAnsi="Arial"/>
          <w:sz w:val="15"/>
          <w:szCs w:val="15"/>
          <w:b w:val="1"/>
          <w:bCs w:val="1"/>
          <w:color w:val="E74C3C"/>
        </w:rPr>
        <w:t>The information in this proxy statement/prospectus/information statement is not complete and may be changed. These securities may not be sold until the registration statement filed with the Securities and Exchange Commission is effective. This proxy statement/prospectus/information statement is not an offer to sell and it is not soliciting an offer to buy these securities in any jurisdiction where the offer or sale is not permitted.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74C3C"/>
        </w:rPr>
        <w:t>SUBJECT TO COMPLETION, DATED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153670</wp:posOffset>
            </wp:positionV>
            <wp:extent cx="6067425" cy="1760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7425" cy="176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MERGER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187960</wp:posOffset>
            </wp:positionV>
            <wp:extent cx="1811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Aviragen Therapeutics, Inc. and Vaxart, Inc.:</w:t>
      </w:r>
    </w:p>
    <w:p>
      <w:pPr>
        <w:spacing w:after="0" w:line="2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Aviragen Therapeutics, Inc., a Delaware corporation, or Aviragen, and Agora Merger Sub, Inc., a Delaware corporation and a wholly-owned subsidiary of Aviragen, or Merger Sub, and Vaxart, Inc., a Delaware corporation, or Vaxart, have entered into an Agreement and Plan of Merger and Reorganization, or the Merger Agreement, pursuant to which Merger Sub will merge with and into Vaxart, with Vaxart surviving the merger as a wholly-owned subsidiary of the combined company. These transactions are referred to herein collectively as the “merger.” Following the merger, Aviragen will be renamed “Vaxart, Inc.” and is sometimes referred to herein as the “combined company.” The merger will result in a clinical-stage pharmaceutical company focused on developing Vaxart’s oral recombinant vaccines, based on its proprietary delivery platform that allows for administration by tablet rather than by injection, and on Aviragen’s direct-acting antivirals to treat infections that have limited therapeutic options.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the closing of the merger, (a) each outstanding share of capital stock of Vaxart, will be converted into the right to receive approximately 0.3198, or the Exchange Ratio, shares of Aviragen common stock, subject to adjustment for any reverse stock split, and (b) each outstanding Vaxart stock option, whether vested or unvested, and warrant that has not previously been exercised prior to the effective time of merger will be converted into a stock option or warrant, as the case may be, to purchase approximately 0.3198 shares of Aviragen common stock. This Exchange Ratio is an estimate only and the final Exchange Ratio will be determined pursuant to a formula described in more detail in the Merger Agreement and in this proxy statement/prospectus/information statement. Under the Exchange Ratio formula in the Merger Agreement, as of immediately after the merger, the former Vaxart securityholders are expected to own approximately 60% of the aggregate number of shares of the common stock of the combined company issued and outstanding immediately following the closing of the merger, or the Post-Closing Shares, and the securityholders of Aviragen as of immediately prior to the closing of the merger are expected to own approximately 40% of the aggregate number of Post-Closing Shares. These percentages assume that the Exchange Ratio is not adjusted for cash balances, as described in the section titled "The Merger Agreement" below. For a more complete description of the Exchange Ratio please see the section titled “The Merger Agreement—Exchange Ratio” in this proxy statement/prospectus/information statement.</w:t>
      </w:r>
    </w:p>
    <w:p>
      <w:pPr>
        <w:spacing w:after="0" w:line="17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Shares of Aviragen common stock are currently listed on the Nasdaq Capital Market under the symbol “AVIR.” Prior to the closing of the merger, Aviragen intends to file an initial listing application for the combined company with the Nasdaq Global Market pursuant to its “reverse merger” rules. After the closing</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of the merger, the combined company expects to trade on the Nasdaq Global Market under the symbol “VXRT.” On , 2018, the last trading day before the date of this proxy statement/prospectus/information statement, the closing sale price of Aviragen common stock was $ per share.</w:t>
      </w:r>
    </w:p>
    <w:p>
      <w:pPr>
        <w:spacing w:after="0" w:line="1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Aviragen is holding a special meeting of stockholders in order to obtain the stockholder approvals necessary to complete the merger and related matters. At the Aviragen special meeting, which will be held on February 6, 2018 at 9:00 a.m., local time, at 2500 Northwinds Parkway, Suite 100, Alpharetta, Georgia 30009, unless postponed or adjourned to a later date, Aviragen will ask its stockholders, among other things, to approve the issuance of shares of Aviragen common stock as consideration in the merger and to approve an amendment to Aviragen’s certificate of incorporation effecting a reverse stock split of Aviragen common stock at a ratio in the range of 10 and 20-for-1, with such specific ratio to be mutually agreed upon by Aviragen and Vaxart or, if the Stock Issuance Proposal is not approved by Aviragen stockholders, determined solely by the Aviragen board of directors following the special meeting, each as described in this proxy statement/prospectus/information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7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this proxy statement/prospectus/information statement, certain Vaxart stockholders who in the aggregate own approximately 78.5% of the outstanding shares of Vaxart common stock (on an as converted to common stock basis), and certain Aviragen stockholders who in the aggregate own less than 1% of the outstanding shares of Aviragen common stock, are parties to support agreements with Aviragen and Vaxart, pursuant to which such stockholders have agreed to vote such shares in favor of approving certain of the transactions contemplated by the Merger Agreement, including the merger and the issuance of shares of common stock pursuant to the Merger Agreement, respectively, subject to the terms of the support agreements. No meeting of Vaxart stockholders to adopt the Merger Agreement and approve the merger and related transactions will be held. Instead, all Vaxart stockholders will have the opportunity to vote to adopt the Merger Agreement and approve the merger and related transactions, by signing and returning to Vaxart a written consent following the registration statement on Form S-4, of which this proxy statement/prospectus/information statement is a part, being declared effective by the Securities and Exchange Commission. The holders of a sufficient number of shares of Vaxart capital stock required to adopt the Merger Agreement and approve the merger and related transactions have agreed to adopt the Merger Agreement and approve the merger and related transactions via written consent. Vaxart stockholders, including those who are parties to support agreements, are requested to execute written consents providing such approvals.</w:t>
      </w:r>
    </w:p>
    <w:p>
      <w:pPr>
        <w:spacing w:after="0" w:line="17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After careful consideration, the respective Aviragen and Vaxart boards of directors have unanimously approved the Merger Agreement and the transactions contemplated thereby, including the proposals referred to above. The Aviragen board of directors unanimously recommends that its stockholders vote “FOR” each of the Stock Issuance Proposal, the Reverse Stock Split Proposal, the Executive Merger Compensation Proposal and the Adjournment Proposal and “ONCE EVERY YEAR” with respect to Say-on-Pay Frequency Proposal, each as is described in this proxy statement/prospectus/information statement, and the Vaxart board of directors unanimously recommends that its stockholders sign and return to Vaxart the written consent indicating their approval of the merger and adoption of the Merger Agreement and related transactions.</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color w:val="auto"/>
        </w:rPr>
        <w:t>More information about Aviragen, Vaxart and the proposed transactions are contained in this proxy statement/prospectus/information statement. Aviragen and Vaxart urge you to read this proxy statement/prospectus/information statement carefully and in its entirety. IN PARTICULAR, YOU SHOULD CAREFULLY CONSIDER THE MATTERS DISCUSSED UNDER “RISK FACTORS” BEGINNING ON PAGE 24.</w:t>
      </w:r>
    </w:p>
    <w:p>
      <w:pPr>
        <w:spacing w:after="0" w:line="16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Aviragen and Vaxart are excited about the opportunities the merger brings to both Aviragen and Vaxart stockholders, and thank you for your consideration and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151130</wp:posOffset>
            </wp:positionV>
            <wp:extent cx="18116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20"/>
                <w:szCs w:val="20"/>
                <w:color w:val="auto"/>
              </w:rPr>
            </w:pPr>
            <w:r>
              <w:rPr>
                <w:rFonts w:ascii="Arial" w:cs="Arial" w:eastAsia="Arial" w:hAnsi="Arial"/>
                <w:sz w:val="18"/>
                <w:szCs w:val="18"/>
                <w:color w:val="auto"/>
              </w:rPr>
              <w:t>Joseph M. Patti, Ph.D.</w:t>
            </w:r>
          </w:p>
        </w:tc>
        <w:tc>
          <w:tcPr>
            <w:tcW w:w="5620" w:type="dxa"/>
            <w:vAlign w:val="bottom"/>
          </w:tcPr>
          <w:p>
            <w:pPr>
              <w:jc w:val="right"/>
              <w:spacing w:after="0"/>
              <w:rPr>
                <w:sz w:val="20"/>
                <w:szCs w:val="20"/>
                <w:color w:val="auto"/>
              </w:rPr>
            </w:pPr>
            <w:r>
              <w:rPr>
                <w:rFonts w:ascii="Arial" w:cs="Arial" w:eastAsia="Arial" w:hAnsi="Arial"/>
                <w:sz w:val="18"/>
                <w:szCs w:val="18"/>
                <w:color w:val="auto"/>
              </w:rPr>
              <w:t>Wouter W. Latour, M.D.</w:t>
            </w:r>
          </w:p>
        </w:tc>
      </w:tr>
      <w:tr>
        <w:trPr>
          <w:trHeight w:val="215"/>
        </w:trPr>
        <w:tc>
          <w:tcPr>
            <w:tcW w:w="5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620" w:type="dxa"/>
            <w:vAlign w:val="bottom"/>
          </w:tcPr>
          <w:p>
            <w:pPr>
              <w:jc w:val="right"/>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Aviragen Therapeutics, Inc.</w:t>
            </w:r>
          </w:p>
        </w:tc>
        <w:tc>
          <w:tcPr>
            <w:tcW w:w="5620" w:type="dxa"/>
            <w:vAlign w:val="bottom"/>
          </w:tcPr>
          <w:p>
            <w:pPr>
              <w:jc w:val="right"/>
              <w:spacing w:after="0"/>
              <w:rPr>
                <w:sz w:val="20"/>
                <w:szCs w:val="20"/>
                <w:color w:val="auto"/>
              </w:rPr>
            </w:pPr>
            <w:r>
              <w:rPr>
                <w:rFonts w:ascii="Arial" w:cs="Arial" w:eastAsia="Arial" w:hAnsi="Arial"/>
                <w:sz w:val="18"/>
                <w:szCs w:val="18"/>
                <w:color w:val="auto"/>
              </w:rPr>
              <w:t>Vaxart, Inc.</w:t>
            </w:r>
          </w:p>
        </w:tc>
      </w:tr>
    </w:tbl>
    <w:p>
      <w:pPr>
        <w:spacing w:after="0" w:line="200" w:lineRule="exact"/>
        <w:rPr>
          <w:sz w:val="20"/>
          <w:szCs w:val="20"/>
          <w:color w:val="auto"/>
        </w:rPr>
      </w:pPr>
    </w:p>
    <w:p>
      <w:pPr>
        <w:spacing w:after="0" w:line="212"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proxy statement/prospectus/information statement. Any representation to the contrary is a criminal offense.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7"/>
              </w:rPr>
              <w:t>This proxy statement/prospectus/information statement is dated</w:t>
            </w:r>
          </w:p>
        </w:tc>
        <w:tc>
          <w:tcPr>
            <w:tcW w:w="6480" w:type="dxa"/>
            <w:vAlign w:val="bottom"/>
          </w:tcPr>
          <w:p>
            <w:pPr>
              <w:ind w:left="380"/>
              <w:spacing w:after="0"/>
              <w:rPr>
                <w:sz w:val="20"/>
                <w:szCs w:val="20"/>
                <w:color w:val="auto"/>
              </w:rPr>
            </w:pPr>
            <w:r>
              <w:rPr>
                <w:rFonts w:ascii="Arial" w:cs="Arial" w:eastAsia="Arial" w:hAnsi="Arial"/>
                <w:sz w:val="18"/>
                <w:szCs w:val="18"/>
                <w:color w:val="auto"/>
                <w:w w:val="95"/>
              </w:rPr>
              <w:t>, 2018, and is first being mailed to Aviragen and Vaxart stockholders on or about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January 5, 2018.</w:t>
            </w:r>
          </w:p>
        </w:tc>
        <w:tc>
          <w:tcPr>
            <w:tcW w:w="6480" w:type="dxa"/>
            <w:vAlign w:val="bottom"/>
          </w:tcPr>
          <w:p>
            <w:pPr>
              <w:spacing w:after="0"/>
              <w:rPr>
                <w:sz w:val="19"/>
                <w:szCs w:val="19"/>
                <w:color w:val="auto"/>
              </w:rPr>
            </w:pPr>
          </w:p>
        </w:tc>
      </w:tr>
      <w:tr>
        <w:trPr>
          <w:trHeight w:val="572"/>
        </w:trPr>
        <w:tc>
          <w:tcPr>
            <w:tcW w:w="49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280670</wp:posOffset>
            </wp:positionV>
            <wp:extent cx="2863215" cy="718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3215" cy="71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2500 Northwinds Parkway, Suite 100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Alpharetta, Georgia 30009</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(678) 221-3343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February 6,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Aviragen:</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behalf of the board of directors of Aviragen Therapeutics, Inc., a Delaware corporation, or Aviragen, Aviragen is pleased to deliver this proxy statement/prospectus/information statement for the proposed merger between Aviragen and Vaxart, Inc., a Delaware corporation, or Vaxart, pursuant to which Agora Merger Sub, Inc., a wholly-owned subsidiary of Aviragen, will merge with and into Vaxart, with Vaxart surviving the merger as a wholly-owned subsidiary of the combined company. The special meeting of stockholders of Aviragen will be held on February 6, 2018 at 9:00 a.m., local time, at 2500 Northwinds Parkway, Suite 100, Alpharetta, Georgia 30009, for the following purposes:</w:t>
      </w:r>
    </w:p>
    <w:p>
      <w:pPr>
        <w:spacing w:after="0" w:line="188" w:lineRule="exact"/>
        <w:rPr>
          <w:sz w:val="20"/>
          <w:szCs w:val="20"/>
          <w:color w:val="auto"/>
        </w:rPr>
      </w:pPr>
    </w:p>
    <w:p>
      <w:pPr>
        <w:ind w:left="660" w:right="60" w:hanging="652"/>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To consider and vote upon a proposal to approve the issuance of shares of Aviragen common stock pursuant to the Agreement and Plan of Merger and Reorganization, dated as of October 27, 2017, by and among Aviragen, Agora Merger Sub, Inc. and Vaxart, a copy of which is attached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 </w:t>
      </w:r>
      <w:r>
        <w:rPr>
          <w:rFonts w:ascii="Arial" w:cs="Arial" w:eastAsia="Arial" w:hAnsi="Arial"/>
          <w:sz w:val="18"/>
          <w:szCs w:val="18"/>
          <w:color w:val="auto"/>
        </w:rPr>
        <w:t>to this proxy statement/prospectus/information statement, or the Stock Issuance Proposal;</w:t>
      </w:r>
    </w:p>
    <w:p>
      <w:pPr>
        <w:spacing w:after="0" w:line="183" w:lineRule="exact"/>
        <w:rPr>
          <w:rFonts w:ascii="Arial" w:cs="Arial" w:eastAsia="Arial" w:hAnsi="Arial"/>
          <w:sz w:val="18"/>
          <w:szCs w:val="18"/>
          <w:color w:val="auto"/>
        </w:rPr>
      </w:pPr>
    </w:p>
    <w:p>
      <w:pPr>
        <w:ind w:left="660" w:right="40" w:hanging="652"/>
        <w:spacing w:after="0" w:line="30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To consider and vote upon an amendment to the certificate of incorporation of Aviragen to effect a reverse stock split of Aviragen common stock, at a ratio in the range of 10 and 20-for-1, with such specific ratio to be mutually agreed upon by Aviragen and Vaxart or, if the Stock Issuance Proposal is not approved by Aviragen stockholders, determined solely by the Aviragen board of directors following the special meeting, the form of which is attached as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statement/prospectus/information statement, or the Reverse Stock Split Proposal;</w:t>
      </w:r>
    </w:p>
    <w:p>
      <w:pPr>
        <w:spacing w:after="0" w:line="156" w:lineRule="exact"/>
        <w:rPr>
          <w:rFonts w:ascii="Arial" w:cs="Arial" w:eastAsia="Arial" w:hAnsi="Arial"/>
          <w:sz w:val="16"/>
          <w:szCs w:val="16"/>
          <w:color w:val="auto"/>
        </w:rPr>
      </w:pPr>
    </w:p>
    <w:p>
      <w:pPr>
        <w:ind w:left="660" w:right="160" w:hanging="652"/>
        <w:spacing w:after="0" w:line="27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upon a proposal to approve, on non-binding advisory basis, the compensation that will or may become payable by Aviragen to its named executive officers in connection with the merger, or the Executive Merger Compensation Proposal;</w:t>
      </w:r>
    </w:p>
    <w:p>
      <w:pPr>
        <w:spacing w:after="0" w:line="169" w:lineRule="exact"/>
        <w:rPr>
          <w:rFonts w:ascii="Arial" w:cs="Arial" w:eastAsia="Arial" w:hAnsi="Arial"/>
          <w:sz w:val="18"/>
          <w:szCs w:val="18"/>
          <w:color w:val="auto"/>
        </w:rPr>
      </w:pPr>
    </w:p>
    <w:p>
      <w:pPr>
        <w:ind w:left="660" w:right="320" w:hanging="652"/>
        <w:spacing w:after="0" w:line="27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on a non-binding advisory basis, on the frequency of the advisory vote on the compensation of Aviragen’s named executive officers, or the Say-on-Pay Frequency Proposal;</w:t>
      </w:r>
    </w:p>
    <w:p>
      <w:pPr>
        <w:spacing w:after="0" w:line="169" w:lineRule="exact"/>
        <w:rPr>
          <w:rFonts w:ascii="Arial" w:cs="Arial" w:eastAsia="Arial" w:hAnsi="Arial"/>
          <w:sz w:val="18"/>
          <w:szCs w:val="18"/>
          <w:color w:val="auto"/>
        </w:rPr>
      </w:pPr>
    </w:p>
    <w:p>
      <w:pPr>
        <w:ind w:left="660" w:right="160" w:hanging="652"/>
        <w:spacing w:after="0" w:line="27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consider and vote upon an adjournment of the Aviragen special meeting, if necessary, to solicit additional proxies if there are not sufficient votes in favor of Stock Issuance Proposal and/or the Reverse Stock Split Proposal, or the Adjournment Proposal.</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Aviragen board of directors has fixed January 2, 2018 as the record date for the determination of stockholders entitled to notice of, and to vote at, the Aviragen special meeting and any adjournment or postponement thereof. Only holders of record of shares of Aviragen common stock at the close of business on the record date are entitled to notice of, and to vote at, the Aviragen special meeting. At the close of business on the record date, Aviragen had shares of common stock outstanding and entitled to vote.</w:t>
      </w:r>
    </w:p>
    <w:p>
      <w:pPr>
        <w:spacing w:after="0" w:line="1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Your vote is important. The affirmative vote of the holders of a majority of the shares of Aviragen common stock properly cast at the Aviragen special meeting, presuming a quorum is present, is required for approval of the Stock Issuance Proposal, the Executive Merger Compensation Proposal and the Adjournment Proposal. The affirmative vote of the holders of a majority of the Aviragen common stock outstanding on the record date for the Aviragen special meeting is required for the approval of the Reverse Stock Split Proposal. The option selected by the highest number of votes at the Special Meeting will be the option selected for the Say-on-Pay Frequency Proposal. No Aviragen Proposal is conditioned upon any other Aviragen Proposal.</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7"/>
          <w:szCs w:val="17"/>
          <w:b w:val="1"/>
          <w:bCs w:val="1"/>
          <w:color w:val="auto"/>
        </w:rPr>
        <w:t>Even if you plan to attend the Aviragen special meeting in person, Aviragen requests that you sign and return the enclosed proxy or vote by telephone or by Internet to ensure that your shares will be represented at the Aviragen special meeting if you are unable to attend.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Aviragen Board of Directors,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Joseph M. Patti,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2018</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THE AVIRAGEN BOARD OF DIRECTORS HAS DETERMINED AND BELIEVES THAT EACH OF THE PROPOSALS OUTLINED ABOVE IS ADVISABLE TO, AND IN THE BEST INTERESTS OF, AVIRAGEN AND ITS STOCKHOLDERS AND HAS APPROVED EACH SUCH PROPOSAL. THE AVIRAGEN BOARD OF DIRECTORS UNANIMOUSLY RECOMMENDS THAT AVIRAGEN STOCKHOLDERS VOTE “FOR” EACH OF THE STOCK ISSUANCE PROPOSAL, THE REVERSE STOCK SPLIT PROPOSAL, THE EXECUTIVE MERGER COMPENSATION PROPOSAL AND THE ADJOURNMENT PROPOSAL AND “ONCE EVERY YEAR” FOR THE SAY-ON-PAY FREQUENCY PROPOSAL.</w:t>
      </w:r>
    </w:p>
    <w:p>
      <w:pPr>
        <w:sectPr>
          <w:pgSz w:w="11900" w:h="16838" w:orient="portrait"/>
          <w:cols w:equalWidth="0" w:num="1">
            <w:col w:w="11420"/>
          </w:cols>
          <w:pgMar w:left="240" w:top="118" w:right="239" w:bottom="109" w:gutter="0" w:footer="0" w:header="0"/>
        </w:sectPr>
      </w:pPr>
    </w:p>
    <w:bookmarkStart w:id="5" w:name="page6"/>
    <w:bookmarkEnd w:id="5"/>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7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This proxy statement/prospectus/information statement incorporates important business and financial information about Aviragen that is not included in or delivered with this document. You may obtain this information without charge through the SEC website (www.sec.gov) or upon your written or oral request by contacting the President and Chief Executive Officer of Aviragen Therapeutics, Inc., 2500 Northwinds Parkway, Suite 100, Alpharetta, Georgia 30009 or by calling (678) 221-3343.</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 ensure timely delivery of these documents, any request should be made no later than January 26, 2018 to receive them before the special meeting.</w:t>
      </w:r>
    </w:p>
    <w:p>
      <w:pPr>
        <w:spacing w:after="0" w:line="26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For additional details about where you can find information about Aviragen, please see the section titled "Where You Can Find More Information" in this proxy statement/prospectus/information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4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390"/>
        </w:trPr>
        <w:tc>
          <w:tcPr>
            <w:tcW w:w="10600" w:type="dxa"/>
            <w:vAlign w:val="bottom"/>
            <w:gridSpan w:val="4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MERGER</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1"/>
        </w:trPr>
        <w:tc>
          <w:tcPr>
            <w:tcW w:w="4180" w:type="dxa"/>
            <w:vAlign w:val="bottom"/>
            <w:tcBorders>
              <w:top w:val="single" w:sz="8" w:color="0000EE"/>
            </w:tcBorders>
            <w:gridSpan w:val="3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PROSPECTUS SUMMARY</w:t>
              </w:r>
            </w:hyperlink>
          </w:p>
        </w:tc>
        <w:tc>
          <w:tcPr>
            <w:tcW w:w="642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1"/>
        </w:trPr>
        <w:tc>
          <w:tcPr>
            <w:tcW w:w="6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The Parties</w:t>
              </w:r>
            </w:hyperlink>
          </w:p>
        </w:tc>
        <w:tc>
          <w:tcPr>
            <w:tcW w:w="8520" w:type="dxa"/>
            <w:vAlign w:val="bottom"/>
            <w:gridSpan w:val="3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19">
              <w:r>
                <w:rPr>
                  <w:rFonts w:ascii="Arial" w:cs="Arial" w:eastAsia="Arial" w:hAnsi="Arial"/>
                  <w:sz w:val="18"/>
                  <w:szCs w:val="18"/>
                  <w:color w:val="0000EE"/>
                </w:rPr>
                <w:t>The Merger</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680" w:type="dxa"/>
            <w:vAlign w:val="bottom"/>
            <w:tcBorders>
              <w:bottom w:val="single" w:sz="8" w:color="0000EE"/>
            </w:tcBorders>
            <w:gridSpan w:val="11"/>
          </w:tcPr>
          <w:p>
            <w:pPr>
              <w:spacing w:after="0" w:line="195"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Reasons for the Merger</w:t>
              </w:r>
            </w:hyperlink>
          </w:p>
        </w:tc>
        <w:tc>
          <w:tcPr>
            <w:tcW w:w="8260" w:type="dxa"/>
            <w:vAlign w:val="bottom"/>
            <w:gridSpan w:val="31"/>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r>
      <w:tr>
        <w:trPr>
          <w:trHeight w:val="195"/>
        </w:trPr>
        <w:tc>
          <w:tcPr>
            <w:tcW w:w="660" w:type="dxa"/>
            <w:vAlign w:val="bottom"/>
          </w:tcPr>
          <w:p>
            <w:pPr>
              <w:spacing w:after="0"/>
              <w:rPr>
                <w:sz w:val="16"/>
                <w:szCs w:val="16"/>
                <w:color w:val="auto"/>
              </w:rPr>
            </w:pPr>
          </w:p>
        </w:tc>
        <w:tc>
          <w:tcPr>
            <w:tcW w:w="4920" w:type="dxa"/>
            <w:vAlign w:val="bottom"/>
            <w:tcBorders>
              <w:bottom w:val="single" w:sz="8" w:color="0000EE"/>
            </w:tcBorders>
            <w:gridSpan w:val="35"/>
          </w:tcPr>
          <w:p>
            <w:pPr>
              <w:spacing w:after="0" w:line="195"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Opinion of the Financial Advisor to the Aviragen Board of Directors</w:t>
              </w:r>
            </w:hyperlink>
          </w:p>
        </w:tc>
        <w:tc>
          <w:tcPr>
            <w:tcW w:w="5020" w:type="dxa"/>
            <w:vAlign w:val="bottom"/>
            <w:gridSpan w:val="7"/>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660" w:type="dxa"/>
            <w:vAlign w:val="bottom"/>
          </w:tcPr>
          <w:p>
            <w:pPr>
              <w:spacing w:after="0"/>
              <w:rPr>
                <w:sz w:val="16"/>
                <w:szCs w:val="16"/>
                <w:color w:val="auto"/>
              </w:rPr>
            </w:pPr>
          </w:p>
        </w:tc>
        <w:tc>
          <w:tcPr>
            <w:tcW w:w="6240" w:type="dxa"/>
            <w:vAlign w:val="bottom"/>
            <w:tcBorders>
              <w:bottom w:val="single" w:sz="8" w:color="0000EE"/>
            </w:tcBorders>
            <w:gridSpan w:val="40"/>
          </w:tcPr>
          <w:p>
            <w:pPr>
              <w:spacing w:after="0" w:line="195"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Overview of the Merger Agreement and Agreements Related to the Merger Agreement</w:t>
              </w:r>
            </w:hyperlink>
          </w:p>
        </w:tc>
        <w:tc>
          <w:tcPr>
            <w:tcW w:w="3700" w:type="dxa"/>
            <w:vAlign w:val="bottom"/>
            <w:gridSpan w:val="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5">
              <w:r>
                <w:rPr>
                  <w:rFonts w:ascii="Arial" w:cs="Arial" w:eastAsia="Arial" w:hAnsi="Arial"/>
                  <w:sz w:val="18"/>
                  <w:szCs w:val="18"/>
                  <w:color w:val="0000EE"/>
                </w:rPr>
                <w:t>Management Following the Merger</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195"/>
        </w:trPr>
        <w:tc>
          <w:tcPr>
            <w:tcW w:w="660" w:type="dxa"/>
            <w:vAlign w:val="bottom"/>
          </w:tcPr>
          <w:p>
            <w:pPr>
              <w:spacing w:after="0"/>
              <w:rPr>
                <w:sz w:val="16"/>
                <w:szCs w:val="16"/>
                <w:color w:val="auto"/>
              </w:rPr>
            </w:pPr>
          </w:p>
        </w:tc>
        <w:tc>
          <w:tcPr>
            <w:tcW w:w="254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w:anchor="page25">
              <w:r>
                <w:rPr>
                  <w:rFonts w:ascii="Arial" w:cs="Arial" w:eastAsia="Arial" w:hAnsi="Arial"/>
                  <w:sz w:val="18"/>
                  <w:szCs w:val="18"/>
                  <w:color w:val="0000EE"/>
                </w:rPr>
                <w:t>The Aviragen Special Meeting</w:t>
              </w:r>
            </w:hyperlink>
          </w:p>
        </w:tc>
        <w:tc>
          <w:tcPr>
            <w:tcW w:w="7400" w:type="dxa"/>
            <w:vAlign w:val="bottom"/>
            <w:gridSpan w:val="23"/>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82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Vaxart Solicitation of Written Consents</w:t>
              </w:r>
            </w:hyperlink>
          </w:p>
        </w:tc>
        <w:tc>
          <w:tcPr>
            <w:tcW w:w="7120" w:type="dxa"/>
            <w:vAlign w:val="bottom"/>
            <w:gridSpan w:val="19"/>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15</w:t>
            </w:r>
          </w:p>
        </w:tc>
      </w:tr>
      <w:tr>
        <w:trPr>
          <w:trHeight w:val="195"/>
        </w:trPr>
        <w:tc>
          <w:tcPr>
            <w:tcW w:w="660" w:type="dxa"/>
            <w:vAlign w:val="bottom"/>
          </w:tcPr>
          <w:p>
            <w:pPr>
              <w:spacing w:after="0"/>
              <w:rPr>
                <w:sz w:val="16"/>
                <w:szCs w:val="16"/>
                <w:color w:val="auto"/>
              </w:rPr>
            </w:pPr>
          </w:p>
        </w:tc>
        <w:tc>
          <w:tcPr>
            <w:tcW w:w="4920" w:type="dxa"/>
            <w:vAlign w:val="bottom"/>
            <w:tcBorders>
              <w:bottom w:val="single" w:sz="8" w:color="0000EE"/>
            </w:tcBorders>
            <w:gridSpan w:val="35"/>
          </w:tcPr>
          <w:p>
            <w:pPr>
              <w:spacing w:after="0" w:line="195"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Interests of Directors and Executive Officers of Aviragen and Vaxart</w:t>
              </w:r>
            </w:hyperlink>
          </w:p>
        </w:tc>
        <w:tc>
          <w:tcPr>
            <w:tcW w:w="5020" w:type="dxa"/>
            <w:vAlign w:val="bottom"/>
            <w:gridSpan w:val="7"/>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8">
              <w:r>
                <w:rPr>
                  <w:rFonts w:ascii="Arial" w:cs="Arial" w:eastAsia="Arial" w:hAnsi="Arial"/>
                  <w:sz w:val="18"/>
                  <w:szCs w:val="18"/>
                  <w:color w:val="0000EE"/>
                </w:rPr>
                <w:t>Considerations with Respect to U.S. Federal Income Tax Consequences of the Merger</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195"/>
        </w:trPr>
        <w:tc>
          <w:tcPr>
            <w:tcW w:w="6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5260" w:type="dxa"/>
            <w:vAlign w:val="bottom"/>
            <w:tcBorders>
              <w:top w:val="single" w:sz="8" w:color="0000EE"/>
            </w:tcBorders>
            <w:gridSpan w:val="34"/>
          </w:tcPr>
          <w:p>
            <w:pPr>
              <w:spacing w:after="0"/>
              <w:rPr>
                <w:sz w:val="16"/>
                <w:szCs w:val="16"/>
                <w:color w:val="auto"/>
              </w:rPr>
            </w:pPr>
          </w:p>
        </w:tc>
        <w:tc>
          <w:tcPr>
            <w:tcW w:w="3780" w:type="dxa"/>
            <w:vAlign w:val="bottom"/>
            <w:gridSpan w:val="3"/>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Regulatory Approvals</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Nasdaq Stock Market Listing</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Anticipated Accounting Treatment</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880" w:type="dxa"/>
            <w:vAlign w:val="bottom"/>
            <w:tcBorders>
              <w:bottom w:val="single" w:sz="8" w:color="0000EE"/>
            </w:tcBorders>
            <w:gridSpan w:val="24"/>
          </w:tcPr>
          <w:p>
            <w:pPr>
              <w:spacing w:after="0" w:line="195"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Appraisal Rights and Dissenters’ Rights</w:t>
              </w:r>
            </w:hyperlink>
          </w:p>
        </w:tc>
        <w:tc>
          <w:tcPr>
            <w:tcW w:w="7060" w:type="dxa"/>
            <w:vAlign w:val="bottom"/>
            <w:gridSpan w:val="18"/>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Potential Vaxart Financing</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Comparison of Stockholder Rights</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1"/>
        </w:trPr>
        <w:tc>
          <w:tcPr>
            <w:tcW w:w="10000" w:type="dxa"/>
            <w:vAlign w:val="bottom"/>
            <w:tcBorders>
              <w:bottom w:val="single" w:sz="8" w:color="0000EE"/>
            </w:tcBorders>
            <w:gridSpan w:val="42"/>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SELECTED HISTORICAL AND UNAUDITED PRO FORMA CONDENSED COMBINED FINANCIAL INFORMATION AND DATA</w:t>
              </w:r>
            </w:hyperlink>
          </w:p>
        </w:tc>
        <w:tc>
          <w:tcPr>
            <w:tcW w:w="6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1"/>
        </w:trPr>
        <w:tc>
          <w:tcPr>
            <w:tcW w:w="3960" w:type="dxa"/>
            <w:vAlign w:val="bottom"/>
            <w:tcBorders>
              <w:bottom w:val="single" w:sz="8" w:color="0000EE"/>
            </w:tcBorders>
            <w:gridSpan w:val="29"/>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MARKET PRICE AND DIVIDEND INFORMATION</w:t>
              </w:r>
            </w:hyperlink>
          </w:p>
        </w:tc>
        <w:tc>
          <w:tcPr>
            <w:tcW w:w="664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1"/>
        </w:trPr>
        <w:tc>
          <w:tcPr>
            <w:tcW w:w="660" w:type="dxa"/>
            <w:vAlign w:val="bottom"/>
          </w:tcPr>
          <w:p>
            <w:pPr>
              <w:spacing w:after="0"/>
              <w:rPr>
                <w:sz w:val="24"/>
                <w:szCs w:val="24"/>
                <w:color w:val="auto"/>
              </w:rPr>
            </w:pPr>
          </w:p>
        </w:tc>
        <w:tc>
          <w:tcPr>
            <w:tcW w:w="1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Aviragen Common Stock</w:t>
              </w:r>
            </w:hyperlink>
          </w:p>
        </w:tc>
        <w:tc>
          <w:tcPr>
            <w:tcW w:w="8120" w:type="dxa"/>
            <w:vAlign w:val="bottom"/>
            <w:gridSpan w:val="3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Dividend Policy</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1"/>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RISK FACTORS</w:t>
              </w:r>
            </w:hyperlink>
          </w:p>
        </w:tc>
        <w:tc>
          <w:tcPr>
            <w:tcW w:w="9340" w:type="dxa"/>
            <w:vAlign w:val="bottom"/>
            <w:gridSpan w:val="4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1"/>
        </w:trPr>
        <w:tc>
          <w:tcPr>
            <w:tcW w:w="660" w:type="dxa"/>
            <w:vAlign w:val="bottom"/>
          </w:tcPr>
          <w:p>
            <w:pPr>
              <w:spacing w:after="0"/>
              <w:rPr>
                <w:sz w:val="24"/>
                <w:szCs w:val="24"/>
                <w:color w:val="auto"/>
              </w:rPr>
            </w:pPr>
          </w:p>
        </w:tc>
        <w:tc>
          <w:tcPr>
            <w:tcW w:w="9940" w:type="dxa"/>
            <w:vAlign w:val="bottom"/>
            <w:gridSpan w:val="4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Risks Related to the Merger</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5"/>
        </w:trPr>
        <w:tc>
          <w:tcPr>
            <w:tcW w:w="660" w:type="dxa"/>
            <w:vAlign w:val="bottom"/>
          </w:tcPr>
          <w:p>
            <w:pPr>
              <w:spacing w:after="0"/>
              <w:rPr>
                <w:sz w:val="16"/>
                <w:szCs w:val="16"/>
                <w:color w:val="auto"/>
              </w:rPr>
            </w:pPr>
          </w:p>
        </w:tc>
        <w:tc>
          <w:tcPr>
            <w:tcW w:w="2000" w:type="dxa"/>
            <w:vAlign w:val="bottom"/>
            <w:tcBorders>
              <w:top w:val="single" w:sz="8" w:color="0000EE"/>
            </w:tcBorders>
            <w:gridSpan w:val="14"/>
          </w:tcPr>
          <w:p>
            <w:pPr>
              <w:spacing w:after="0" w:line="195"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Risks Related to Aviragen</w:t>
              </w:r>
            </w:hyperlink>
          </w:p>
        </w:tc>
        <w:tc>
          <w:tcPr>
            <w:tcW w:w="7940" w:type="dxa"/>
            <w:vAlign w:val="bottom"/>
            <w:gridSpan w:val="28"/>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720" w:type="dxa"/>
            <w:vAlign w:val="bottom"/>
            <w:tcBorders>
              <w:bottom w:val="single" w:sz="8" w:color="0000EE"/>
            </w:tcBorders>
            <w:gridSpan w:val="22"/>
          </w:tcPr>
          <w:p>
            <w:pPr>
              <w:spacing w:after="0" w:line="195"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Aviragen Risks Related to the Merger</w:t>
              </w:r>
            </w:hyperlink>
          </w:p>
        </w:tc>
        <w:tc>
          <w:tcPr>
            <w:tcW w:w="7220" w:type="dxa"/>
            <w:vAlign w:val="bottom"/>
            <w:gridSpan w:val="20"/>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195"/>
        </w:trPr>
        <w:tc>
          <w:tcPr>
            <w:tcW w:w="660" w:type="dxa"/>
            <w:vAlign w:val="bottom"/>
          </w:tcPr>
          <w:p>
            <w:pPr>
              <w:spacing w:after="0"/>
              <w:rPr>
                <w:sz w:val="16"/>
                <w:szCs w:val="16"/>
                <w:color w:val="auto"/>
              </w:rPr>
            </w:pPr>
          </w:p>
        </w:tc>
        <w:tc>
          <w:tcPr>
            <w:tcW w:w="2680" w:type="dxa"/>
            <w:vAlign w:val="bottom"/>
            <w:tcBorders>
              <w:bottom w:val="single" w:sz="8" w:color="0000EE"/>
            </w:tcBorders>
            <w:gridSpan w:val="20"/>
          </w:tcPr>
          <w:p>
            <w:pPr>
              <w:spacing w:after="0" w:line="195"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Risks Related to Aviragen’s Business</w:t>
              </w:r>
            </w:hyperlink>
          </w:p>
        </w:tc>
        <w:tc>
          <w:tcPr>
            <w:tcW w:w="7260" w:type="dxa"/>
            <w:vAlign w:val="bottom"/>
            <w:gridSpan w:val="2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r>
      <w:tr>
        <w:trPr>
          <w:trHeight w:val="195"/>
        </w:trPr>
        <w:tc>
          <w:tcPr>
            <w:tcW w:w="660" w:type="dxa"/>
            <w:vAlign w:val="bottom"/>
          </w:tcPr>
          <w:p>
            <w:pPr>
              <w:spacing w:after="0"/>
              <w:rPr>
                <w:sz w:val="16"/>
                <w:szCs w:val="16"/>
                <w:color w:val="auto"/>
              </w:rPr>
            </w:pPr>
          </w:p>
        </w:tc>
        <w:tc>
          <w:tcPr>
            <w:tcW w:w="2700" w:type="dxa"/>
            <w:vAlign w:val="bottom"/>
            <w:tcBorders>
              <w:bottom w:val="single" w:sz="8" w:color="0000EE"/>
            </w:tcBorders>
            <w:gridSpan w:val="21"/>
          </w:tcPr>
          <w:p>
            <w:pPr>
              <w:spacing w:after="0" w:line="195"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Risks Related to Commercial Matters</w:t>
              </w:r>
            </w:hyperlink>
          </w:p>
        </w:tc>
        <w:tc>
          <w:tcPr>
            <w:tcW w:w="7240" w:type="dxa"/>
            <w:vAlign w:val="bottom"/>
            <w:gridSpan w:val="21"/>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Risks Related to Aviragen’s Intellectual Property</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195"/>
        </w:trPr>
        <w:tc>
          <w:tcPr>
            <w:tcW w:w="660" w:type="dxa"/>
            <w:vAlign w:val="bottom"/>
          </w:tcPr>
          <w:p>
            <w:pPr>
              <w:spacing w:after="0"/>
              <w:rPr>
                <w:sz w:val="16"/>
                <w:szCs w:val="16"/>
                <w:color w:val="auto"/>
              </w:rPr>
            </w:pPr>
          </w:p>
        </w:tc>
        <w:tc>
          <w:tcPr>
            <w:tcW w:w="3040" w:type="dxa"/>
            <w:vAlign w:val="bottom"/>
            <w:tcBorders>
              <w:top w:val="single" w:sz="8" w:color="0000EE"/>
              <w:bottom w:val="single" w:sz="8" w:color="0000EE"/>
            </w:tcBorders>
            <w:gridSpan w:val="27"/>
          </w:tcPr>
          <w:p>
            <w:pPr>
              <w:spacing w:after="0" w:line="195"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Risks Related to Aviragen Common Stock</w:t>
              </w:r>
            </w:hyperlink>
          </w:p>
        </w:tc>
        <w:tc>
          <w:tcPr>
            <w:tcW w:w="460" w:type="dxa"/>
            <w:vAlign w:val="bottom"/>
            <w:tcBorders>
              <w:top w:val="single" w:sz="8" w:color="0000EE"/>
            </w:tcBorders>
            <w:gridSpan w:val="3"/>
          </w:tcPr>
          <w:p>
            <w:pPr>
              <w:spacing w:after="0"/>
              <w:rPr>
                <w:sz w:val="16"/>
                <w:szCs w:val="16"/>
                <w:color w:val="auto"/>
              </w:rPr>
            </w:pPr>
          </w:p>
        </w:tc>
        <w:tc>
          <w:tcPr>
            <w:tcW w:w="6440" w:type="dxa"/>
            <w:vAlign w:val="bottom"/>
            <w:gridSpan w:val="1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r>
      <w:tr>
        <w:trPr>
          <w:trHeight w:val="195"/>
        </w:trPr>
        <w:tc>
          <w:tcPr>
            <w:tcW w:w="660" w:type="dxa"/>
            <w:vAlign w:val="bottom"/>
          </w:tcPr>
          <w:p>
            <w:pPr>
              <w:spacing w:after="0"/>
              <w:rPr>
                <w:sz w:val="16"/>
                <w:szCs w:val="16"/>
                <w:color w:val="auto"/>
              </w:rPr>
            </w:pPr>
          </w:p>
        </w:tc>
        <w:tc>
          <w:tcPr>
            <w:tcW w:w="3940" w:type="dxa"/>
            <w:vAlign w:val="bottom"/>
            <w:tcBorders>
              <w:bottom w:val="single" w:sz="8" w:color="0000EE"/>
            </w:tcBorders>
            <w:gridSpan w:val="33"/>
          </w:tcPr>
          <w:p>
            <w:pPr>
              <w:spacing w:after="0" w:line="19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Risks Related to Other Aspects of Aviragen’s Business</w:t>
              </w:r>
            </w:hyperlink>
          </w:p>
        </w:tc>
        <w:tc>
          <w:tcPr>
            <w:tcW w:w="6000" w:type="dxa"/>
            <w:vAlign w:val="bottom"/>
            <w:gridSpan w:val="9"/>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56">
              <w:r>
                <w:rPr>
                  <w:rFonts w:ascii="Arial" w:cs="Arial" w:eastAsia="Arial" w:hAnsi="Arial"/>
                  <w:sz w:val="18"/>
                  <w:szCs w:val="18"/>
                  <w:color w:val="0000EE"/>
                </w:rPr>
                <w:t>Risks Related to Vaxart</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5820" w:type="dxa"/>
            <w:vAlign w:val="bottom"/>
            <w:tcBorders>
              <w:bottom w:val="single" w:sz="8" w:color="0000EE"/>
            </w:tcBorders>
            <w:gridSpan w:val="37"/>
          </w:tcPr>
          <w:p>
            <w:pPr>
              <w:spacing w:after="0" w:line="19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Risks Related to Vaxart's Business, Financial Position, and Capital Requirements</w:t>
              </w:r>
            </w:hyperlink>
          </w:p>
        </w:tc>
        <w:tc>
          <w:tcPr>
            <w:tcW w:w="4120" w:type="dxa"/>
            <w:vAlign w:val="bottom"/>
            <w:gridSpan w:val="5"/>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45</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63">
              <w:r>
                <w:rPr>
                  <w:rFonts w:ascii="Arial" w:cs="Arial" w:eastAsia="Arial" w:hAnsi="Arial"/>
                  <w:sz w:val="18"/>
                  <w:szCs w:val="18"/>
                  <w:color w:val="0000EE"/>
                </w:rPr>
                <w:t>Risks Related to Clinical Development, Regulatory Approval and Commercialization</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195"/>
        </w:trPr>
        <w:tc>
          <w:tcPr>
            <w:tcW w:w="660" w:type="dxa"/>
            <w:vAlign w:val="bottom"/>
          </w:tcPr>
          <w:p>
            <w:pPr>
              <w:spacing w:after="0"/>
              <w:rPr>
                <w:sz w:val="16"/>
                <w:szCs w:val="16"/>
                <w:color w:val="auto"/>
              </w:rPr>
            </w:pPr>
          </w:p>
        </w:tc>
        <w:tc>
          <w:tcPr>
            <w:tcW w:w="3940" w:type="dxa"/>
            <w:vAlign w:val="bottom"/>
            <w:tcBorders>
              <w:top w:val="single" w:sz="8" w:color="0000EE"/>
              <w:bottom w:val="single" w:sz="8" w:color="0000EE"/>
            </w:tcBorders>
            <w:gridSpan w:val="33"/>
          </w:tcPr>
          <w:p>
            <w:pPr>
              <w:spacing w:after="0" w:line="195"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Risks Related to Vaxart’s Dependence on Third Parties</w:t>
              </w:r>
            </w:hyperlink>
          </w:p>
        </w:tc>
        <w:tc>
          <w:tcPr>
            <w:tcW w:w="2180" w:type="dxa"/>
            <w:vAlign w:val="bottom"/>
            <w:tcBorders>
              <w:top w:val="single" w:sz="8" w:color="0000EE"/>
            </w:tcBorders>
            <w:gridSpan w:val="5"/>
          </w:tcPr>
          <w:p>
            <w:pPr>
              <w:spacing w:after="0"/>
              <w:rPr>
                <w:sz w:val="16"/>
                <w:szCs w:val="16"/>
                <w:color w:val="auto"/>
              </w:rPr>
            </w:pPr>
          </w:p>
        </w:tc>
        <w:tc>
          <w:tcPr>
            <w:tcW w:w="3820" w:type="dxa"/>
            <w:vAlign w:val="bottom"/>
            <w:gridSpan w:val="4"/>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r>
      <w:tr>
        <w:trPr>
          <w:trHeight w:val="195"/>
        </w:trPr>
        <w:tc>
          <w:tcPr>
            <w:tcW w:w="660" w:type="dxa"/>
            <w:vAlign w:val="bottom"/>
          </w:tcPr>
          <w:p>
            <w:pPr>
              <w:spacing w:after="0"/>
              <w:rPr>
                <w:sz w:val="16"/>
                <w:szCs w:val="16"/>
                <w:color w:val="auto"/>
              </w:rPr>
            </w:pPr>
          </w:p>
        </w:tc>
        <w:tc>
          <w:tcPr>
            <w:tcW w:w="3320" w:type="dxa"/>
            <w:vAlign w:val="bottom"/>
            <w:tcBorders>
              <w:bottom w:val="single" w:sz="8" w:color="0000EE"/>
            </w:tcBorders>
            <w:gridSpan w:val="29"/>
          </w:tcPr>
          <w:p>
            <w:pPr>
              <w:spacing w:after="0" w:line="195"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Risks Related to Vaxart’s Intellectual Property</w:t>
              </w:r>
            </w:hyperlink>
          </w:p>
        </w:tc>
        <w:tc>
          <w:tcPr>
            <w:tcW w:w="6620" w:type="dxa"/>
            <w:vAlign w:val="bottom"/>
            <w:gridSpan w:val="13"/>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64</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77">
              <w:r>
                <w:rPr>
                  <w:rFonts w:ascii="Arial" w:cs="Arial" w:eastAsia="Arial" w:hAnsi="Arial"/>
                  <w:sz w:val="18"/>
                  <w:szCs w:val="18"/>
                  <w:color w:val="0000EE"/>
                </w:rPr>
                <w:t>Risks Related to the Combined Company</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66</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1"/>
        </w:trPr>
        <w:tc>
          <w:tcPr>
            <w:tcW w:w="10600" w:type="dxa"/>
            <w:vAlign w:val="bottom"/>
            <w:gridSpan w:val="4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CAUTIONARY STATEMENT CONCERNING FORWARD-LOOKING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1"/>
        </w:trPr>
        <w:tc>
          <w:tcPr>
            <w:tcW w:w="6440" w:type="dxa"/>
            <w:vAlign w:val="bottom"/>
            <w:tcBorders>
              <w:top w:val="single" w:sz="8" w:color="0000EE"/>
            </w:tcBorders>
            <w:gridSpan w:val="3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THE SPECIAL MEETING OF AVIRAGEN STOCKHOLDERS</w:t>
              </w:r>
            </w:hyperlink>
          </w:p>
        </w:tc>
        <w:tc>
          <w:tcPr>
            <w:tcW w:w="416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1"/>
        </w:trPr>
        <w:tc>
          <w:tcPr>
            <w:tcW w:w="66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Date, Time and Place</w:t>
              </w:r>
            </w:hyperlink>
          </w:p>
        </w:tc>
        <w:tc>
          <w:tcPr>
            <w:tcW w:w="2420" w:type="dxa"/>
            <w:vAlign w:val="bottom"/>
            <w:tcBorders>
              <w:top w:val="single" w:sz="8" w:color="0000EE"/>
            </w:tcBorders>
            <w:gridSpan w:val="25"/>
          </w:tcPr>
          <w:p>
            <w:pPr>
              <w:spacing w:after="0"/>
              <w:rPr>
                <w:sz w:val="24"/>
                <w:szCs w:val="24"/>
                <w:color w:val="auto"/>
              </w:rPr>
            </w:pPr>
          </w:p>
        </w:tc>
        <w:tc>
          <w:tcPr>
            <w:tcW w:w="594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95"/>
        </w:trPr>
        <w:tc>
          <w:tcPr>
            <w:tcW w:w="660" w:type="dxa"/>
            <w:vAlign w:val="bottom"/>
          </w:tcPr>
          <w:p>
            <w:pPr>
              <w:spacing w:after="0"/>
              <w:rPr>
                <w:sz w:val="16"/>
                <w:szCs w:val="16"/>
                <w:color w:val="auto"/>
              </w:rPr>
            </w:pPr>
          </w:p>
        </w:tc>
        <w:tc>
          <w:tcPr>
            <w:tcW w:w="3020" w:type="dxa"/>
            <w:vAlign w:val="bottom"/>
            <w:tcBorders>
              <w:bottom w:val="single" w:sz="8" w:color="0000EE"/>
            </w:tcBorders>
            <w:gridSpan w:val="26"/>
          </w:tcPr>
          <w:p>
            <w:pPr>
              <w:spacing w:after="0" w:line="195"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Purposes of the Aviragen Special Meeting</w:t>
              </w:r>
            </w:hyperlink>
          </w:p>
        </w:tc>
        <w:tc>
          <w:tcPr>
            <w:tcW w:w="6920" w:type="dxa"/>
            <w:vAlign w:val="bottom"/>
            <w:gridSpan w:val="16"/>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81">
              <w:r>
                <w:rPr>
                  <w:rFonts w:ascii="Arial" w:cs="Arial" w:eastAsia="Arial" w:hAnsi="Arial"/>
                  <w:sz w:val="18"/>
                  <w:szCs w:val="18"/>
                  <w:color w:val="0000EE"/>
                </w:rPr>
                <w:t>Recommendation of the Aviragen Board of Directors</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r>
      <w:tr>
        <w:trPr>
          <w:trHeight w:val="195"/>
        </w:trPr>
        <w:tc>
          <w:tcPr>
            <w:tcW w:w="660" w:type="dxa"/>
            <w:vAlign w:val="bottom"/>
          </w:tcPr>
          <w:p>
            <w:pPr>
              <w:spacing w:after="0"/>
              <w:rPr>
                <w:sz w:val="16"/>
                <w:szCs w:val="16"/>
                <w:color w:val="auto"/>
              </w:rPr>
            </w:pPr>
          </w:p>
        </w:tc>
        <w:tc>
          <w:tcPr>
            <w:tcW w:w="3800" w:type="dxa"/>
            <w:vAlign w:val="bottom"/>
            <w:tcBorders>
              <w:top w:val="single" w:sz="8" w:color="0000EE"/>
            </w:tcBorders>
            <w:gridSpan w:val="32"/>
          </w:tcPr>
          <w:p>
            <w:pPr>
              <w:spacing w:after="0" w:line="195" w:lineRule="exact"/>
              <w:rPr>
                <w:rFonts w:ascii="Arial" w:cs="Arial" w:eastAsia="Arial" w:hAnsi="Arial"/>
                <w:sz w:val="18"/>
                <w:szCs w:val="18"/>
                <w:color w:val="0000EE"/>
              </w:rPr>
            </w:pPr>
            <w:hyperlink w:anchor="page82">
              <w:r>
                <w:rPr>
                  <w:rFonts w:ascii="Arial" w:cs="Arial" w:eastAsia="Arial" w:hAnsi="Arial"/>
                  <w:sz w:val="18"/>
                  <w:szCs w:val="18"/>
                  <w:color w:val="0000EE"/>
                </w:rPr>
                <w:t>Record Date and Voting Power</w:t>
              </w:r>
            </w:hyperlink>
          </w:p>
        </w:tc>
        <w:tc>
          <w:tcPr>
            <w:tcW w:w="6140" w:type="dxa"/>
            <w:vAlign w:val="bottom"/>
            <w:gridSpan w:val="10"/>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6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480" w:type="dxa"/>
            <w:vAlign w:val="bottom"/>
            <w:tcBorders>
              <w:bottom w:val="single" w:sz="8" w:color="0000EE"/>
            </w:tcBorders>
            <w:gridSpan w:val="18"/>
          </w:tcPr>
          <w:p>
            <w:pPr>
              <w:spacing w:after="0" w:line="195"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Voting and Revocation of Proxies</w:t>
              </w:r>
            </w:hyperlink>
          </w:p>
        </w:tc>
        <w:tc>
          <w:tcPr>
            <w:tcW w:w="7460" w:type="dxa"/>
            <w:vAlign w:val="bottom"/>
            <w:gridSpan w:val="24"/>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660" w:type="dxa"/>
            <w:vAlign w:val="bottom"/>
          </w:tcPr>
          <w:p>
            <w:pPr>
              <w:spacing w:after="0"/>
              <w:rPr>
                <w:sz w:val="16"/>
                <w:szCs w:val="16"/>
                <w:color w:val="auto"/>
              </w:rPr>
            </w:pPr>
          </w:p>
        </w:tc>
        <w:tc>
          <w:tcPr>
            <w:tcW w:w="9940" w:type="dxa"/>
            <w:vAlign w:val="bottom"/>
            <w:gridSpan w:val="42"/>
          </w:tcPr>
          <w:p>
            <w:pPr>
              <w:spacing w:after="0" w:line="195" w:lineRule="exact"/>
              <w:rPr>
                <w:rFonts w:ascii="Arial" w:cs="Arial" w:eastAsia="Arial" w:hAnsi="Arial"/>
                <w:sz w:val="18"/>
                <w:szCs w:val="18"/>
                <w:color w:val="0000EE"/>
              </w:rPr>
            </w:pPr>
            <w:hyperlink w:anchor="page83">
              <w:r>
                <w:rPr>
                  <w:rFonts w:ascii="Arial" w:cs="Arial" w:eastAsia="Arial" w:hAnsi="Arial"/>
                  <w:sz w:val="18"/>
                  <w:szCs w:val="18"/>
                  <w:color w:val="0000EE"/>
                </w:rPr>
                <w:t>Required Vote</w:t>
              </w:r>
            </w:hyperlink>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340" w:type="dxa"/>
            <w:vAlign w:val="bottom"/>
            <w:gridSpan w:val="3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600" w:type="dxa"/>
            <w:vAlign w:val="bottom"/>
            <w:tcBorders>
              <w:bottom w:val="single" w:sz="8" w:color="0000EE"/>
            </w:tcBorders>
            <w:gridSpan w:val="10"/>
          </w:tcPr>
          <w:p>
            <w:pPr>
              <w:spacing w:after="0" w:line="195"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Solicitation of Proxies</w:t>
              </w:r>
            </w:hyperlink>
          </w:p>
        </w:tc>
        <w:tc>
          <w:tcPr>
            <w:tcW w:w="8340" w:type="dxa"/>
            <w:vAlign w:val="bottom"/>
            <w:gridSpan w:val="32"/>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195"/>
        </w:trPr>
        <w:tc>
          <w:tcPr>
            <w:tcW w:w="660" w:type="dxa"/>
            <w:vAlign w:val="bottom"/>
          </w:tcPr>
          <w:p>
            <w:pPr>
              <w:spacing w:after="0"/>
              <w:rPr>
                <w:sz w:val="16"/>
                <w:szCs w:val="16"/>
                <w:color w:val="auto"/>
              </w:rPr>
            </w:pPr>
          </w:p>
        </w:tc>
        <w:tc>
          <w:tcPr>
            <w:tcW w:w="1020" w:type="dxa"/>
            <w:vAlign w:val="bottom"/>
            <w:tcBorders>
              <w:bottom w:val="single" w:sz="8" w:color="0000EE"/>
            </w:tcBorders>
            <w:gridSpan w:val="6"/>
          </w:tcPr>
          <w:p>
            <w:pPr>
              <w:spacing w:after="0" w:line="195"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Other Matters</w:t>
              </w:r>
            </w:hyperlink>
          </w:p>
        </w:tc>
        <w:tc>
          <w:tcPr>
            <w:tcW w:w="8920" w:type="dxa"/>
            <w:vAlign w:val="bottom"/>
            <w:gridSpan w:val="36"/>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411"/>
        </w:trPr>
        <w:tc>
          <w:tcPr>
            <w:tcW w:w="10600" w:type="dxa"/>
            <w:vAlign w:val="bottom"/>
            <w:gridSpan w:val="4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THE MERGER</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Background of the Merger</w:t>
              </w:r>
            </w:hyperlink>
          </w:p>
        </w:tc>
        <w:tc>
          <w:tcPr>
            <w:tcW w:w="8420" w:type="dxa"/>
            <w:vAlign w:val="bottom"/>
            <w:gridSpan w:val="30"/>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95"/>
        </w:trPr>
        <w:tc>
          <w:tcPr>
            <w:tcW w:w="660" w:type="dxa"/>
            <w:vAlign w:val="bottom"/>
          </w:tcPr>
          <w:p>
            <w:pPr>
              <w:spacing w:after="0"/>
              <w:rPr>
                <w:sz w:val="16"/>
                <w:szCs w:val="16"/>
                <w:color w:val="auto"/>
              </w:rPr>
            </w:pPr>
          </w:p>
        </w:tc>
        <w:tc>
          <w:tcPr>
            <w:tcW w:w="2380" w:type="dxa"/>
            <w:vAlign w:val="bottom"/>
            <w:tcBorders>
              <w:bottom w:val="single" w:sz="8" w:color="0000EE"/>
            </w:tcBorders>
            <w:gridSpan w:val="22"/>
          </w:tcPr>
          <w:p>
            <w:pPr>
              <w:spacing w:after="0" w:line="195"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Aviragen Reasons for the Merger</w:t>
              </w:r>
            </w:hyperlink>
          </w:p>
        </w:tc>
        <w:tc>
          <w:tcPr>
            <w:tcW w:w="7940" w:type="dxa"/>
            <w:vAlign w:val="bottom"/>
            <w:gridSpan w:val="2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r>
      <w:tr>
        <w:trPr>
          <w:trHeight w:val="195"/>
        </w:trPr>
        <w:tc>
          <w:tcPr>
            <w:tcW w:w="660" w:type="dxa"/>
            <w:vAlign w:val="bottom"/>
          </w:tcPr>
          <w:p>
            <w:pPr>
              <w:spacing w:after="0"/>
              <w:rPr>
                <w:sz w:val="16"/>
                <w:szCs w:val="16"/>
                <w:color w:val="auto"/>
              </w:rPr>
            </w:pPr>
          </w:p>
        </w:tc>
        <w:tc>
          <w:tcPr>
            <w:tcW w:w="2200" w:type="dxa"/>
            <w:vAlign w:val="bottom"/>
            <w:tcBorders>
              <w:bottom w:val="single" w:sz="8" w:color="0000EE"/>
            </w:tcBorders>
            <w:gridSpan w:val="20"/>
          </w:tcPr>
          <w:p>
            <w:pPr>
              <w:spacing w:after="0" w:line="195"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Vaxart Reasons for the Merger</w:t>
              </w:r>
            </w:hyperlink>
          </w:p>
        </w:tc>
        <w:tc>
          <w:tcPr>
            <w:tcW w:w="8120" w:type="dxa"/>
            <w:vAlign w:val="bottom"/>
            <w:gridSpan w:val="2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r>
      <w:tr>
        <w:trPr>
          <w:trHeight w:val="195"/>
        </w:trPr>
        <w:tc>
          <w:tcPr>
            <w:tcW w:w="660" w:type="dxa"/>
            <w:vAlign w:val="bottom"/>
          </w:tcPr>
          <w:p>
            <w:pPr>
              <w:spacing w:after="0"/>
              <w:rPr>
                <w:sz w:val="16"/>
                <w:szCs w:val="16"/>
                <w:color w:val="auto"/>
              </w:rPr>
            </w:pPr>
          </w:p>
        </w:tc>
        <w:tc>
          <w:tcPr>
            <w:tcW w:w="4920" w:type="dxa"/>
            <w:vAlign w:val="bottom"/>
            <w:tcBorders>
              <w:bottom w:val="single" w:sz="8" w:color="0000EE"/>
            </w:tcBorders>
            <w:gridSpan w:val="32"/>
          </w:tcPr>
          <w:p>
            <w:pPr>
              <w:spacing w:after="0" w:line="195"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Opinion of the Financial Advisor to the Aviragen Board of Directors</w:t>
              </w:r>
            </w:hyperlink>
          </w:p>
        </w:tc>
        <w:tc>
          <w:tcPr>
            <w:tcW w:w="5400" w:type="dxa"/>
            <w:vAlign w:val="bottom"/>
            <w:gridSpan w:val="1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Interests of the Aviragen Directors and Executive Officers in the Merger</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93</w:t>
            </w:r>
          </w:p>
        </w:tc>
      </w:tr>
      <w:tr>
        <w:trPr>
          <w:trHeight w:val="195"/>
        </w:trPr>
        <w:tc>
          <w:tcPr>
            <w:tcW w:w="660" w:type="dxa"/>
            <w:vAlign w:val="bottom"/>
          </w:tcPr>
          <w:p>
            <w:pPr>
              <w:spacing w:after="0"/>
              <w:rPr>
                <w:sz w:val="16"/>
                <w:szCs w:val="16"/>
                <w:color w:val="auto"/>
              </w:rPr>
            </w:pPr>
          </w:p>
        </w:tc>
        <w:tc>
          <w:tcPr>
            <w:tcW w:w="5000" w:type="dxa"/>
            <w:vAlign w:val="bottom"/>
            <w:tcBorders>
              <w:top w:val="single" w:sz="8" w:color="0000EE"/>
              <w:bottom w:val="single" w:sz="8" w:color="0000EE"/>
            </w:tcBorders>
            <w:gridSpan w:val="33"/>
          </w:tcPr>
          <w:p>
            <w:pPr>
              <w:spacing w:after="0" w:line="195"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Interests of the Vaxart Directors and Executive Officers in the Merger</w:t>
              </w:r>
            </w:hyperlink>
          </w:p>
        </w:tc>
        <w:tc>
          <w:tcPr>
            <w:tcW w:w="180" w:type="dxa"/>
            <w:vAlign w:val="bottom"/>
            <w:tcBorders>
              <w:top w:val="single" w:sz="8" w:color="0000EE"/>
            </w:tcBorders>
            <w:gridSpan w:val="3"/>
          </w:tcPr>
          <w:p>
            <w:pPr>
              <w:spacing w:after="0"/>
              <w:rPr>
                <w:sz w:val="16"/>
                <w:szCs w:val="16"/>
                <w:color w:val="auto"/>
              </w:rPr>
            </w:pPr>
          </w:p>
        </w:tc>
        <w:tc>
          <w:tcPr>
            <w:tcW w:w="5140" w:type="dxa"/>
            <w:vAlign w:val="bottom"/>
            <w:gridSpan w:val="9"/>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94</w:t>
            </w:r>
          </w:p>
        </w:tc>
      </w:tr>
      <w:tr>
        <w:trPr>
          <w:trHeight w:val="195"/>
        </w:trPr>
        <w:tc>
          <w:tcPr>
            <w:tcW w:w="660" w:type="dxa"/>
            <w:vAlign w:val="bottom"/>
          </w:tcPr>
          <w:p>
            <w:pPr>
              <w:spacing w:after="0"/>
              <w:rPr>
                <w:sz w:val="16"/>
                <w:szCs w:val="16"/>
                <w:color w:val="auto"/>
              </w:rPr>
            </w:pPr>
          </w:p>
        </w:tc>
        <w:tc>
          <w:tcPr>
            <w:tcW w:w="3180" w:type="dxa"/>
            <w:vAlign w:val="bottom"/>
            <w:tcBorders>
              <w:bottom w:val="single" w:sz="8" w:color="0000EE"/>
            </w:tcBorders>
            <w:gridSpan w:val="29"/>
          </w:tcPr>
          <w:p>
            <w:pPr>
              <w:spacing w:after="0" w:line="195" w:lineRule="exact"/>
              <w:rPr>
                <w:rFonts w:ascii="Arial" w:cs="Arial" w:eastAsia="Arial" w:hAnsi="Arial"/>
                <w:sz w:val="18"/>
                <w:szCs w:val="18"/>
                <w:color w:val="0000EE"/>
                <w:w w:val="95"/>
              </w:rPr>
            </w:pPr>
            <w:hyperlink w:anchor="page107">
              <w:r>
                <w:rPr>
                  <w:rFonts w:ascii="Arial" w:cs="Arial" w:eastAsia="Arial" w:hAnsi="Arial"/>
                  <w:sz w:val="18"/>
                  <w:szCs w:val="18"/>
                  <w:color w:val="0000EE"/>
                  <w:w w:val="95"/>
                </w:rPr>
                <w:t>Limitations of Liability and Indemnification</w:t>
              </w:r>
            </w:hyperlink>
          </w:p>
        </w:tc>
        <w:tc>
          <w:tcPr>
            <w:tcW w:w="7140" w:type="dxa"/>
            <w:vAlign w:val="bottom"/>
            <w:gridSpan w:val="1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96</w:t>
            </w:r>
          </w:p>
        </w:tc>
      </w:tr>
      <w:tr>
        <w:trPr>
          <w:trHeight w:val="195"/>
        </w:trPr>
        <w:tc>
          <w:tcPr>
            <w:tcW w:w="660" w:type="dxa"/>
            <w:vAlign w:val="bottom"/>
          </w:tcPr>
          <w:p>
            <w:pPr>
              <w:spacing w:after="0"/>
              <w:rPr>
                <w:sz w:val="16"/>
                <w:szCs w:val="16"/>
                <w:color w:val="auto"/>
              </w:rPr>
            </w:pPr>
          </w:p>
        </w:tc>
        <w:tc>
          <w:tcPr>
            <w:tcW w:w="1460" w:type="dxa"/>
            <w:vAlign w:val="bottom"/>
            <w:tcBorders>
              <w:bottom w:val="single" w:sz="8" w:color="0000EE"/>
            </w:tcBorders>
            <w:gridSpan w:val="11"/>
          </w:tcPr>
          <w:p>
            <w:pPr>
              <w:spacing w:after="0" w:line="195"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Form of the Merger</w:t>
              </w:r>
            </w:hyperlink>
          </w:p>
        </w:tc>
        <w:tc>
          <w:tcPr>
            <w:tcW w:w="8860" w:type="dxa"/>
            <w:vAlign w:val="bottom"/>
            <w:gridSpan w:val="3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r>
      <w:tr>
        <w:trPr>
          <w:trHeight w:val="195"/>
        </w:trPr>
        <w:tc>
          <w:tcPr>
            <w:tcW w:w="660" w:type="dxa"/>
            <w:vAlign w:val="bottom"/>
          </w:tcPr>
          <w:p>
            <w:pPr>
              <w:spacing w:after="0"/>
              <w:rPr>
                <w:sz w:val="16"/>
                <w:szCs w:val="16"/>
                <w:color w:val="auto"/>
              </w:rPr>
            </w:pPr>
          </w:p>
        </w:tc>
        <w:tc>
          <w:tcPr>
            <w:tcW w:w="1580" w:type="dxa"/>
            <w:vAlign w:val="bottom"/>
            <w:tcBorders>
              <w:bottom w:val="single" w:sz="8" w:color="0000EE"/>
            </w:tcBorders>
            <w:gridSpan w:val="12"/>
          </w:tcPr>
          <w:p>
            <w:pPr>
              <w:spacing w:after="0" w:line="195"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Merger Consideration</w:t>
              </w:r>
            </w:hyperlink>
          </w:p>
        </w:tc>
        <w:tc>
          <w:tcPr>
            <w:tcW w:w="8740" w:type="dxa"/>
            <w:vAlign w:val="bottom"/>
            <w:gridSpan w:val="3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r>
      <w:tr>
        <w:trPr>
          <w:trHeight w:val="195"/>
        </w:trPr>
        <w:tc>
          <w:tcPr>
            <w:tcW w:w="660" w:type="dxa"/>
            <w:vAlign w:val="bottom"/>
          </w:tcPr>
          <w:p>
            <w:pPr>
              <w:spacing w:after="0"/>
              <w:rPr>
                <w:sz w:val="16"/>
                <w:szCs w:val="16"/>
                <w:color w:val="auto"/>
              </w:rPr>
            </w:pPr>
          </w:p>
        </w:tc>
        <w:tc>
          <w:tcPr>
            <w:tcW w:w="2120" w:type="dxa"/>
            <w:vAlign w:val="bottom"/>
            <w:tcBorders>
              <w:bottom w:val="single" w:sz="8" w:color="0000EE"/>
            </w:tcBorders>
            <w:gridSpan w:val="19"/>
          </w:tcPr>
          <w:p>
            <w:pPr>
              <w:spacing w:after="0" w:line="195"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Effective Time of the Merger</w:t>
              </w:r>
            </w:hyperlink>
          </w:p>
        </w:tc>
        <w:tc>
          <w:tcPr>
            <w:tcW w:w="8200" w:type="dxa"/>
            <w:vAlign w:val="bottom"/>
            <w:gridSpan w:val="2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0">
              <w:r>
                <w:rPr>
                  <w:rFonts w:ascii="Arial" w:cs="Arial" w:eastAsia="Arial" w:hAnsi="Arial"/>
                  <w:sz w:val="18"/>
                  <w:szCs w:val="18"/>
                  <w:color w:val="0000EE"/>
                </w:rPr>
                <w:t>Regulatory Approvals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r>
      <w:tr>
        <w:trPr>
          <w:trHeight w:val="20"/>
        </w:trPr>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0">
              <w:r>
                <w:rPr>
                  <w:rFonts w:ascii="Arial" w:cs="Arial" w:eastAsia="Arial" w:hAnsi="Arial"/>
                  <w:sz w:val="18"/>
                  <w:szCs w:val="18"/>
                  <w:color w:val="0000EE"/>
                </w:rPr>
                <w:t>Tax Treatment of the Merger</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r>
      <w:tr>
        <w:trPr>
          <w:trHeight w:val="20"/>
        </w:trPr>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5120" w:type="dxa"/>
            <w:vAlign w:val="bottom"/>
            <w:tcBorders>
              <w:bottom w:val="single" w:sz="8" w:color="0000EE"/>
            </w:tcBorders>
            <w:gridSpan w:val="35"/>
          </w:tcPr>
          <w:p>
            <w:pPr>
              <w:spacing w:after="0" w:line="195"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Certain Material U.S. Federal Income Tax Consequences of the Merger</w:t>
              </w:r>
            </w:hyperlink>
          </w:p>
        </w:tc>
        <w:tc>
          <w:tcPr>
            <w:tcW w:w="5200" w:type="dxa"/>
            <w:vAlign w:val="bottom"/>
            <w:gridSpan w:val="10"/>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98</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48">
              <w:r>
                <w:rPr>
                  <w:rFonts w:ascii="Arial" w:cs="Arial" w:eastAsia="Arial" w:hAnsi="Arial"/>
                  <w:sz w:val="18"/>
                  <w:szCs w:val="18"/>
                  <w:color w:val="0000EE"/>
                </w:rPr>
                <w:t>Tax Consequences if the Merger Failed to Qualify as a Reorganization</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99</w:t>
            </w:r>
          </w:p>
        </w:tc>
      </w:tr>
      <w:tr>
        <w:trPr>
          <w:trHeight w:val="195"/>
        </w:trPr>
        <w:tc>
          <w:tcPr>
            <w:tcW w:w="660" w:type="dxa"/>
            <w:vAlign w:val="bottom"/>
          </w:tcPr>
          <w:p>
            <w:pPr>
              <w:spacing w:after="0"/>
              <w:rPr>
                <w:sz w:val="16"/>
                <w:szCs w:val="16"/>
                <w:color w:val="auto"/>
              </w:rPr>
            </w:pPr>
          </w:p>
        </w:tc>
        <w:tc>
          <w:tcPr>
            <w:tcW w:w="2120" w:type="dxa"/>
            <w:vAlign w:val="bottom"/>
            <w:tcBorders>
              <w:top w:val="single" w:sz="8" w:color="0000EE"/>
              <w:bottom w:val="single" w:sz="8" w:color="0000EE"/>
            </w:tcBorders>
            <w:gridSpan w:val="19"/>
          </w:tcPr>
          <w:p>
            <w:pPr>
              <w:spacing w:after="0" w:line="195"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Nasdaq Stock Market Listing</w:t>
              </w:r>
            </w:hyperlink>
          </w:p>
        </w:tc>
        <w:tc>
          <w:tcPr>
            <w:tcW w:w="2920" w:type="dxa"/>
            <w:vAlign w:val="bottom"/>
            <w:tcBorders>
              <w:top w:val="single" w:sz="8" w:color="0000EE"/>
            </w:tcBorders>
            <w:gridSpan w:val="15"/>
          </w:tcPr>
          <w:p>
            <w:pPr>
              <w:spacing w:after="0"/>
              <w:rPr>
                <w:sz w:val="16"/>
                <w:szCs w:val="16"/>
                <w:color w:val="auto"/>
              </w:rPr>
            </w:pPr>
          </w:p>
        </w:tc>
        <w:tc>
          <w:tcPr>
            <w:tcW w:w="5280" w:type="dxa"/>
            <w:vAlign w:val="bottom"/>
            <w:gridSpan w:val="11"/>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2">
              <w:r>
                <w:rPr>
                  <w:rFonts w:ascii="Arial" w:cs="Arial" w:eastAsia="Arial" w:hAnsi="Arial"/>
                  <w:sz w:val="18"/>
                  <w:szCs w:val="18"/>
                  <w:color w:val="0000EE"/>
                </w:rPr>
                <w:t>Anticipated Accounting Treatment</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r>
      <w:tr>
        <w:trPr>
          <w:trHeight w:val="20"/>
        </w:trPr>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880" w:type="dxa"/>
            <w:vAlign w:val="bottom"/>
            <w:tcBorders>
              <w:bottom w:val="single" w:sz="8" w:color="0000EE"/>
            </w:tcBorders>
            <w:gridSpan w:val="28"/>
          </w:tcPr>
          <w:p>
            <w:pPr>
              <w:spacing w:after="0" w:line="195"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Appraisal Rights and Dissenters’ Rights</w:t>
              </w:r>
            </w:hyperlink>
          </w:p>
        </w:tc>
        <w:tc>
          <w:tcPr>
            <w:tcW w:w="7440" w:type="dxa"/>
            <w:vAlign w:val="bottom"/>
            <w:gridSpan w:val="17"/>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100</w:t>
            </w:r>
          </w:p>
        </w:tc>
      </w:tr>
      <w:tr>
        <w:trPr>
          <w:trHeight w:val="411"/>
        </w:trPr>
        <w:tc>
          <w:tcPr>
            <w:tcW w:w="23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THE MERGER AGREEMENT</w:t>
              </w:r>
            </w:hyperlink>
          </w:p>
        </w:tc>
        <w:tc>
          <w:tcPr>
            <w:tcW w:w="8680" w:type="dxa"/>
            <w:vAlign w:val="bottom"/>
            <w:gridSpan w:val="3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11"/>
        </w:trPr>
        <w:tc>
          <w:tcPr>
            <w:tcW w:w="660" w:type="dxa"/>
            <w:vAlign w:val="bottom"/>
          </w:tcPr>
          <w:p>
            <w:pPr>
              <w:spacing w:after="0"/>
              <w:rPr>
                <w:sz w:val="24"/>
                <w:szCs w:val="24"/>
                <w:color w:val="auto"/>
              </w:rPr>
            </w:pPr>
          </w:p>
        </w:tc>
        <w:tc>
          <w:tcPr>
            <w:tcW w:w="10320" w:type="dxa"/>
            <w:vAlign w:val="bottom"/>
            <w:gridSpan w:val="4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General</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5">
              <w:r>
                <w:rPr>
                  <w:rFonts w:ascii="Arial" w:cs="Arial" w:eastAsia="Arial" w:hAnsi="Arial"/>
                  <w:sz w:val="18"/>
                  <w:szCs w:val="18"/>
                  <w:color w:val="0000EE"/>
                </w:rPr>
                <w:t>Merger Consideration</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66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Exchange Ratio</w:t>
              </w:r>
            </w:hyperlink>
          </w:p>
        </w:tc>
        <w:tc>
          <w:tcPr>
            <w:tcW w:w="440" w:type="dxa"/>
            <w:vAlign w:val="bottom"/>
            <w:tcBorders>
              <w:top w:val="single" w:sz="8" w:color="0000EE"/>
            </w:tcBorders>
            <w:gridSpan w:val="7"/>
          </w:tcPr>
          <w:p>
            <w:pPr>
              <w:spacing w:after="0"/>
              <w:rPr>
                <w:sz w:val="16"/>
                <w:szCs w:val="16"/>
                <w:color w:val="auto"/>
              </w:rPr>
            </w:pPr>
          </w:p>
        </w:tc>
        <w:tc>
          <w:tcPr>
            <w:tcW w:w="8740" w:type="dxa"/>
            <w:vAlign w:val="bottom"/>
            <w:gridSpan w:val="3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7">
              <w:r>
                <w:rPr>
                  <w:rFonts w:ascii="Arial" w:cs="Arial" w:eastAsia="Arial" w:hAnsi="Arial"/>
                  <w:sz w:val="18"/>
                  <w:szCs w:val="18"/>
                  <w:color w:val="0000EE"/>
                </w:rPr>
                <w:t>Treatment of Aviragen Stock Options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195"/>
        </w:trPr>
        <w:tc>
          <w:tcPr>
            <w:tcW w:w="660" w:type="dxa"/>
            <w:vAlign w:val="bottom"/>
          </w:tcPr>
          <w:p>
            <w:pPr>
              <w:spacing w:after="0"/>
              <w:rPr>
                <w:sz w:val="16"/>
                <w:szCs w:val="16"/>
                <w:color w:val="auto"/>
              </w:rPr>
            </w:pPr>
          </w:p>
        </w:tc>
        <w:tc>
          <w:tcPr>
            <w:tcW w:w="2500" w:type="dxa"/>
            <w:vAlign w:val="bottom"/>
            <w:tcBorders>
              <w:top w:val="single" w:sz="8" w:color="0000EE"/>
              <w:bottom w:val="single" w:sz="8" w:color="0000EE"/>
            </w:tcBorders>
            <w:gridSpan w:val="24"/>
          </w:tcPr>
          <w:p>
            <w:pPr>
              <w:spacing w:after="0" w:line="195"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Treatment of Vaxart Stock Options</w:t>
              </w:r>
            </w:hyperlink>
          </w:p>
        </w:tc>
        <w:tc>
          <w:tcPr>
            <w:tcW w:w="180" w:type="dxa"/>
            <w:vAlign w:val="bottom"/>
            <w:tcBorders>
              <w:top w:val="single" w:sz="8" w:color="0000EE"/>
            </w:tcBorders>
          </w:tcPr>
          <w:p>
            <w:pPr>
              <w:spacing w:after="0"/>
              <w:rPr>
                <w:sz w:val="16"/>
                <w:szCs w:val="16"/>
                <w:color w:val="auto"/>
              </w:rPr>
            </w:pPr>
          </w:p>
        </w:tc>
        <w:tc>
          <w:tcPr>
            <w:tcW w:w="7640" w:type="dxa"/>
            <w:vAlign w:val="bottom"/>
            <w:gridSpan w:val="20"/>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7">
              <w:r>
                <w:rPr>
                  <w:rFonts w:ascii="Arial" w:cs="Arial" w:eastAsia="Arial" w:hAnsi="Arial"/>
                  <w:sz w:val="18"/>
                  <w:szCs w:val="18"/>
                  <w:color w:val="0000EE"/>
                </w:rPr>
                <w:t>Treatment of Vaxart Warrant</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17">
              <w:r>
                <w:rPr>
                  <w:rFonts w:ascii="Arial" w:cs="Arial" w:eastAsia="Arial" w:hAnsi="Arial"/>
                  <w:sz w:val="18"/>
                  <w:szCs w:val="18"/>
                  <w:color w:val="0000EE"/>
                </w:rPr>
                <w:t>Directors and Executive Officers of the Combined Company Following the Merger</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195"/>
        </w:trPr>
        <w:tc>
          <w:tcPr>
            <w:tcW w:w="660" w:type="dxa"/>
            <w:vAlign w:val="bottom"/>
          </w:tcPr>
          <w:p>
            <w:pPr>
              <w:spacing w:after="0"/>
              <w:rPr>
                <w:sz w:val="16"/>
                <w:szCs w:val="16"/>
                <w:color w:val="auto"/>
              </w:rPr>
            </w:pPr>
          </w:p>
        </w:tc>
        <w:tc>
          <w:tcPr>
            <w:tcW w:w="5960" w:type="dxa"/>
            <w:vAlign w:val="bottom"/>
            <w:tcBorders>
              <w:top w:val="single" w:sz="8" w:color="0000EE"/>
            </w:tcBorders>
            <w:gridSpan w:val="39"/>
          </w:tcPr>
          <w:p>
            <w:pPr>
              <w:spacing w:after="0" w:line="195" w:lineRule="exact"/>
              <w:rPr>
                <w:rFonts w:ascii="Arial" w:cs="Arial" w:eastAsia="Arial" w:hAnsi="Arial"/>
                <w:sz w:val="18"/>
                <w:szCs w:val="18"/>
                <w:color w:val="0000EE"/>
              </w:rPr>
            </w:pPr>
            <w:hyperlink w:anchor="page117">
              <w:r>
                <w:rPr>
                  <w:rFonts w:ascii="Arial" w:cs="Arial" w:eastAsia="Arial" w:hAnsi="Arial"/>
                  <w:sz w:val="18"/>
                  <w:szCs w:val="18"/>
                  <w:color w:val="0000EE"/>
                </w:rPr>
                <w:t>Conditions to the Closing of the Merger</w:t>
              </w:r>
            </w:hyperlink>
          </w:p>
        </w:tc>
        <w:tc>
          <w:tcPr>
            <w:tcW w:w="4360" w:type="dxa"/>
            <w:vAlign w:val="bottom"/>
            <w:gridSpan w:val="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r>
      <w:tr>
        <w:trPr>
          <w:trHeight w:val="195"/>
        </w:trPr>
        <w:tc>
          <w:tcPr>
            <w:tcW w:w="660" w:type="dxa"/>
            <w:vAlign w:val="bottom"/>
          </w:tcPr>
          <w:p>
            <w:pPr>
              <w:spacing w:after="0"/>
              <w:rPr>
                <w:sz w:val="16"/>
                <w:szCs w:val="16"/>
                <w:color w:val="auto"/>
              </w:rPr>
            </w:pPr>
          </w:p>
        </w:tc>
        <w:tc>
          <w:tcPr>
            <w:tcW w:w="2860" w:type="dxa"/>
            <w:vAlign w:val="bottom"/>
            <w:tcBorders>
              <w:top w:val="single" w:sz="8" w:color="0000EE"/>
            </w:tcBorders>
            <w:gridSpan w:val="27"/>
          </w:tcPr>
          <w:p>
            <w:pPr>
              <w:spacing w:after="0" w:line="195" w:lineRule="exact"/>
              <w:rPr>
                <w:rFonts w:ascii="Arial" w:cs="Arial" w:eastAsia="Arial" w:hAnsi="Arial"/>
                <w:sz w:val="18"/>
                <w:szCs w:val="18"/>
                <w:color w:val="0000EE"/>
              </w:rPr>
            </w:pPr>
            <w:hyperlink w:anchor="page120">
              <w:r>
                <w:rPr>
                  <w:rFonts w:ascii="Arial" w:cs="Arial" w:eastAsia="Arial" w:hAnsi="Arial"/>
                  <w:sz w:val="18"/>
                  <w:szCs w:val="18"/>
                  <w:color w:val="0000EE"/>
                </w:rPr>
                <w:t>Representations and Warranties</w:t>
              </w:r>
            </w:hyperlink>
          </w:p>
        </w:tc>
        <w:tc>
          <w:tcPr>
            <w:tcW w:w="7460" w:type="dxa"/>
            <w:vAlign w:val="bottom"/>
            <w:gridSpan w:val="1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r>
      <w:tr>
        <w:trPr>
          <w:trHeight w:val="195"/>
        </w:trPr>
        <w:tc>
          <w:tcPr>
            <w:tcW w:w="660" w:type="dxa"/>
            <w:vAlign w:val="bottom"/>
          </w:tcPr>
          <w:p>
            <w:pPr>
              <w:spacing w:after="0"/>
              <w:rPr>
                <w:sz w:val="16"/>
                <w:szCs w:val="16"/>
                <w:color w:val="auto"/>
              </w:rPr>
            </w:pPr>
          </w:p>
        </w:tc>
        <w:tc>
          <w:tcPr>
            <w:tcW w:w="226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w:anchor="page121">
              <w:r>
                <w:rPr>
                  <w:rFonts w:ascii="Arial" w:cs="Arial" w:eastAsia="Arial" w:hAnsi="Arial"/>
                  <w:sz w:val="18"/>
                  <w:szCs w:val="18"/>
                  <w:color w:val="0000EE"/>
                </w:rPr>
                <w:t>Non-Solicitation</w:t>
              </w:r>
            </w:hyperlink>
          </w:p>
        </w:tc>
        <w:tc>
          <w:tcPr>
            <w:tcW w:w="8060" w:type="dxa"/>
            <w:vAlign w:val="bottom"/>
            <w:gridSpan w:val="2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109</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840" w:type="dxa"/>
            <w:vAlign w:val="bottom"/>
            <w:tcBorders>
              <w:bottom w:val="single" w:sz="8" w:color="0000EE"/>
            </w:tcBorders>
            <w:gridSpan w:val="14"/>
          </w:tcPr>
          <w:p>
            <w:pPr>
              <w:spacing w:after="0" w:line="195"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Meetings of Stockholders</w:t>
              </w:r>
            </w:hyperlink>
          </w:p>
        </w:tc>
        <w:tc>
          <w:tcPr>
            <w:tcW w:w="8480" w:type="dxa"/>
            <w:vAlign w:val="bottom"/>
            <w:gridSpan w:val="31"/>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110</w:t>
            </w:r>
          </w:p>
        </w:tc>
      </w:tr>
      <w:tr>
        <w:trPr>
          <w:trHeight w:val="195"/>
        </w:trPr>
        <w:tc>
          <w:tcPr>
            <w:tcW w:w="660" w:type="dxa"/>
            <w:vAlign w:val="bottom"/>
          </w:tcPr>
          <w:p>
            <w:pPr>
              <w:spacing w:after="0"/>
              <w:rPr>
                <w:sz w:val="16"/>
                <w:szCs w:val="16"/>
                <w:color w:val="auto"/>
              </w:rPr>
            </w:pPr>
          </w:p>
        </w:tc>
        <w:tc>
          <w:tcPr>
            <w:tcW w:w="3800" w:type="dxa"/>
            <w:vAlign w:val="bottom"/>
            <w:tcBorders>
              <w:bottom w:val="single" w:sz="8" w:color="0000EE"/>
            </w:tcBorders>
            <w:gridSpan w:val="30"/>
          </w:tcPr>
          <w:p>
            <w:pPr>
              <w:spacing w:after="0" w:line="195"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Covenants; Conduct of Business Pending the Merger</w:t>
              </w:r>
            </w:hyperlink>
          </w:p>
        </w:tc>
        <w:tc>
          <w:tcPr>
            <w:tcW w:w="6520" w:type="dxa"/>
            <w:vAlign w:val="bottom"/>
            <w:gridSpan w:val="1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110</w:t>
            </w:r>
          </w:p>
        </w:tc>
      </w:tr>
      <w:tr>
        <w:trPr>
          <w:trHeight w:val="195"/>
        </w:trPr>
        <w:tc>
          <w:tcPr>
            <w:tcW w:w="660" w:type="dxa"/>
            <w:vAlign w:val="bottom"/>
          </w:tcPr>
          <w:p>
            <w:pPr>
              <w:spacing w:after="0"/>
              <w:rPr>
                <w:sz w:val="16"/>
                <w:szCs w:val="16"/>
                <w:color w:val="auto"/>
              </w:rPr>
            </w:pPr>
          </w:p>
        </w:tc>
        <w:tc>
          <w:tcPr>
            <w:tcW w:w="1320" w:type="dxa"/>
            <w:vAlign w:val="bottom"/>
            <w:tcBorders>
              <w:bottom w:val="single" w:sz="8" w:color="0000EE"/>
            </w:tcBorders>
            <w:gridSpan w:val="8"/>
          </w:tcPr>
          <w:p>
            <w:pPr>
              <w:spacing w:after="0" w:line="195"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Other Agreements</w:t>
              </w:r>
            </w:hyperlink>
          </w:p>
        </w:tc>
        <w:tc>
          <w:tcPr>
            <w:tcW w:w="9000" w:type="dxa"/>
            <w:vAlign w:val="bottom"/>
            <w:gridSpan w:val="37"/>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112</w:t>
            </w:r>
          </w:p>
        </w:tc>
      </w:tr>
      <w:tr>
        <w:trPr>
          <w:trHeight w:val="195"/>
        </w:trPr>
        <w:tc>
          <w:tcPr>
            <w:tcW w:w="660" w:type="dxa"/>
            <w:vAlign w:val="bottom"/>
          </w:tcPr>
          <w:p>
            <w:pPr>
              <w:spacing w:after="0"/>
              <w:rPr>
                <w:sz w:val="16"/>
                <w:szCs w:val="16"/>
                <w:color w:val="auto"/>
              </w:rPr>
            </w:pPr>
          </w:p>
        </w:tc>
        <w:tc>
          <w:tcPr>
            <w:tcW w:w="2740" w:type="dxa"/>
            <w:vAlign w:val="bottom"/>
            <w:tcBorders>
              <w:bottom w:val="single" w:sz="8" w:color="0000EE"/>
            </w:tcBorders>
            <w:gridSpan w:val="26"/>
          </w:tcPr>
          <w:p>
            <w:pPr>
              <w:spacing w:after="0" w:line="195"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Termination of the Merger Agreement</w:t>
              </w:r>
            </w:hyperlink>
          </w:p>
        </w:tc>
        <w:tc>
          <w:tcPr>
            <w:tcW w:w="7580" w:type="dxa"/>
            <w:vAlign w:val="bottom"/>
            <w:gridSpan w:val="19"/>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113</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26">
              <w:r>
                <w:rPr>
                  <w:rFonts w:ascii="Arial" w:cs="Arial" w:eastAsia="Arial" w:hAnsi="Arial"/>
                  <w:sz w:val="18"/>
                  <w:szCs w:val="18"/>
                  <w:color w:val="0000EE"/>
                </w:rPr>
                <w:t>Termination Fees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114</w:t>
            </w:r>
          </w:p>
        </w:tc>
      </w:tr>
      <w:tr>
        <w:trPr>
          <w:trHeight w:val="195"/>
        </w:trPr>
        <w:tc>
          <w:tcPr>
            <w:tcW w:w="6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Amendment</w:t>
              </w:r>
            </w:hyperlink>
          </w:p>
        </w:tc>
        <w:tc>
          <w:tcPr>
            <w:tcW w:w="340" w:type="dxa"/>
            <w:vAlign w:val="bottom"/>
            <w:tcBorders>
              <w:top w:val="single" w:sz="8" w:color="0000EE"/>
            </w:tcBorders>
            <w:gridSpan w:val="4"/>
          </w:tcPr>
          <w:p>
            <w:pPr>
              <w:spacing w:after="0"/>
              <w:rPr>
                <w:sz w:val="16"/>
                <w:szCs w:val="16"/>
                <w:color w:val="auto"/>
              </w:rPr>
            </w:pPr>
          </w:p>
        </w:tc>
        <w:tc>
          <w:tcPr>
            <w:tcW w:w="9080" w:type="dxa"/>
            <w:vAlign w:val="bottom"/>
            <w:gridSpan w:val="3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115</w:t>
            </w:r>
          </w:p>
        </w:tc>
      </w:tr>
      <w:tr>
        <w:trPr>
          <w:trHeight w:val="411"/>
        </w:trPr>
        <w:tc>
          <w:tcPr>
            <w:tcW w:w="10980" w:type="dxa"/>
            <w:vAlign w:val="bottom"/>
            <w:gridSpan w:val="46"/>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AGREEMENTS RELATED TO THE MERGER</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1"/>
        </w:trPr>
        <w:tc>
          <w:tcPr>
            <w:tcW w:w="6160" w:type="dxa"/>
            <w:vAlign w:val="bottom"/>
            <w:tcBorders>
              <w:bottom w:val="single" w:sz="8" w:color="0000EE"/>
            </w:tcBorders>
            <w:gridSpan w:val="39"/>
          </w:tcPr>
          <w:p>
            <w:pPr>
              <w:spacing w:after="0"/>
              <w:rPr>
                <w:rFonts w:ascii="Arial" w:cs="Arial" w:eastAsia="Arial" w:hAnsi="Arial"/>
                <w:sz w:val="18"/>
                <w:szCs w:val="18"/>
                <w:color w:val="0000EE"/>
                <w:w w:val="96"/>
              </w:rPr>
            </w:pPr>
            <w:hyperlink w:anchor="page130">
              <w:r>
                <w:rPr>
                  <w:rFonts w:ascii="Arial" w:cs="Arial" w:eastAsia="Arial" w:hAnsi="Arial"/>
                  <w:sz w:val="18"/>
                  <w:szCs w:val="18"/>
                  <w:color w:val="0000EE"/>
                  <w:w w:val="96"/>
                </w:rPr>
                <w:t>MATTERS BEING SUBMITTED TO A VOTE OF AVIRAGEN STOCKHOLDERS</w:t>
              </w:r>
            </w:hyperlink>
          </w:p>
        </w:tc>
        <w:tc>
          <w:tcPr>
            <w:tcW w:w="482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11"/>
        </w:trPr>
        <w:tc>
          <w:tcPr>
            <w:tcW w:w="660" w:type="dxa"/>
            <w:vAlign w:val="bottom"/>
          </w:tcPr>
          <w:p>
            <w:pPr>
              <w:spacing w:after="0"/>
              <w:rPr>
                <w:sz w:val="24"/>
                <w:szCs w:val="24"/>
                <w:color w:val="auto"/>
              </w:rPr>
            </w:pPr>
          </w:p>
        </w:tc>
        <w:tc>
          <w:tcPr>
            <w:tcW w:w="10320" w:type="dxa"/>
            <w:vAlign w:val="bottom"/>
            <w:gridSpan w:val="45"/>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Aviragen Proposal No. 1 (the Stock Issuance Proposal): Approval of the Issuance of Common Stock in the Merger</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gridSpan w:val="1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w w:val="96"/>
              </w:rPr>
            </w:pPr>
            <w:hyperlink w:anchor="page131">
              <w:r>
                <w:rPr>
                  <w:rFonts w:ascii="Arial" w:cs="Arial" w:eastAsia="Arial" w:hAnsi="Arial"/>
                  <w:sz w:val="18"/>
                  <w:szCs w:val="18"/>
                  <w:color w:val="0000EE"/>
                  <w:w w:val="96"/>
                </w:rPr>
                <w:t>Aviragen Proposal No. 2 (the Reverse Stock Split Proposal): Approval of the Amendment to the Certificate of Incorporation of Aviragen</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119</w:t>
            </w:r>
          </w:p>
        </w:tc>
      </w:tr>
      <w:tr>
        <w:trPr>
          <w:trHeight w:val="195"/>
        </w:trPr>
        <w:tc>
          <w:tcPr>
            <w:tcW w:w="660" w:type="dxa"/>
            <w:vAlign w:val="bottom"/>
          </w:tcPr>
          <w:p>
            <w:pPr>
              <w:spacing w:after="0"/>
              <w:rPr>
                <w:sz w:val="16"/>
                <w:szCs w:val="16"/>
                <w:color w:val="auto"/>
              </w:rPr>
            </w:pPr>
          </w:p>
        </w:tc>
        <w:tc>
          <w:tcPr>
            <w:tcW w:w="9800" w:type="dxa"/>
            <w:vAlign w:val="bottom"/>
            <w:tcBorders>
              <w:top w:val="single" w:sz="8" w:color="0000EE"/>
            </w:tcBorders>
            <w:gridSpan w:val="43"/>
          </w:tcPr>
          <w:p>
            <w:pPr>
              <w:spacing w:after="0" w:line="195" w:lineRule="exact"/>
              <w:rPr>
                <w:rFonts w:ascii="Arial" w:cs="Arial" w:eastAsia="Arial" w:hAnsi="Arial"/>
                <w:sz w:val="18"/>
                <w:szCs w:val="18"/>
                <w:color w:val="0000EE"/>
              </w:rPr>
            </w:pPr>
            <w:hyperlink w:anchor="page131">
              <w:r>
                <w:rPr>
                  <w:rFonts w:ascii="Arial" w:cs="Arial" w:eastAsia="Arial" w:hAnsi="Arial"/>
                  <w:sz w:val="18"/>
                  <w:szCs w:val="18"/>
                  <w:color w:val="0000EE"/>
                </w:rPr>
                <w:t>Effecting the Reverse Stock Split at a Ratio in the Range of 10 and 20-for-1</w:t>
              </w:r>
            </w:hyperlink>
          </w:p>
        </w:tc>
        <w:tc>
          <w:tcPr>
            <w:tcW w:w="52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20" w:type="dxa"/>
            <w:vAlign w:val="bottom"/>
            <w:gridSpan w:val="13"/>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37">
              <w:r>
                <w:rPr>
                  <w:rFonts w:ascii="Arial" w:cs="Arial" w:eastAsia="Arial" w:hAnsi="Arial"/>
                  <w:sz w:val="18"/>
                  <w:szCs w:val="18"/>
                  <w:color w:val="0000EE"/>
                </w:rPr>
                <w:t>Aviragen Proposal No. 3 (Executive Merger Compensation Proposal): Advisory, Non-Binding Vote on Merger-Related Executive</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125</w:t>
            </w:r>
          </w:p>
        </w:tc>
      </w:tr>
      <w:tr>
        <w:trPr>
          <w:trHeight w:val="195"/>
        </w:trPr>
        <w:tc>
          <w:tcPr>
            <w:tcW w:w="66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18"/>
          </w:tcPr>
          <w:p>
            <w:pPr>
              <w:spacing w:after="0" w:line="195"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Compensation Arrangements</w:t>
              </w:r>
            </w:hyperlink>
          </w:p>
        </w:tc>
        <w:tc>
          <w:tcPr>
            <w:tcW w:w="7180" w:type="dxa"/>
            <w:vAlign w:val="bottom"/>
            <w:tcBorders>
              <w:top w:val="single" w:sz="8" w:color="0000EE"/>
            </w:tcBorders>
            <w:gridSpan w:val="24"/>
          </w:tcPr>
          <w:p>
            <w:pPr>
              <w:spacing w:after="0"/>
              <w:rPr>
                <w:sz w:val="16"/>
                <w:szCs w:val="16"/>
                <w:color w:val="auto"/>
              </w:rPr>
            </w:pPr>
          </w:p>
        </w:tc>
        <w:tc>
          <w:tcPr>
            <w:tcW w:w="104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Aviragen Proposal No. 4 (Say-on-Pay Frequency Proposal): Advisory, Non-Binding Vote on the Frequency of an Advisory Vote on Executive</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r>
      <w:tr>
        <w:trPr>
          <w:trHeight w:val="195"/>
        </w:trPr>
        <w:tc>
          <w:tcPr>
            <w:tcW w:w="660" w:type="dxa"/>
            <w:vAlign w:val="bottom"/>
          </w:tcPr>
          <w:p>
            <w:pPr>
              <w:spacing w:after="0"/>
              <w:rPr>
                <w:sz w:val="16"/>
                <w:szCs w:val="16"/>
                <w:color w:val="auto"/>
              </w:rPr>
            </w:pPr>
          </w:p>
        </w:tc>
        <w:tc>
          <w:tcPr>
            <w:tcW w:w="104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Compensation</w:t>
              </w:r>
            </w:hyperlink>
          </w:p>
        </w:tc>
        <w:tc>
          <w:tcPr>
            <w:tcW w:w="9120" w:type="dxa"/>
            <w:vAlign w:val="bottom"/>
            <w:tcBorders>
              <w:top w:val="single" w:sz="8" w:color="0000EE"/>
            </w:tcBorders>
            <w:gridSpan w:val="40"/>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39">
              <w:r>
                <w:rPr>
                  <w:rFonts w:ascii="Arial" w:cs="Arial" w:eastAsia="Arial" w:hAnsi="Arial"/>
                  <w:sz w:val="18"/>
                  <w:szCs w:val="18"/>
                  <w:color w:val="0000EE"/>
                </w:rPr>
                <w:t>Aviragen Proposal No. 5 (Adjournment Proposal): Approval of Possible Adjournment of the Aviragen Special Meeting</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127</w:t>
            </w: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360" w:type="dxa"/>
            <w:vAlign w:val="bottom"/>
            <w:gridSpan w:val="15"/>
            <w:shd w:val="clear" w:color="auto" w:fill="0000EE"/>
          </w:tcPr>
          <w:p>
            <w:pPr>
              <w:spacing w:after="0" w:line="20" w:lineRule="exact"/>
              <w:rPr>
                <w:sz w:val="1"/>
                <w:szCs w:val="1"/>
                <w:color w:val="auto"/>
              </w:rPr>
            </w:pPr>
          </w:p>
        </w:tc>
        <w:tc>
          <w:tcPr>
            <w:tcW w:w="4220" w:type="dxa"/>
            <w:vAlign w:val="bottom"/>
            <w:gridSpan w:val="10"/>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1"/>
        </w:trPr>
        <w:tc>
          <w:tcPr>
            <w:tcW w:w="18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40">
              <w:r>
                <w:rPr>
                  <w:rFonts w:ascii="Arial" w:cs="Arial" w:eastAsia="Arial" w:hAnsi="Arial"/>
                  <w:sz w:val="18"/>
                  <w:szCs w:val="18"/>
                  <w:color w:val="0000EE"/>
                  <w:w w:val="95"/>
                </w:rPr>
                <w:t>AVIRAGEN BUSINESS</w:t>
              </w:r>
            </w:hyperlink>
          </w:p>
        </w:tc>
        <w:tc>
          <w:tcPr>
            <w:tcW w:w="9140" w:type="dxa"/>
            <w:vAlign w:val="bottom"/>
            <w:gridSpan w:val="3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11"/>
        </w:trPr>
        <w:tc>
          <w:tcPr>
            <w:tcW w:w="660" w:type="dxa"/>
            <w:vAlign w:val="bottom"/>
          </w:tcPr>
          <w:p>
            <w:pPr>
              <w:spacing w:after="0"/>
              <w:rPr>
                <w:sz w:val="24"/>
                <w:szCs w:val="24"/>
                <w:color w:val="auto"/>
              </w:rPr>
            </w:pPr>
          </w:p>
        </w:tc>
        <w:tc>
          <w:tcPr>
            <w:tcW w:w="10320" w:type="dxa"/>
            <w:vAlign w:val="bottom"/>
            <w:gridSpan w:val="45"/>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Overview of Aviragen’s Business and Recent Developments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195"/>
        </w:trPr>
        <w:tc>
          <w:tcPr>
            <w:tcW w:w="660" w:type="dxa"/>
            <w:vAlign w:val="bottom"/>
          </w:tcPr>
          <w:p>
            <w:pPr>
              <w:spacing w:after="0"/>
              <w:rPr>
                <w:sz w:val="16"/>
                <w:szCs w:val="16"/>
                <w:color w:val="auto"/>
              </w:rPr>
            </w:pPr>
          </w:p>
        </w:tc>
        <w:tc>
          <w:tcPr>
            <w:tcW w:w="88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Background</w:t>
              </w:r>
            </w:hyperlink>
          </w:p>
        </w:tc>
        <w:tc>
          <w:tcPr>
            <w:tcW w:w="3440" w:type="dxa"/>
            <w:vAlign w:val="bottom"/>
            <w:tcBorders>
              <w:top w:val="single" w:sz="8" w:color="0000EE"/>
            </w:tcBorders>
            <w:gridSpan w:val="29"/>
          </w:tcPr>
          <w:p>
            <w:pPr>
              <w:spacing w:after="0"/>
              <w:rPr>
                <w:sz w:val="16"/>
                <w:szCs w:val="16"/>
                <w:color w:val="auto"/>
              </w:rPr>
            </w:pPr>
          </w:p>
        </w:tc>
        <w:tc>
          <w:tcPr>
            <w:tcW w:w="6000" w:type="dxa"/>
            <w:vAlign w:val="bottom"/>
            <w:gridSpan w:val="1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128</w:t>
            </w:r>
          </w:p>
        </w:tc>
      </w:tr>
      <w:tr>
        <w:trPr>
          <w:trHeight w:val="195"/>
        </w:trPr>
        <w:tc>
          <w:tcPr>
            <w:tcW w:w="660" w:type="dxa"/>
            <w:vAlign w:val="bottom"/>
          </w:tcPr>
          <w:p>
            <w:pPr>
              <w:spacing w:after="0"/>
              <w:rPr>
                <w:sz w:val="16"/>
                <w:szCs w:val="16"/>
                <w:color w:val="auto"/>
              </w:rPr>
            </w:pPr>
          </w:p>
        </w:tc>
        <w:tc>
          <w:tcPr>
            <w:tcW w:w="140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Aviragen’s Pipeline</w:t>
              </w:r>
            </w:hyperlink>
          </w:p>
        </w:tc>
        <w:tc>
          <w:tcPr>
            <w:tcW w:w="8920" w:type="dxa"/>
            <w:vAlign w:val="bottom"/>
            <w:gridSpan w:val="3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128</w:t>
            </w:r>
          </w:p>
        </w:tc>
      </w:tr>
      <w:tr>
        <w:trPr>
          <w:trHeight w:val="195"/>
        </w:trPr>
        <w:tc>
          <w:tcPr>
            <w:tcW w:w="660" w:type="dxa"/>
            <w:vAlign w:val="bottom"/>
          </w:tcPr>
          <w:p>
            <w:pPr>
              <w:spacing w:after="0"/>
              <w:rPr>
                <w:sz w:val="16"/>
                <w:szCs w:val="16"/>
                <w:color w:val="auto"/>
              </w:rPr>
            </w:pPr>
          </w:p>
        </w:tc>
        <w:tc>
          <w:tcPr>
            <w:tcW w:w="142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Aviragen’s Strategy</w:t>
              </w:r>
            </w:hyperlink>
          </w:p>
        </w:tc>
        <w:tc>
          <w:tcPr>
            <w:tcW w:w="8900" w:type="dxa"/>
            <w:vAlign w:val="bottom"/>
            <w:gridSpan w:val="3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132</w:t>
            </w:r>
          </w:p>
        </w:tc>
      </w:tr>
      <w:tr>
        <w:trPr>
          <w:trHeight w:val="195"/>
        </w:trPr>
        <w:tc>
          <w:tcPr>
            <w:tcW w:w="660" w:type="dxa"/>
            <w:vAlign w:val="bottom"/>
          </w:tcPr>
          <w:p>
            <w:pPr>
              <w:spacing w:after="0"/>
              <w:rPr>
                <w:sz w:val="16"/>
                <w:szCs w:val="16"/>
                <w:color w:val="auto"/>
              </w:rPr>
            </w:pPr>
          </w:p>
        </w:tc>
        <w:tc>
          <w:tcPr>
            <w:tcW w:w="10320" w:type="dxa"/>
            <w:vAlign w:val="bottom"/>
            <w:gridSpan w:val="45"/>
          </w:tcPr>
          <w:p>
            <w:pPr>
              <w:spacing w:after="0" w:line="195" w:lineRule="exact"/>
              <w:rPr>
                <w:rFonts w:ascii="Arial" w:cs="Arial" w:eastAsia="Arial" w:hAnsi="Arial"/>
                <w:sz w:val="18"/>
                <w:szCs w:val="18"/>
                <w:color w:val="0000EE"/>
              </w:rPr>
            </w:pPr>
            <w:hyperlink w:anchor="page145">
              <w:r>
                <w:rPr>
                  <w:rFonts w:ascii="Arial" w:cs="Arial" w:eastAsia="Arial" w:hAnsi="Arial"/>
                  <w:sz w:val="18"/>
                  <w:szCs w:val="18"/>
                  <w:color w:val="0000EE"/>
                </w:rPr>
                <w:t>Research and Development</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133</w:t>
            </w:r>
          </w:p>
        </w:tc>
      </w:tr>
      <w:tr>
        <w:trPr>
          <w:trHeight w:val="195"/>
        </w:trPr>
        <w:tc>
          <w:tcPr>
            <w:tcW w:w="660" w:type="dxa"/>
            <w:vAlign w:val="bottom"/>
          </w:tcPr>
          <w:p>
            <w:pPr>
              <w:spacing w:after="0"/>
              <w:rPr>
                <w:sz w:val="16"/>
                <w:szCs w:val="16"/>
                <w:color w:val="auto"/>
              </w:rPr>
            </w:pPr>
          </w:p>
        </w:tc>
        <w:tc>
          <w:tcPr>
            <w:tcW w:w="1960" w:type="dxa"/>
            <w:vAlign w:val="bottom"/>
            <w:tcBorders>
              <w:top w:val="single" w:sz="8" w:color="0000EE"/>
            </w:tcBorders>
            <w:gridSpan w:val="16"/>
          </w:tcPr>
          <w:p>
            <w:pPr>
              <w:spacing w:after="0" w:line="195" w:lineRule="exact"/>
              <w:rPr>
                <w:rFonts w:ascii="Arial" w:cs="Arial" w:eastAsia="Arial" w:hAnsi="Arial"/>
                <w:sz w:val="18"/>
                <w:szCs w:val="18"/>
                <w:color w:val="0000EE"/>
              </w:rPr>
            </w:pPr>
            <w:hyperlink w:anchor="page145">
              <w:r>
                <w:rPr>
                  <w:rFonts w:ascii="Arial" w:cs="Arial" w:eastAsia="Arial" w:hAnsi="Arial"/>
                  <w:sz w:val="18"/>
                  <w:szCs w:val="18"/>
                  <w:color w:val="0000EE"/>
                </w:rPr>
                <w:t>Sales and Marketing</w:t>
              </w:r>
            </w:hyperlink>
          </w:p>
        </w:tc>
        <w:tc>
          <w:tcPr>
            <w:tcW w:w="8360" w:type="dxa"/>
            <w:vAlign w:val="bottom"/>
            <w:gridSpan w:val="29"/>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133</w:t>
            </w:r>
          </w:p>
        </w:tc>
      </w:tr>
      <w:tr>
        <w:trPr>
          <w:trHeight w:val="20"/>
        </w:trPr>
        <w:tc>
          <w:tcPr>
            <w:tcW w:w="6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 w:name="page10"/>
    <w:bookmarkEnd w:id="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Manufacturing</w:t>
              </w:r>
            </w:hyperlink>
          </w:p>
        </w:tc>
        <w:tc>
          <w:tcPr>
            <w:tcW w:w="8780" w:type="dxa"/>
            <w:vAlign w:val="bottom"/>
            <w:gridSpan w:val="34"/>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195"/>
        </w:trPr>
        <w:tc>
          <w:tcPr>
            <w:tcW w:w="660" w:type="dxa"/>
            <w:vAlign w:val="bottom"/>
          </w:tcPr>
          <w:p>
            <w:pPr>
              <w:spacing w:after="0"/>
              <w:rPr>
                <w:sz w:val="16"/>
                <w:szCs w:val="16"/>
                <w:color w:val="auto"/>
              </w:rPr>
            </w:pPr>
          </w:p>
        </w:tc>
        <w:tc>
          <w:tcPr>
            <w:tcW w:w="900" w:type="dxa"/>
            <w:vAlign w:val="bottom"/>
            <w:tcBorders>
              <w:bottom w:val="single" w:sz="8" w:color="0000EE"/>
            </w:tcBorders>
            <w:gridSpan w:val="6"/>
          </w:tcPr>
          <w:p>
            <w:pPr>
              <w:spacing w:after="0" w:line="195"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Competition</w:t>
              </w:r>
            </w:hyperlink>
          </w:p>
        </w:tc>
        <w:tc>
          <w:tcPr>
            <w:tcW w:w="8940" w:type="dxa"/>
            <w:vAlign w:val="bottom"/>
            <w:gridSpan w:val="37"/>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133</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46">
              <w:r>
                <w:rPr>
                  <w:rFonts w:ascii="Arial" w:cs="Arial" w:eastAsia="Arial" w:hAnsi="Arial"/>
                  <w:sz w:val="18"/>
                  <w:szCs w:val="18"/>
                  <w:color w:val="0000EE"/>
                </w:rPr>
                <w:t>Intellectual Property Rights and Patents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134</w:t>
            </w:r>
          </w:p>
        </w:tc>
      </w:tr>
      <w:tr>
        <w:trPr>
          <w:trHeight w:val="195"/>
        </w:trPr>
        <w:tc>
          <w:tcPr>
            <w:tcW w:w="660" w:type="dxa"/>
            <w:vAlign w:val="bottom"/>
          </w:tcPr>
          <w:p>
            <w:pPr>
              <w:spacing w:after="0"/>
              <w:rPr>
                <w:sz w:val="16"/>
                <w:szCs w:val="16"/>
                <w:color w:val="auto"/>
              </w:rPr>
            </w:pPr>
          </w:p>
        </w:tc>
        <w:tc>
          <w:tcPr>
            <w:tcW w:w="1840" w:type="dxa"/>
            <w:vAlign w:val="bottom"/>
            <w:tcBorders>
              <w:top w:val="single" w:sz="8" w:color="0000EE"/>
              <w:bottom w:val="single" w:sz="8" w:color="0000EE"/>
            </w:tcBorders>
            <w:gridSpan w:val="20"/>
          </w:tcPr>
          <w:p>
            <w:pPr>
              <w:spacing w:after="0" w:line="195" w:lineRule="exact"/>
              <w:rPr>
                <w:rFonts w:ascii="Arial" w:cs="Arial" w:eastAsia="Arial" w:hAnsi="Arial"/>
                <w:sz w:val="18"/>
                <w:szCs w:val="18"/>
                <w:color w:val="0000EE"/>
                <w:w w:val="87"/>
              </w:rPr>
            </w:pPr>
            <w:hyperlink w:anchor="page148">
              <w:r>
                <w:rPr>
                  <w:rFonts w:ascii="Arial" w:cs="Arial" w:eastAsia="Arial" w:hAnsi="Arial"/>
                  <w:sz w:val="18"/>
                  <w:szCs w:val="18"/>
                  <w:color w:val="0000EE"/>
                  <w:w w:val="87"/>
                </w:rPr>
                <w:t>Licenses and Agreements</w:t>
              </w:r>
            </w:hyperlink>
          </w:p>
        </w:tc>
        <w:tc>
          <w:tcPr>
            <w:tcW w:w="1000" w:type="dxa"/>
            <w:vAlign w:val="bottom"/>
            <w:tcBorders>
              <w:top w:val="single" w:sz="8" w:color="0000EE"/>
            </w:tcBorders>
            <w:gridSpan w:val="11"/>
          </w:tcPr>
          <w:p>
            <w:pPr>
              <w:spacing w:after="0"/>
              <w:rPr>
                <w:sz w:val="16"/>
                <w:szCs w:val="16"/>
                <w:color w:val="auto"/>
              </w:rPr>
            </w:pPr>
          </w:p>
        </w:tc>
        <w:tc>
          <w:tcPr>
            <w:tcW w:w="7000" w:type="dxa"/>
            <w:vAlign w:val="bottom"/>
            <w:gridSpan w:val="12"/>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136</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48">
              <w:r>
                <w:rPr>
                  <w:rFonts w:ascii="Arial" w:cs="Arial" w:eastAsia="Arial" w:hAnsi="Arial"/>
                  <w:sz w:val="18"/>
                  <w:szCs w:val="18"/>
                  <w:color w:val="0000EE"/>
                </w:rPr>
                <w:t>Regulatory Matters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136</w:t>
            </w:r>
          </w:p>
        </w:tc>
      </w:tr>
      <w:tr>
        <w:trPr>
          <w:trHeight w:val="195"/>
        </w:trPr>
        <w:tc>
          <w:tcPr>
            <w:tcW w:w="660" w:type="dxa"/>
            <w:vAlign w:val="bottom"/>
          </w:tcPr>
          <w:p>
            <w:pPr>
              <w:spacing w:after="0"/>
              <w:rPr>
                <w:sz w:val="16"/>
                <w:szCs w:val="16"/>
                <w:color w:val="auto"/>
              </w:rPr>
            </w:pPr>
          </w:p>
        </w:tc>
        <w:tc>
          <w:tcPr>
            <w:tcW w:w="8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7"/>
              </w:rPr>
            </w:pPr>
            <w:hyperlink w:anchor="page154">
              <w:r>
                <w:rPr>
                  <w:rFonts w:ascii="Arial" w:cs="Arial" w:eastAsia="Arial" w:hAnsi="Arial"/>
                  <w:sz w:val="18"/>
                  <w:szCs w:val="18"/>
                  <w:color w:val="0000EE"/>
                  <w:w w:val="87"/>
                </w:rPr>
                <w:t>Employees</w:t>
              </w:r>
            </w:hyperlink>
          </w:p>
        </w:tc>
        <w:tc>
          <w:tcPr>
            <w:tcW w:w="580" w:type="dxa"/>
            <w:vAlign w:val="bottom"/>
            <w:tcBorders>
              <w:top w:val="single" w:sz="8" w:color="0000EE"/>
            </w:tcBorders>
            <w:gridSpan w:val="8"/>
          </w:tcPr>
          <w:p>
            <w:pPr>
              <w:spacing w:after="0"/>
              <w:rPr>
                <w:sz w:val="16"/>
                <w:szCs w:val="16"/>
                <w:color w:val="auto"/>
              </w:rPr>
            </w:pPr>
          </w:p>
        </w:tc>
        <w:tc>
          <w:tcPr>
            <w:tcW w:w="8460" w:type="dxa"/>
            <w:vAlign w:val="bottom"/>
            <w:gridSpan w:val="30"/>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r>
      <w:tr>
        <w:trPr>
          <w:trHeight w:val="195"/>
        </w:trPr>
        <w:tc>
          <w:tcPr>
            <w:tcW w:w="660" w:type="dxa"/>
            <w:vAlign w:val="bottom"/>
          </w:tcPr>
          <w:p>
            <w:pPr>
              <w:spacing w:after="0"/>
              <w:rPr>
                <w:sz w:val="16"/>
                <w:szCs w:val="16"/>
                <w:color w:val="auto"/>
              </w:rPr>
            </w:pPr>
          </w:p>
        </w:tc>
        <w:tc>
          <w:tcPr>
            <w:tcW w:w="1600" w:type="dxa"/>
            <w:vAlign w:val="bottom"/>
            <w:tcBorders>
              <w:bottom w:val="single" w:sz="8" w:color="0000EE"/>
            </w:tcBorders>
            <w:gridSpan w:val="18"/>
          </w:tcPr>
          <w:p>
            <w:pPr>
              <w:spacing w:after="0" w:line="195"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Available Information</w:t>
              </w:r>
            </w:hyperlink>
          </w:p>
        </w:tc>
        <w:tc>
          <w:tcPr>
            <w:tcW w:w="8240" w:type="dxa"/>
            <w:vAlign w:val="bottom"/>
            <w:gridSpan w:val="25"/>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r>
      <w:tr>
        <w:trPr>
          <w:trHeight w:val="411"/>
        </w:trPr>
        <w:tc>
          <w:tcPr>
            <w:tcW w:w="16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155">
              <w:r>
                <w:rPr>
                  <w:rFonts w:ascii="Arial" w:cs="Arial" w:eastAsia="Arial" w:hAnsi="Arial"/>
                  <w:sz w:val="18"/>
                  <w:szCs w:val="18"/>
                  <w:color w:val="0000EE"/>
                  <w:w w:val="95"/>
                </w:rPr>
                <w:t>VAXART BUSINESS</w:t>
              </w:r>
            </w:hyperlink>
          </w:p>
        </w:tc>
        <w:tc>
          <w:tcPr>
            <w:tcW w:w="8880" w:type="dxa"/>
            <w:vAlign w:val="bottom"/>
            <w:gridSpan w:val="3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11"/>
        </w:trPr>
        <w:tc>
          <w:tcPr>
            <w:tcW w:w="66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55">
              <w:r>
                <w:rPr>
                  <w:rFonts w:ascii="Arial" w:cs="Arial" w:eastAsia="Arial" w:hAnsi="Arial"/>
                  <w:sz w:val="18"/>
                  <w:szCs w:val="18"/>
                  <w:color w:val="0000EE"/>
                  <w:w w:val="93"/>
                </w:rPr>
                <w:t>Overview</w:t>
              </w:r>
            </w:hyperlink>
          </w:p>
        </w:tc>
        <w:tc>
          <w:tcPr>
            <w:tcW w:w="9120" w:type="dxa"/>
            <w:vAlign w:val="bottom"/>
            <w:gridSpan w:val="3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55">
              <w:r>
                <w:rPr>
                  <w:rFonts w:ascii="Arial" w:cs="Arial" w:eastAsia="Arial" w:hAnsi="Arial"/>
                  <w:sz w:val="18"/>
                  <w:szCs w:val="18"/>
                  <w:color w:val="0000EE"/>
                </w:rPr>
                <w:t>Vaxart Development Programs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r>
      <w:tr>
        <w:trPr>
          <w:trHeight w:val="195"/>
        </w:trPr>
        <w:tc>
          <w:tcPr>
            <w:tcW w:w="660" w:type="dxa"/>
            <w:vAlign w:val="bottom"/>
          </w:tcPr>
          <w:p>
            <w:pPr>
              <w:spacing w:after="0"/>
              <w:rPr>
                <w:sz w:val="16"/>
                <w:szCs w:val="16"/>
                <w:color w:val="auto"/>
              </w:rPr>
            </w:pPr>
          </w:p>
        </w:tc>
        <w:tc>
          <w:tcPr>
            <w:tcW w:w="158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2"/>
              </w:rPr>
            </w:pPr>
            <w:hyperlink w:anchor="page214">
              <w:r>
                <w:rPr>
                  <w:rFonts w:ascii="Arial" w:cs="Arial" w:eastAsia="Arial" w:hAnsi="Arial"/>
                  <w:sz w:val="18"/>
                  <w:szCs w:val="18"/>
                  <w:color w:val="0000EE"/>
                  <w:w w:val="92"/>
                </w:rPr>
                <w:t>Additional Objectives</w:t>
              </w:r>
            </w:hyperlink>
          </w:p>
        </w:tc>
        <w:tc>
          <w:tcPr>
            <w:tcW w:w="620" w:type="dxa"/>
            <w:vAlign w:val="bottom"/>
            <w:tcBorders>
              <w:top w:val="single" w:sz="8" w:color="0000EE"/>
            </w:tcBorders>
            <w:gridSpan w:val="6"/>
          </w:tcPr>
          <w:p>
            <w:pPr>
              <w:spacing w:after="0"/>
              <w:rPr>
                <w:sz w:val="16"/>
                <w:szCs w:val="16"/>
                <w:color w:val="auto"/>
              </w:rPr>
            </w:pPr>
          </w:p>
        </w:tc>
        <w:tc>
          <w:tcPr>
            <w:tcW w:w="7640" w:type="dxa"/>
            <w:vAlign w:val="bottom"/>
            <w:gridSpan w:val="20"/>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144</w:t>
            </w:r>
          </w:p>
        </w:tc>
      </w:tr>
      <w:tr>
        <w:trPr>
          <w:trHeight w:val="195"/>
        </w:trPr>
        <w:tc>
          <w:tcPr>
            <w:tcW w:w="660" w:type="dxa"/>
            <w:vAlign w:val="bottom"/>
          </w:tcPr>
          <w:p>
            <w:pPr>
              <w:spacing w:after="0"/>
              <w:rPr>
                <w:sz w:val="16"/>
                <w:szCs w:val="16"/>
                <w:color w:val="auto"/>
              </w:rPr>
            </w:pPr>
          </w:p>
        </w:tc>
        <w:tc>
          <w:tcPr>
            <w:tcW w:w="122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Vaxart’s Pipeline</w:t>
              </w:r>
            </w:hyperlink>
          </w:p>
        </w:tc>
        <w:tc>
          <w:tcPr>
            <w:tcW w:w="8620" w:type="dxa"/>
            <w:vAlign w:val="bottom"/>
            <w:gridSpan w:val="33"/>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145</w:t>
            </w:r>
          </w:p>
        </w:tc>
      </w:tr>
      <w:tr>
        <w:trPr>
          <w:trHeight w:val="195"/>
        </w:trPr>
        <w:tc>
          <w:tcPr>
            <w:tcW w:w="660" w:type="dxa"/>
            <w:vAlign w:val="bottom"/>
          </w:tcPr>
          <w:p>
            <w:pPr>
              <w:spacing w:after="0"/>
              <w:rPr>
                <w:sz w:val="16"/>
                <w:szCs w:val="16"/>
                <w:color w:val="auto"/>
              </w:rPr>
            </w:pPr>
          </w:p>
        </w:tc>
        <w:tc>
          <w:tcPr>
            <w:tcW w:w="2360" w:type="dxa"/>
            <w:vAlign w:val="bottom"/>
            <w:tcBorders>
              <w:bottom w:val="single" w:sz="8" w:color="0000EE"/>
            </w:tcBorders>
            <w:gridSpan w:val="27"/>
          </w:tcPr>
          <w:p>
            <w:pPr>
              <w:spacing w:after="0" w:line="195"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Vaxart’s Tablet Vaccine Platform</w:t>
              </w:r>
            </w:hyperlink>
          </w:p>
        </w:tc>
        <w:tc>
          <w:tcPr>
            <w:tcW w:w="7480" w:type="dxa"/>
            <w:vAlign w:val="bottom"/>
            <w:gridSpan w:val="16"/>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145</w:t>
            </w:r>
          </w:p>
        </w:tc>
      </w:tr>
      <w:tr>
        <w:trPr>
          <w:trHeight w:val="195"/>
        </w:trPr>
        <w:tc>
          <w:tcPr>
            <w:tcW w:w="660" w:type="dxa"/>
            <w:vAlign w:val="bottom"/>
          </w:tcPr>
          <w:p>
            <w:pPr>
              <w:spacing w:after="0"/>
              <w:rPr>
                <w:sz w:val="16"/>
                <w:szCs w:val="16"/>
                <w:color w:val="auto"/>
              </w:rPr>
            </w:pPr>
          </w:p>
        </w:tc>
        <w:tc>
          <w:tcPr>
            <w:tcW w:w="2020" w:type="dxa"/>
            <w:vAlign w:val="bottom"/>
            <w:tcBorders>
              <w:bottom w:val="single" w:sz="8" w:color="0000EE"/>
            </w:tcBorders>
            <w:gridSpan w:val="22"/>
          </w:tcPr>
          <w:p>
            <w:pPr>
              <w:spacing w:after="0" w:line="195"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Vaxart’s Norovirus Program</w:t>
              </w:r>
            </w:hyperlink>
          </w:p>
        </w:tc>
        <w:tc>
          <w:tcPr>
            <w:tcW w:w="7820" w:type="dxa"/>
            <w:vAlign w:val="bottom"/>
            <w:gridSpan w:val="21"/>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69">
              <w:r>
                <w:rPr>
                  <w:rFonts w:ascii="Arial" w:cs="Arial" w:eastAsia="Arial" w:hAnsi="Arial"/>
                  <w:sz w:val="18"/>
                  <w:szCs w:val="18"/>
                  <w:color w:val="0000EE"/>
                </w:rPr>
                <w:t>Vaxart’s Seasonal Influenza Program</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157</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3800" w:type="dxa"/>
            <w:vAlign w:val="bottom"/>
            <w:tcBorders>
              <w:bottom w:val="single" w:sz="8" w:color="0000EE"/>
            </w:tcBorders>
            <w:gridSpan w:val="37"/>
          </w:tcPr>
          <w:p>
            <w:pPr>
              <w:spacing w:after="0" w:line="195" w:lineRule="exact"/>
              <w:rPr>
                <w:rFonts w:ascii="Arial" w:cs="Arial" w:eastAsia="Arial" w:hAnsi="Arial"/>
                <w:sz w:val="18"/>
                <w:szCs w:val="18"/>
                <w:color w:val="0000EE"/>
                <w:w w:val="91"/>
              </w:rPr>
            </w:pPr>
            <w:hyperlink w:anchor="page176">
              <w:r>
                <w:rPr>
                  <w:rFonts w:ascii="Arial" w:cs="Arial" w:eastAsia="Arial" w:hAnsi="Arial"/>
                  <w:sz w:val="18"/>
                  <w:szCs w:val="18"/>
                  <w:color w:val="0000EE"/>
                  <w:w w:val="91"/>
                </w:rPr>
                <w:t>Vaxart’s Respiratory Syncytial Virus (RSV) Program</w:t>
              </w:r>
            </w:hyperlink>
          </w:p>
        </w:tc>
        <w:tc>
          <w:tcPr>
            <w:tcW w:w="6040" w:type="dxa"/>
            <w:vAlign w:val="bottom"/>
            <w:gridSpan w:val="6"/>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164</w:t>
            </w:r>
          </w:p>
        </w:tc>
      </w:tr>
      <w:tr>
        <w:trPr>
          <w:trHeight w:val="195"/>
        </w:trPr>
        <w:tc>
          <w:tcPr>
            <w:tcW w:w="660" w:type="dxa"/>
            <w:vAlign w:val="bottom"/>
          </w:tcPr>
          <w:p>
            <w:pPr>
              <w:spacing w:after="0"/>
              <w:rPr>
                <w:sz w:val="16"/>
                <w:szCs w:val="16"/>
                <w:color w:val="auto"/>
              </w:rPr>
            </w:pPr>
          </w:p>
        </w:tc>
        <w:tc>
          <w:tcPr>
            <w:tcW w:w="5100" w:type="dxa"/>
            <w:vAlign w:val="bottom"/>
            <w:tcBorders>
              <w:bottom w:val="single" w:sz="8" w:color="0000EE"/>
            </w:tcBorders>
            <w:gridSpan w:val="39"/>
          </w:tcPr>
          <w:p>
            <w:pPr>
              <w:spacing w:after="0" w:line="195"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Vaxart’s Human Papillomavirus (HPV) Therapeutic Vaccine Candidate</w:t>
              </w:r>
            </w:hyperlink>
          </w:p>
        </w:tc>
        <w:tc>
          <w:tcPr>
            <w:tcW w:w="4740" w:type="dxa"/>
            <w:vAlign w:val="bottom"/>
            <w:gridSpan w:val="4"/>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168</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83">
              <w:r>
                <w:rPr>
                  <w:rFonts w:ascii="Arial" w:cs="Arial" w:eastAsia="Arial" w:hAnsi="Arial"/>
                  <w:sz w:val="18"/>
                  <w:szCs w:val="18"/>
                  <w:color w:val="0000EE"/>
                </w:rPr>
                <w:t>Other Indications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171</w:t>
            </w:r>
          </w:p>
        </w:tc>
      </w:tr>
      <w:tr>
        <w:trPr>
          <w:trHeight w:val="195"/>
        </w:trPr>
        <w:tc>
          <w:tcPr>
            <w:tcW w:w="660" w:type="dxa"/>
            <w:vAlign w:val="bottom"/>
          </w:tcPr>
          <w:p>
            <w:pPr>
              <w:spacing w:after="0"/>
              <w:rPr>
                <w:sz w:val="16"/>
                <w:szCs w:val="16"/>
                <w:color w:val="auto"/>
              </w:rPr>
            </w:pPr>
          </w:p>
        </w:tc>
        <w:tc>
          <w:tcPr>
            <w:tcW w:w="106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1"/>
              </w:rPr>
            </w:pPr>
            <w:hyperlink w:anchor="page183">
              <w:r>
                <w:rPr>
                  <w:rFonts w:ascii="Arial" w:cs="Arial" w:eastAsia="Arial" w:hAnsi="Arial"/>
                  <w:sz w:val="18"/>
                  <w:szCs w:val="18"/>
                  <w:color w:val="0000EE"/>
                  <w:w w:val="91"/>
                </w:rPr>
                <w:t>Manufacturing</w:t>
              </w:r>
            </w:hyperlink>
          </w:p>
        </w:tc>
        <w:tc>
          <w:tcPr>
            <w:tcW w:w="180" w:type="dxa"/>
            <w:vAlign w:val="bottom"/>
            <w:tcBorders>
              <w:top w:val="single" w:sz="8" w:color="0000EE"/>
            </w:tcBorders>
            <w:gridSpan w:val="2"/>
          </w:tcPr>
          <w:p>
            <w:pPr>
              <w:spacing w:after="0"/>
              <w:rPr>
                <w:sz w:val="16"/>
                <w:szCs w:val="16"/>
                <w:color w:val="auto"/>
              </w:rPr>
            </w:pPr>
          </w:p>
        </w:tc>
        <w:tc>
          <w:tcPr>
            <w:tcW w:w="8600" w:type="dxa"/>
            <w:vAlign w:val="bottom"/>
            <w:gridSpan w:val="32"/>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171</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84">
              <w:r>
                <w:rPr>
                  <w:rFonts w:ascii="Arial" w:cs="Arial" w:eastAsia="Arial" w:hAnsi="Arial"/>
                  <w:sz w:val="18"/>
                  <w:szCs w:val="18"/>
                  <w:color w:val="0000EE"/>
                </w:rPr>
                <w:t>Research and Development</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172</w:t>
            </w:r>
          </w:p>
        </w:tc>
      </w:tr>
      <w:tr>
        <w:trPr>
          <w:trHeight w:val="195"/>
        </w:trPr>
        <w:tc>
          <w:tcPr>
            <w:tcW w:w="6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1"/>
              </w:rPr>
            </w:pPr>
            <w:hyperlink w:anchor="page184">
              <w:r>
                <w:rPr>
                  <w:rFonts w:ascii="Arial" w:cs="Arial" w:eastAsia="Arial" w:hAnsi="Arial"/>
                  <w:sz w:val="18"/>
                  <w:szCs w:val="18"/>
                  <w:color w:val="0000EE"/>
                  <w:w w:val="91"/>
                </w:rPr>
                <w:t>Competition</w:t>
              </w:r>
            </w:hyperlink>
          </w:p>
        </w:tc>
        <w:tc>
          <w:tcPr>
            <w:tcW w:w="1060" w:type="dxa"/>
            <w:vAlign w:val="bottom"/>
            <w:tcBorders>
              <w:top w:val="single" w:sz="8" w:color="0000EE"/>
            </w:tcBorders>
            <w:gridSpan w:val="15"/>
          </w:tcPr>
          <w:p>
            <w:pPr>
              <w:spacing w:after="0"/>
              <w:rPr>
                <w:sz w:val="16"/>
                <w:szCs w:val="16"/>
                <w:color w:val="auto"/>
              </w:rPr>
            </w:pPr>
          </w:p>
        </w:tc>
        <w:tc>
          <w:tcPr>
            <w:tcW w:w="7880" w:type="dxa"/>
            <w:vAlign w:val="bottom"/>
            <w:gridSpan w:val="22"/>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172</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85">
              <w:r>
                <w:rPr>
                  <w:rFonts w:ascii="Arial" w:cs="Arial" w:eastAsia="Arial" w:hAnsi="Arial"/>
                  <w:sz w:val="18"/>
                  <w:szCs w:val="18"/>
                  <w:color w:val="0000EE"/>
                </w:rPr>
                <w:t>Intellectual Property</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195"/>
        </w:trPr>
        <w:tc>
          <w:tcPr>
            <w:tcW w:w="660" w:type="dxa"/>
            <w:vAlign w:val="bottom"/>
          </w:tcPr>
          <w:p>
            <w:pPr>
              <w:spacing w:after="0"/>
              <w:rPr>
                <w:sz w:val="16"/>
                <w:szCs w:val="16"/>
                <w:color w:val="auto"/>
              </w:rPr>
            </w:pPr>
          </w:p>
        </w:tc>
        <w:tc>
          <w:tcPr>
            <w:tcW w:w="146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w:anchor="page186">
              <w:r>
                <w:rPr>
                  <w:rFonts w:ascii="Arial" w:cs="Arial" w:eastAsia="Arial" w:hAnsi="Arial"/>
                  <w:sz w:val="18"/>
                  <w:szCs w:val="18"/>
                  <w:color w:val="0000EE"/>
                </w:rPr>
                <w:t>Trade Secrets</w:t>
              </w:r>
            </w:hyperlink>
          </w:p>
        </w:tc>
        <w:tc>
          <w:tcPr>
            <w:tcW w:w="8380" w:type="dxa"/>
            <w:vAlign w:val="bottom"/>
            <w:gridSpan w:val="28"/>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174</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3360" w:type="dxa"/>
            <w:vAlign w:val="bottom"/>
            <w:tcBorders>
              <w:bottom w:val="single" w:sz="8" w:color="0000EE"/>
            </w:tcBorders>
            <w:gridSpan w:val="35"/>
          </w:tcPr>
          <w:p>
            <w:pPr>
              <w:spacing w:after="0" w:line="195"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Government Regulation and Product Approval</w:t>
              </w:r>
            </w:hyperlink>
          </w:p>
        </w:tc>
        <w:tc>
          <w:tcPr>
            <w:tcW w:w="6480" w:type="dxa"/>
            <w:vAlign w:val="bottom"/>
            <w:gridSpan w:val="8"/>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174</w:t>
            </w:r>
          </w:p>
        </w:tc>
      </w:tr>
      <w:tr>
        <w:trPr>
          <w:trHeight w:val="195"/>
        </w:trPr>
        <w:tc>
          <w:tcPr>
            <w:tcW w:w="660" w:type="dxa"/>
            <w:vAlign w:val="bottom"/>
          </w:tcPr>
          <w:p>
            <w:pPr>
              <w:spacing w:after="0"/>
              <w:rPr>
                <w:sz w:val="16"/>
                <w:szCs w:val="16"/>
                <w:color w:val="auto"/>
              </w:rPr>
            </w:pPr>
          </w:p>
        </w:tc>
        <w:tc>
          <w:tcPr>
            <w:tcW w:w="2520" w:type="dxa"/>
            <w:vAlign w:val="bottom"/>
            <w:tcBorders>
              <w:bottom w:val="single" w:sz="8" w:color="0000EE"/>
            </w:tcBorders>
            <w:gridSpan w:val="29"/>
          </w:tcPr>
          <w:p>
            <w:pPr>
              <w:spacing w:after="0" w:line="195"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U.S. Product Development Process</w:t>
              </w:r>
            </w:hyperlink>
          </w:p>
        </w:tc>
        <w:tc>
          <w:tcPr>
            <w:tcW w:w="7320" w:type="dxa"/>
            <w:vAlign w:val="bottom"/>
            <w:gridSpan w:val="14"/>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174</w:t>
            </w:r>
          </w:p>
        </w:tc>
      </w:tr>
      <w:tr>
        <w:trPr>
          <w:trHeight w:val="195"/>
        </w:trPr>
        <w:tc>
          <w:tcPr>
            <w:tcW w:w="660" w:type="dxa"/>
            <w:vAlign w:val="bottom"/>
          </w:tcPr>
          <w:p>
            <w:pPr>
              <w:spacing w:after="0"/>
              <w:rPr>
                <w:sz w:val="16"/>
                <w:szCs w:val="16"/>
                <w:color w:val="auto"/>
              </w:rPr>
            </w:pPr>
          </w:p>
        </w:tc>
        <w:tc>
          <w:tcPr>
            <w:tcW w:w="800" w:type="dxa"/>
            <w:vAlign w:val="bottom"/>
            <w:tcBorders>
              <w:bottom w:val="single" w:sz="8" w:color="0000EE"/>
            </w:tcBorders>
            <w:gridSpan w:val="5"/>
          </w:tcPr>
          <w:p>
            <w:pPr>
              <w:spacing w:after="0" w:line="195"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Employees</w:t>
              </w:r>
            </w:hyperlink>
          </w:p>
        </w:tc>
        <w:tc>
          <w:tcPr>
            <w:tcW w:w="9040" w:type="dxa"/>
            <w:vAlign w:val="bottom"/>
            <w:gridSpan w:val="38"/>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92">
              <w:r>
                <w:rPr>
                  <w:rFonts w:ascii="Arial" w:cs="Arial" w:eastAsia="Arial" w:hAnsi="Arial"/>
                  <w:sz w:val="18"/>
                  <w:szCs w:val="18"/>
                  <w:color w:val="0000EE"/>
                </w:rPr>
                <w:t>Advisors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660" w:type="dxa"/>
            <w:vAlign w:val="bottom"/>
            <w:tcBorders>
              <w:bottom w:val="single" w:sz="8" w:color="0000EE"/>
            </w:tcBorders>
            <w:gridSpan w:val="2"/>
          </w:tcPr>
          <w:p>
            <w:pPr>
              <w:spacing w:after="0" w:line="195"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Facilities</w:t>
              </w:r>
            </w:hyperlink>
          </w:p>
        </w:tc>
        <w:tc>
          <w:tcPr>
            <w:tcW w:w="9180" w:type="dxa"/>
            <w:vAlign w:val="bottom"/>
            <w:gridSpan w:val="41"/>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92">
              <w:r>
                <w:rPr>
                  <w:rFonts w:ascii="Arial" w:cs="Arial" w:eastAsia="Arial" w:hAnsi="Arial"/>
                  <w:sz w:val="18"/>
                  <w:szCs w:val="18"/>
                  <w:color w:val="0000EE"/>
                </w:rPr>
                <w:t>Legal Proceedings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20"/>
        </w:trPr>
        <w:tc>
          <w:tcPr>
            <w:tcW w:w="6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1"/>
        </w:trPr>
        <w:tc>
          <w:tcPr>
            <w:tcW w:w="9860" w:type="dxa"/>
            <w:vAlign w:val="bottom"/>
            <w:tcBorders>
              <w:bottom w:val="single" w:sz="8" w:color="0000EE"/>
            </w:tcBorders>
            <w:gridSpan w:val="43"/>
          </w:tcPr>
          <w:p>
            <w:pPr>
              <w:spacing w:after="0"/>
              <w:rPr>
                <w:rFonts w:ascii="Arial" w:cs="Arial" w:eastAsia="Arial" w:hAnsi="Arial"/>
                <w:sz w:val="18"/>
                <w:szCs w:val="18"/>
                <w:color w:val="0000EE"/>
                <w:w w:val="96"/>
              </w:rPr>
            </w:pPr>
            <w:hyperlink w:anchor="page193">
              <w:r>
                <w:rPr>
                  <w:rFonts w:ascii="Arial" w:cs="Arial" w:eastAsia="Arial" w:hAnsi="Arial"/>
                  <w:sz w:val="18"/>
                  <w:szCs w:val="18"/>
                  <w:color w:val="0000EE"/>
                  <w:w w:val="96"/>
                </w:rPr>
                <w:t>AVIRAGEN MANAGEMENT’S DISCUSSION AND ANALYSIS OF FINANCIAL CONDITION AND RESULTS OF OPERATIONS</w:t>
              </w:r>
            </w:hyperlink>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411"/>
        </w:trPr>
        <w:tc>
          <w:tcPr>
            <w:tcW w:w="660" w:type="dxa"/>
            <w:vAlign w:val="bottom"/>
          </w:tcPr>
          <w:p>
            <w:pPr>
              <w:spacing w:after="0"/>
              <w:rPr>
                <w:sz w:val="24"/>
                <w:szCs w:val="24"/>
                <w:color w:val="auto"/>
              </w:rPr>
            </w:pPr>
          </w:p>
        </w:tc>
        <w:tc>
          <w:tcPr>
            <w:tcW w:w="9840" w:type="dxa"/>
            <w:vAlign w:val="bottom"/>
            <w:gridSpan w:val="43"/>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Overview</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6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260" w:type="dxa"/>
            <w:vAlign w:val="bottom"/>
            <w:tcBorders>
              <w:bottom w:val="single" w:sz="8" w:color="0000EE"/>
            </w:tcBorders>
            <w:gridSpan w:val="25"/>
          </w:tcPr>
          <w:p>
            <w:pPr>
              <w:spacing w:after="0" w:line="195"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Financial Operations Overview</w:t>
              </w:r>
            </w:hyperlink>
          </w:p>
        </w:tc>
        <w:tc>
          <w:tcPr>
            <w:tcW w:w="7580" w:type="dxa"/>
            <w:vAlign w:val="bottom"/>
            <w:gridSpan w:val="18"/>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181</w:t>
            </w:r>
          </w:p>
        </w:tc>
      </w:tr>
      <w:tr>
        <w:trPr>
          <w:trHeight w:val="195"/>
        </w:trPr>
        <w:tc>
          <w:tcPr>
            <w:tcW w:w="660" w:type="dxa"/>
            <w:vAlign w:val="bottom"/>
          </w:tcPr>
          <w:p>
            <w:pPr>
              <w:spacing w:after="0"/>
              <w:rPr>
                <w:sz w:val="16"/>
                <w:szCs w:val="16"/>
                <w:color w:val="auto"/>
              </w:rPr>
            </w:pPr>
          </w:p>
        </w:tc>
        <w:tc>
          <w:tcPr>
            <w:tcW w:w="3080" w:type="dxa"/>
            <w:vAlign w:val="bottom"/>
            <w:tcBorders>
              <w:bottom w:val="single" w:sz="8" w:color="0000EE"/>
            </w:tcBorders>
            <w:gridSpan w:val="34"/>
          </w:tcPr>
          <w:p>
            <w:pPr>
              <w:spacing w:after="0" w:line="195"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Critical Accounting Policies and Estimates</w:t>
              </w:r>
            </w:hyperlink>
          </w:p>
        </w:tc>
        <w:tc>
          <w:tcPr>
            <w:tcW w:w="6760" w:type="dxa"/>
            <w:vAlign w:val="bottom"/>
            <w:gridSpan w:val="9"/>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182</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196">
              <w:r>
                <w:rPr>
                  <w:rFonts w:ascii="Arial" w:cs="Arial" w:eastAsia="Arial" w:hAnsi="Arial"/>
                  <w:sz w:val="18"/>
                  <w:szCs w:val="18"/>
                  <w:color w:val="0000EE"/>
                </w:rPr>
                <w:t>Results of Operations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20"/>
        </w:trPr>
        <w:tc>
          <w:tcPr>
            <w:tcW w:w="660" w:type="dxa"/>
            <w:vAlign w:val="bottom"/>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320" w:type="dxa"/>
            <w:vAlign w:val="bottom"/>
            <w:tcBorders>
              <w:bottom w:val="single" w:sz="8" w:color="0000EE"/>
            </w:tcBorders>
            <w:gridSpan w:val="26"/>
          </w:tcPr>
          <w:p>
            <w:pPr>
              <w:spacing w:after="0" w:line="195"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Liquidity and Capital Resources</w:t>
              </w:r>
            </w:hyperlink>
          </w:p>
        </w:tc>
        <w:tc>
          <w:tcPr>
            <w:tcW w:w="7520" w:type="dxa"/>
            <w:vAlign w:val="bottom"/>
            <w:gridSpan w:val="17"/>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186</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200">
              <w:r>
                <w:rPr>
                  <w:rFonts w:ascii="Arial" w:cs="Arial" w:eastAsia="Arial" w:hAnsi="Arial"/>
                  <w:sz w:val="18"/>
                  <w:szCs w:val="18"/>
                  <w:color w:val="0000EE"/>
                </w:rPr>
                <w:t>Off-Balance Sheet Arrangements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188</w:t>
            </w:r>
          </w:p>
        </w:tc>
      </w:tr>
      <w:tr>
        <w:trPr>
          <w:trHeight w:val="20"/>
        </w:trPr>
        <w:tc>
          <w:tcPr>
            <w:tcW w:w="660" w:type="dxa"/>
            <w:vAlign w:val="bottom"/>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1"/>
        </w:trPr>
        <w:tc>
          <w:tcPr>
            <w:tcW w:w="9660" w:type="dxa"/>
            <w:vAlign w:val="bottom"/>
            <w:tcBorders>
              <w:bottom w:val="single" w:sz="8" w:color="0000EE"/>
            </w:tcBorders>
            <w:gridSpan w:val="42"/>
          </w:tcPr>
          <w:p>
            <w:pPr>
              <w:spacing w:after="0"/>
              <w:rPr>
                <w:rFonts w:ascii="Arial" w:cs="Arial" w:eastAsia="Arial" w:hAnsi="Arial"/>
                <w:sz w:val="18"/>
                <w:szCs w:val="18"/>
                <w:color w:val="0000EE"/>
                <w:w w:val="96"/>
              </w:rPr>
            </w:pPr>
            <w:hyperlink w:anchor="page201">
              <w:r>
                <w:rPr>
                  <w:rFonts w:ascii="Arial" w:cs="Arial" w:eastAsia="Arial" w:hAnsi="Arial"/>
                  <w:sz w:val="18"/>
                  <w:szCs w:val="18"/>
                  <w:color w:val="0000EE"/>
                  <w:w w:val="96"/>
                </w:rPr>
                <w:t>VAXART MANAGEMENT’S DISCUSSION AND ANALYSIS OF FINANCIAL CONDITION AND RESULTS OF OPERATIONS</w:t>
              </w:r>
            </w:hyperlink>
          </w:p>
        </w:tc>
        <w:tc>
          <w:tcPr>
            <w:tcW w:w="8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411"/>
        </w:trPr>
        <w:tc>
          <w:tcPr>
            <w:tcW w:w="660" w:type="dxa"/>
            <w:vAlign w:val="bottom"/>
          </w:tcPr>
          <w:p>
            <w:pPr>
              <w:spacing w:after="0"/>
              <w:rPr>
                <w:sz w:val="24"/>
                <w:szCs w:val="24"/>
                <w:color w:val="auto"/>
              </w:rPr>
            </w:pPr>
          </w:p>
        </w:tc>
        <w:tc>
          <w:tcPr>
            <w:tcW w:w="9840" w:type="dxa"/>
            <w:vAlign w:val="bottom"/>
            <w:gridSpan w:val="43"/>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Overview</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6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202">
              <w:r>
                <w:rPr>
                  <w:rFonts w:ascii="Arial" w:cs="Arial" w:eastAsia="Arial" w:hAnsi="Arial"/>
                  <w:sz w:val="18"/>
                  <w:szCs w:val="18"/>
                  <w:color w:val="0000EE"/>
                </w:rPr>
                <w:t>Financial Operations Overview</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190</w:t>
            </w:r>
          </w:p>
        </w:tc>
      </w:tr>
      <w:tr>
        <w:trPr>
          <w:trHeight w:val="195"/>
        </w:trPr>
        <w:tc>
          <w:tcPr>
            <w:tcW w:w="660" w:type="dxa"/>
            <w:vAlign w:val="bottom"/>
          </w:tcPr>
          <w:p>
            <w:pPr>
              <w:spacing w:after="0"/>
              <w:rPr>
                <w:sz w:val="16"/>
                <w:szCs w:val="16"/>
                <w:color w:val="auto"/>
              </w:rPr>
            </w:pPr>
          </w:p>
        </w:tc>
        <w:tc>
          <w:tcPr>
            <w:tcW w:w="2240" w:type="dxa"/>
            <w:vAlign w:val="bottom"/>
            <w:tcBorders>
              <w:top w:val="single" w:sz="8" w:color="0000EE"/>
            </w:tcBorders>
            <w:gridSpan w:val="24"/>
          </w:tcPr>
          <w:p>
            <w:pPr>
              <w:spacing w:after="0" w:line="195" w:lineRule="exact"/>
              <w:rPr>
                <w:rFonts w:ascii="Arial" w:cs="Arial" w:eastAsia="Arial" w:hAnsi="Arial"/>
                <w:sz w:val="18"/>
                <w:szCs w:val="18"/>
                <w:color w:val="0000EE"/>
              </w:rPr>
            </w:pPr>
            <w:hyperlink w:anchor="page203">
              <w:r>
                <w:rPr>
                  <w:rFonts w:ascii="Arial" w:cs="Arial" w:eastAsia="Arial" w:hAnsi="Arial"/>
                  <w:sz w:val="18"/>
                  <w:szCs w:val="18"/>
                  <w:color w:val="0000EE"/>
                </w:rPr>
                <w:t>Results of Operations</w:t>
              </w:r>
            </w:hyperlink>
          </w:p>
        </w:tc>
        <w:tc>
          <w:tcPr>
            <w:tcW w:w="7600" w:type="dxa"/>
            <w:vAlign w:val="bottom"/>
            <w:gridSpan w:val="19"/>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191</w:t>
            </w:r>
          </w:p>
        </w:tc>
      </w:tr>
      <w:tr>
        <w:trPr>
          <w:trHeight w:val="20"/>
        </w:trPr>
        <w:tc>
          <w:tcPr>
            <w:tcW w:w="660" w:type="dxa"/>
            <w:vAlign w:val="bottom"/>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320" w:type="dxa"/>
            <w:vAlign w:val="bottom"/>
            <w:tcBorders>
              <w:bottom w:val="single" w:sz="8" w:color="0000EE"/>
            </w:tcBorders>
            <w:gridSpan w:val="26"/>
          </w:tcPr>
          <w:p>
            <w:pPr>
              <w:spacing w:after="0" w:line="195"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Liquidity and Capital Resources</w:t>
              </w:r>
            </w:hyperlink>
          </w:p>
        </w:tc>
        <w:tc>
          <w:tcPr>
            <w:tcW w:w="7520" w:type="dxa"/>
            <w:vAlign w:val="bottom"/>
            <w:gridSpan w:val="17"/>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194</w:t>
            </w:r>
          </w:p>
        </w:tc>
      </w:tr>
      <w:tr>
        <w:trPr>
          <w:trHeight w:val="195"/>
        </w:trPr>
        <w:tc>
          <w:tcPr>
            <w:tcW w:w="660" w:type="dxa"/>
            <w:vAlign w:val="bottom"/>
          </w:tcPr>
          <w:p>
            <w:pPr>
              <w:spacing w:after="0"/>
              <w:rPr>
                <w:sz w:val="16"/>
                <w:szCs w:val="16"/>
                <w:color w:val="auto"/>
              </w:rPr>
            </w:pPr>
          </w:p>
        </w:tc>
        <w:tc>
          <w:tcPr>
            <w:tcW w:w="3540" w:type="dxa"/>
            <w:vAlign w:val="bottom"/>
            <w:tcBorders>
              <w:bottom w:val="single" w:sz="8" w:color="0000EE"/>
            </w:tcBorders>
            <w:gridSpan w:val="36"/>
          </w:tcPr>
          <w:p>
            <w:pPr>
              <w:spacing w:after="0" w:line="195"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Contractual Obligations and Other Commitments</w:t>
              </w:r>
            </w:hyperlink>
          </w:p>
        </w:tc>
        <w:tc>
          <w:tcPr>
            <w:tcW w:w="6300" w:type="dxa"/>
            <w:vAlign w:val="bottom"/>
            <w:gridSpan w:val="7"/>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196</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Off-Balance Sheet Arrangements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196</w:t>
            </w:r>
          </w:p>
        </w:tc>
      </w:tr>
      <w:tr>
        <w:trPr>
          <w:trHeight w:val="20"/>
        </w:trPr>
        <w:tc>
          <w:tcPr>
            <w:tcW w:w="660" w:type="dxa"/>
            <w:vAlign w:val="bottom"/>
          </w:tcPr>
          <w:p>
            <w:pPr>
              <w:spacing w:after="0" w:line="20" w:lineRule="exact"/>
              <w:rPr>
                <w:sz w:val="1"/>
                <w:szCs w:val="1"/>
                <w:color w:val="auto"/>
              </w:rPr>
            </w:pPr>
          </w:p>
        </w:tc>
        <w:tc>
          <w:tcPr>
            <w:tcW w:w="1000" w:type="dxa"/>
            <w:vAlign w:val="bottom"/>
            <w:gridSpan w:val="8"/>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208">
              <w:r>
                <w:rPr>
                  <w:rFonts w:ascii="Arial" w:cs="Arial" w:eastAsia="Arial" w:hAnsi="Arial"/>
                  <w:sz w:val="18"/>
                  <w:szCs w:val="18"/>
                  <w:color w:val="0000EE"/>
                </w:rPr>
                <w:t>Quantitative and Qualitative Disclosures about Market Risk</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196</w:t>
            </w:r>
          </w:p>
        </w:tc>
      </w:tr>
      <w:tr>
        <w:trPr>
          <w:trHeight w:val="195"/>
        </w:trPr>
        <w:tc>
          <w:tcPr>
            <w:tcW w:w="660" w:type="dxa"/>
            <w:vAlign w:val="bottom"/>
          </w:tcPr>
          <w:p>
            <w:pPr>
              <w:spacing w:after="0"/>
              <w:rPr>
                <w:sz w:val="16"/>
                <w:szCs w:val="16"/>
                <w:color w:val="auto"/>
              </w:rPr>
            </w:pPr>
          </w:p>
        </w:tc>
        <w:tc>
          <w:tcPr>
            <w:tcW w:w="4280" w:type="dxa"/>
            <w:vAlign w:val="bottom"/>
            <w:tcBorders>
              <w:top w:val="single" w:sz="8" w:color="0000EE"/>
            </w:tcBorders>
            <w:gridSpan w:val="38"/>
          </w:tcPr>
          <w:p>
            <w:pPr>
              <w:spacing w:after="0" w:line="195" w:lineRule="exact"/>
              <w:rPr>
                <w:rFonts w:ascii="Arial" w:cs="Arial" w:eastAsia="Arial" w:hAnsi="Arial"/>
                <w:sz w:val="18"/>
                <w:szCs w:val="18"/>
                <w:color w:val="0000EE"/>
              </w:rPr>
            </w:pPr>
            <w:hyperlink w:anchor="page209">
              <w:r>
                <w:rPr>
                  <w:rFonts w:ascii="Arial" w:cs="Arial" w:eastAsia="Arial" w:hAnsi="Arial"/>
                  <w:sz w:val="18"/>
                  <w:szCs w:val="18"/>
                  <w:color w:val="0000EE"/>
                </w:rPr>
                <w:t>Critical Accounting Polices and Estimates</w:t>
              </w:r>
            </w:hyperlink>
          </w:p>
        </w:tc>
        <w:tc>
          <w:tcPr>
            <w:tcW w:w="5560" w:type="dxa"/>
            <w:vAlign w:val="bottom"/>
            <w:gridSpan w:val="5"/>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197</w:t>
            </w:r>
          </w:p>
        </w:tc>
      </w:tr>
      <w:tr>
        <w:trPr>
          <w:trHeight w:val="195"/>
        </w:trPr>
        <w:tc>
          <w:tcPr>
            <w:tcW w:w="66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86"/>
              </w:rPr>
            </w:pPr>
            <w:hyperlink w:anchor="page210">
              <w:r>
                <w:rPr>
                  <w:rFonts w:ascii="Arial" w:cs="Arial" w:eastAsia="Arial" w:hAnsi="Arial"/>
                  <w:sz w:val="18"/>
                  <w:szCs w:val="18"/>
                  <w:color w:val="0000EE"/>
                  <w:w w:val="86"/>
                </w:rPr>
                <w:t>Income Taxes</w:t>
              </w:r>
            </w:hyperlink>
          </w:p>
        </w:tc>
        <w:tc>
          <w:tcPr>
            <w:tcW w:w="2020" w:type="dxa"/>
            <w:vAlign w:val="bottom"/>
            <w:tcBorders>
              <w:top w:val="single" w:sz="8" w:color="0000EE"/>
            </w:tcBorders>
            <w:gridSpan w:val="25"/>
          </w:tcPr>
          <w:p>
            <w:pPr>
              <w:spacing w:after="0"/>
              <w:rPr>
                <w:sz w:val="16"/>
                <w:szCs w:val="16"/>
                <w:color w:val="auto"/>
              </w:rPr>
            </w:pPr>
          </w:p>
        </w:tc>
        <w:tc>
          <w:tcPr>
            <w:tcW w:w="6820" w:type="dxa"/>
            <w:vAlign w:val="bottom"/>
            <w:gridSpan w:val="10"/>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198</w:t>
            </w:r>
          </w:p>
        </w:tc>
      </w:tr>
      <w:tr>
        <w:trPr>
          <w:trHeight w:val="411"/>
        </w:trPr>
        <w:tc>
          <w:tcPr>
            <w:tcW w:w="360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211">
              <w:r>
                <w:rPr>
                  <w:rFonts w:ascii="Arial" w:cs="Arial" w:eastAsia="Arial" w:hAnsi="Arial"/>
                  <w:sz w:val="18"/>
                  <w:szCs w:val="18"/>
                  <w:color w:val="0000EE"/>
                  <w:w w:val="97"/>
                </w:rPr>
                <w:t>MANAGEMENT FOLLOWING THE MERGER</w:t>
              </w:r>
            </w:hyperlink>
          </w:p>
        </w:tc>
        <w:tc>
          <w:tcPr>
            <w:tcW w:w="6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411"/>
        </w:trPr>
        <w:tc>
          <w:tcPr>
            <w:tcW w:w="660" w:type="dxa"/>
            <w:vAlign w:val="bottom"/>
          </w:tcPr>
          <w:p>
            <w:pPr>
              <w:spacing w:after="0"/>
              <w:rPr>
                <w:sz w:val="24"/>
                <w:szCs w:val="24"/>
                <w:color w:val="auto"/>
              </w:rPr>
            </w:pPr>
          </w:p>
        </w:tc>
        <w:tc>
          <w:tcPr>
            <w:tcW w:w="9840" w:type="dxa"/>
            <w:vAlign w:val="bottom"/>
            <w:gridSpan w:val="43"/>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Executive Officers and Directors of the Combined Company Following the Merger</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195"/>
        </w:trPr>
        <w:tc>
          <w:tcPr>
            <w:tcW w:w="660" w:type="dxa"/>
            <w:vAlign w:val="bottom"/>
          </w:tcPr>
          <w:p>
            <w:pPr>
              <w:spacing w:after="0"/>
              <w:rPr>
                <w:sz w:val="16"/>
                <w:szCs w:val="16"/>
                <w:color w:val="auto"/>
              </w:rPr>
            </w:pPr>
          </w:p>
        </w:tc>
        <w:tc>
          <w:tcPr>
            <w:tcW w:w="5960" w:type="dxa"/>
            <w:vAlign w:val="bottom"/>
            <w:tcBorders>
              <w:top w:val="single" w:sz="8" w:color="0000EE"/>
            </w:tcBorders>
            <w:gridSpan w:val="40"/>
          </w:tcPr>
          <w:p>
            <w:pPr>
              <w:spacing w:after="0" w:line="195" w:lineRule="exact"/>
              <w:rPr>
                <w:rFonts w:ascii="Arial" w:cs="Arial" w:eastAsia="Arial" w:hAnsi="Arial"/>
                <w:sz w:val="18"/>
                <w:szCs w:val="18"/>
                <w:color w:val="0000EE"/>
              </w:rPr>
            </w:pPr>
            <w:hyperlink w:anchor="page213">
              <w:r>
                <w:rPr>
                  <w:rFonts w:ascii="Arial" w:cs="Arial" w:eastAsia="Arial" w:hAnsi="Arial"/>
                  <w:sz w:val="18"/>
                  <w:szCs w:val="18"/>
                  <w:color w:val="0000EE"/>
                </w:rPr>
                <w:t>Family Relationships</w:t>
              </w:r>
            </w:hyperlink>
          </w:p>
        </w:tc>
        <w:tc>
          <w:tcPr>
            <w:tcW w:w="3880" w:type="dxa"/>
            <w:vAlign w:val="bottom"/>
            <w:gridSpan w:val="3"/>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195"/>
        </w:trPr>
        <w:tc>
          <w:tcPr>
            <w:tcW w:w="660" w:type="dxa"/>
            <w:vAlign w:val="bottom"/>
          </w:tcPr>
          <w:p>
            <w:pPr>
              <w:spacing w:after="0"/>
              <w:rPr>
                <w:sz w:val="16"/>
                <w:szCs w:val="16"/>
                <w:color w:val="auto"/>
              </w:rPr>
            </w:pPr>
          </w:p>
        </w:tc>
        <w:tc>
          <w:tcPr>
            <w:tcW w:w="1540" w:type="dxa"/>
            <w:vAlign w:val="bottom"/>
            <w:tcBorders>
              <w:top w:val="single" w:sz="8" w:color="0000EE"/>
            </w:tcBorders>
            <w:gridSpan w:val="16"/>
          </w:tcPr>
          <w:p>
            <w:pPr>
              <w:spacing w:after="0" w:line="195" w:lineRule="exact"/>
              <w:rPr>
                <w:rFonts w:ascii="Arial" w:cs="Arial" w:eastAsia="Arial" w:hAnsi="Arial"/>
                <w:sz w:val="18"/>
                <w:szCs w:val="18"/>
                <w:color w:val="0000EE"/>
                <w:w w:val="97"/>
              </w:rPr>
            </w:pPr>
            <w:hyperlink w:anchor="page213">
              <w:r>
                <w:rPr>
                  <w:rFonts w:ascii="Arial" w:cs="Arial" w:eastAsia="Arial" w:hAnsi="Arial"/>
                  <w:sz w:val="18"/>
                  <w:szCs w:val="18"/>
                  <w:color w:val="0000EE"/>
                  <w:w w:val="97"/>
                </w:rPr>
                <w:t>Board Composition</w:t>
              </w:r>
            </w:hyperlink>
          </w:p>
        </w:tc>
        <w:tc>
          <w:tcPr>
            <w:tcW w:w="8300" w:type="dxa"/>
            <w:vAlign w:val="bottom"/>
            <w:gridSpan w:val="27"/>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20"/>
        </w:trPr>
        <w:tc>
          <w:tcPr>
            <w:tcW w:w="660" w:type="dxa"/>
            <w:vAlign w:val="bottom"/>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200" w:type="dxa"/>
            <w:vAlign w:val="bottom"/>
            <w:gridSpan w:val="2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1640" w:type="dxa"/>
            <w:vAlign w:val="bottom"/>
            <w:tcBorders>
              <w:bottom w:val="single" w:sz="8" w:color="0000EE"/>
            </w:tcBorders>
            <w:gridSpan w:val="19"/>
          </w:tcPr>
          <w:p>
            <w:pPr>
              <w:spacing w:after="0" w:line="195" w:lineRule="exact"/>
              <w:rPr>
                <w:rFonts w:ascii="Arial" w:cs="Arial" w:eastAsia="Arial" w:hAnsi="Arial"/>
                <w:sz w:val="18"/>
                <w:szCs w:val="18"/>
                <w:color w:val="0000EE"/>
                <w:w w:val="88"/>
              </w:rPr>
            </w:pPr>
            <w:hyperlink w:anchor="page214">
              <w:r>
                <w:rPr>
                  <w:rFonts w:ascii="Arial" w:cs="Arial" w:eastAsia="Arial" w:hAnsi="Arial"/>
                  <w:sz w:val="18"/>
                  <w:szCs w:val="18"/>
                  <w:color w:val="0000EE"/>
                  <w:w w:val="88"/>
                </w:rPr>
                <w:t>Director Independence</w:t>
              </w:r>
            </w:hyperlink>
          </w:p>
        </w:tc>
        <w:tc>
          <w:tcPr>
            <w:tcW w:w="8200" w:type="dxa"/>
            <w:vAlign w:val="bottom"/>
            <w:gridSpan w:val="24"/>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202</w:t>
            </w:r>
          </w:p>
        </w:tc>
      </w:tr>
      <w:tr>
        <w:trPr>
          <w:trHeight w:val="195"/>
        </w:trPr>
        <w:tc>
          <w:tcPr>
            <w:tcW w:w="660" w:type="dxa"/>
            <w:vAlign w:val="bottom"/>
          </w:tcPr>
          <w:p>
            <w:pPr>
              <w:spacing w:after="0"/>
              <w:rPr>
                <w:sz w:val="16"/>
                <w:szCs w:val="16"/>
                <w:color w:val="auto"/>
              </w:rPr>
            </w:pPr>
          </w:p>
        </w:tc>
        <w:tc>
          <w:tcPr>
            <w:tcW w:w="9840" w:type="dxa"/>
            <w:vAlign w:val="bottom"/>
            <w:gridSpan w:val="43"/>
          </w:tcPr>
          <w:p>
            <w:pPr>
              <w:spacing w:after="0" w:line="195" w:lineRule="exact"/>
              <w:rPr>
                <w:rFonts w:ascii="Arial" w:cs="Arial" w:eastAsia="Arial" w:hAnsi="Arial"/>
                <w:sz w:val="18"/>
                <w:szCs w:val="18"/>
                <w:color w:val="0000EE"/>
              </w:rPr>
            </w:pPr>
            <w:hyperlink w:anchor="page214">
              <w:r>
                <w:rPr>
                  <w:rFonts w:ascii="Arial" w:cs="Arial" w:eastAsia="Arial" w:hAnsi="Arial"/>
                  <w:sz w:val="18"/>
                  <w:szCs w:val="18"/>
                  <w:color w:val="0000EE"/>
                </w:rPr>
                <w:t>Board Committees</w:t>
              </w:r>
            </w:hyperlink>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202</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15">
              <w:r>
                <w:rPr>
                  <w:rFonts w:ascii="Arial" w:cs="Arial" w:eastAsia="Arial" w:hAnsi="Arial"/>
                  <w:sz w:val="18"/>
                  <w:szCs w:val="18"/>
                  <w:color w:val="0000EE"/>
                  <w:w w:val="88"/>
                </w:rPr>
                <w:t>Code of Business Conduct and Ethics</w:t>
              </w:r>
            </w:hyperlink>
          </w:p>
        </w:tc>
        <w:tc>
          <w:tcPr>
            <w:tcW w:w="6940" w:type="dxa"/>
            <w:vAlign w:val="bottom"/>
            <w:gridSpan w:val="20"/>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16">
              <w:r>
                <w:rPr>
                  <w:rFonts w:ascii="Arial" w:cs="Arial" w:eastAsia="Arial" w:hAnsi="Arial"/>
                  <w:sz w:val="18"/>
                  <w:szCs w:val="18"/>
                  <w:color w:val="0000EE"/>
                </w:rPr>
                <w:t>Compensation Committee Interlocks and Insider Participation</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195"/>
        </w:trPr>
        <w:tc>
          <w:tcPr>
            <w:tcW w:w="660" w:type="dxa"/>
            <w:vAlign w:val="bottom"/>
          </w:tcPr>
          <w:p>
            <w:pPr>
              <w:spacing w:after="0"/>
              <w:rPr>
                <w:sz w:val="16"/>
                <w:szCs w:val="16"/>
                <w:color w:val="auto"/>
              </w:rPr>
            </w:pPr>
          </w:p>
        </w:tc>
        <w:tc>
          <w:tcPr>
            <w:tcW w:w="2820" w:type="dxa"/>
            <w:vAlign w:val="bottom"/>
            <w:tcBorders>
              <w:top w:val="single" w:sz="8" w:color="0000EE"/>
              <w:bottom w:val="single" w:sz="8" w:color="0000EE"/>
            </w:tcBorders>
            <w:gridSpan w:val="21"/>
          </w:tcPr>
          <w:p>
            <w:pPr>
              <w:spacing w:after="0" w:line="195"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Non-Employee Director Compensation</w:t>
              </w:r>
            </w:hyperlink>
          </w:p>
        </w:tc>
        <w:tc>
          <w:tcPr>
            <w:tcW w:w="1620" w:type="dxa"/>
            <w:vAlign w:val="bottom"/>
            <w:tcBorders>
              <w:top w:val="single" w:sz="8" w:color="0000EE"/>
            </w:tcBorders>
            <w:gridSpan w:val="8"/>
          </w:tcPr>
          <w:p>
            <w:pPr>
              <w:spacing w:after="0"/>
              <w:rPr>
                <w:sz w:val="16"/>
                <w:szCs w:val="16"/>
                <w:color w:val="auto"/>
              </w:rPr>
            </w:pPr>
          </w:p>
        </w:tc>
        <w:tc>
          <w:tcPr>
            <w:tcW w:w="5200" w:type="dxa"/>
            <w:vAlign w:val="bottom"/>
            <w:gridSpan w:val="10"/>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411"/>
        </w:trPr>
        <w:tc>
          <w:tcPr>
            <w:tcW w:w="32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217">
              <w:r>
                <w:rPr>
                  <w:rFonts w:ascii="Arial" w:cs="Arial" w:eastAsia="Arial" w:hAnsi="Arial"/>
                  <w:sz w:val="18"/>
                  <w:szCs w:val="18"/>
                  <w:color w:val="0000EE"/>
                  <w:w w:val="96"/>
                </w:rPr>
                <w:t>VAXART EXECUTIVE COMPENSATION</w:t>
              </w:r>
            </w:hyperlink>
          </w:p>
        </w:tc>
        <w:tc>
          <w:tcPr>
            <w:tcW w:w="7080" w:type="dxa"/>
            <w:vAlign w:val="bottom"/>
            <w:gridSpan w:val="2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411"/>
        </w:trPr>
        <w:tc>
          <w:tcPr>
            <w:tcW w:w="660" w:type="dxa"/>
            <w:vAlign w:val="bottom"/>
          </w:tcPr>
          <w:p>
            <w:pPr>
              <w:spacing w:after="0"/>
              <w:rPr>
                <w:sz w:val="24"/>
                <w:szCs w:val="24"/>
                <w:color w:val="auto"/>
              </w:rPr>
            </w:pPr>
          </w:p>
        </w:tc>
        <w:tc>
          <w:tcPr>
            <w:tcW w:w="2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17">
              <w:r>
                <w:rPr>
                  <w:rFonts w:ascii="Arial" w:cs="Arial" w:eastAsia="Arial" w:hAnsi="Arial"/>
                  <w:sz w:val="18"/>
                  <w:szCs w:val="18"/>
                  <w:color w:val="0000EE"/>
                  <w:w w:val="89"/>
                </w:rPr>
                <w:t>2016 Summary Compensation Table</w:t>
              </w:r>
            </w:hyperlink>
          </w:p>
        </w:tc>
        <w:tc>
          <w:tcPr>
            <w:tcW w:w="7000" w:type="dxa"/>
            <w:vAlign w:val="bottom"/>
            <w:gridSpan w:val="2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18">
              <w:r>
                <w:rPr>
                  <w:rFonts w:ascii="Arial" w:cs="Arial" w:eastAsia="Arial" w:hAnsi="Arial"/>
                  <w:sz w:val="18"/>
                  <w:szCs w:val="18"/>
                  <w:color w:val="0000EE"/>
                </w:rPr>
                <w:t>Outstanding Equity Awards at December 31, 2016</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206</w:t>
            </w:r>
          </w:p>
        </w:tc>
      </w:tr>
      <w:tr>
        <w:trPr>
          <w:trHeight w:val="195"/>
        </w:trPr>
        <w:tc>
          <w:tcPr>
            <w:tcW w:w="660" w:type="dxa"/>
            <w:vAlign w:val="bottom"/>
          </w:tcPr>
          <w:p>
            <w:pPr>
              <w:spacing w:after="0"/>
              <w:rPr>
                <w:sz w:val="16"/>
                <w:szCs w:val="16"/>
                <w:color w:val="auto"/>
              </w:rPr>
            </w:pPr>
          </w:p>
        </w:tc>
        <w:tc>
          <w:tcPr>
            <w:tcW w:w="3600" w:type="dxa"/>
            <w:vAlign w:val="bottom"/>
            <w:tcBorders>
              <w:top w:val="single" w:sz="8" w:color="0000EE"/>
            </w:tcBorders>
            <w:gridSpan w:val="26"/>
          </w:tcPr>
          <w:p>
            <w:pPr>
              <w:spacing w:after="0" w:line="195" w:lineRule="exact"/>
              <w:rPr>
                <w:rFonts w:ascii="Arial" w:cs="Arial" w:eastAsia="Arial" w:hAnsi="Arial"/>
                <w:sz w:val="18"/>
                <w:szCs w:val="18"/>
                <w:color w:val="0000EE"/>
              </w:rPr>
            </w:pPr>
            <w:hyperlink w:anchor="page218">
              <w:r>
                <w:rPr>
                  <w:rFonts w:ascii="Arial" w:cs="Arial" w:eastAsia="Arial" w:hAnsi="Arial"/>
                  <w:sz w:val="18"/>
                  <w:szCs w:val="18"/>
                  <w:color w:val="0000EE"/>
                </w:rPr>
                <w:t>Pension Benefits</w:t>
              </w:r>
            </w:hyperlink>
          </w:p>
        </w:tc>
        <w:tc>
          <w:tcPr>
            <w:tcW w:w="6040" w:type="dxa"/>
            <w:vAlign w:val="bottom"/>
            <w:gridSpan w:val="13"/>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206</w:t>
            </w: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18">
              <w:r>
                <w:rPr>
                  <w:rFonts w:ascii="Arial" w:cs="Arial" w:eastAsia="Arial" w:hAnsi="Arial"/>
                  <w:sz w:val="18"/>
                  <w:szCs w:val="18"/>
                  <w:color w:val="0000EE"/>
                </w:rPr>
                <w:t>Nonqualified Deferred Compensation</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206</w:t>
            </w:r>
          </w:p>
        </w:tc>
      </w:tr>
      <w:tr>
        <w:trPr>
          <w:trHeight w:val="195"/>
        </w:trPr>
        <w:tc>
          <w:tcPr>
            <w:tcW w:w="660" w:type="dxa"/>
            <w:vAlign w:val="bottom"/>
          </w:tcPr>
          <w:p>
            <w:pPr>
              <w:spacing w:after="0"/>
              <w:rPr>
                <w:sz w:val="16"/>
                <w:szCs w:val="16"/>
                <w:color w:val="auto"/>
              </w:rPr>
            </w:pPr>
          </w:p>
        </w:tc>
        <w:tc>
          <w:tcPr>
            <w:tcW w:w="262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Vaxart’s Employment Arrangements</w:t>
              </w:r>
            </w:hyperlink>
          </w:p>
        </w:tc>
        <w:tc>
          <w:tcPr>
            <w:tcW w:w="80" w:type="dxa"/>
            <w:vAlign w:val="bottom"/>
            <w:tcBorders>
              <w:top w:val="single" w:sz="8" w:color="0000EE"/>
            </w:tcBorders>
            <w:gridSpan w:val="2"/>
          </w:tcPr>
          <w:p>
            <w:pPr>
              <w:spacing w:after="0"/>
              <w:rPr>
                <w:sz w:val="16"/>
                <w:szCs w:val="16"/>
                <w:color w:val="auto"/>
              </w:rPr>
            </w:pPr>
          </w:p>
        </w:tc>
        <w:tc>
          <w:tcPr>
            <w:tcW w:w="6940" w:type="dxa"/>
            <w:vAlign w:val="bottom"/>
            <w:gridSpan w:val="20"/>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206</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19">
              <w:r>
                <w:rPr>
                  <w:rFonts w:ascii="Arial" w:cs="Arial" w:eastAsia="Arial" w:hAnsi="Arial"/>
                  <w:sz w:val="18"/>
                  <w:szCs w:val="18"/>
                  <w:color w:val="0000EE"/>
                </w:rPr>
                <w:t>Rule 10b5-1 Sales Plans</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207</w:t>
            </w: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2000" w:type="dxa"/>
            <w:vAlign w:val="bottom"/>
            <w:tcBorders>
              <w:bottom w:val="single" w:sz="8" w:color="0000EE"/>
            </w:tcBorders>
            <w:gridSpan w:val="11"/>
          </w:tcPr>
          <w:p>
            <w:pPr>
              <w:spacing w:after="0" w:line="195"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Employment Benefits Plans</w:t>
              </w:r>
            </w:hyperlink>
          </w:p>
        </w:tc>
        <w:tc>
          <w:tcPr>
            <w:tcW w:w="7640" w:type="dxa"/>
            <w:vAlign w:val="bottom"/>
            <w:gridSpan w:val="28"/>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207</w:t>
            </w:r>
          </w:p>
        </w:tc>
      </w:tr>
      <w:tr>
        <w:trPr>
          <w:trHeight w:val="195"/>
        </w:trPr>
        <w:tc>
          <w:tcPr>
            <w:tcW w:w="660" w:type="dxa"/>
            <w:vAlign w:val="bottom"/>
          </w:tcPr>
          <w:p>
            <w:pPr>
              <w:spacing w:after="0"/>
              <w:rPr>
                <w:sz w:val="16"/>
                <w:szCs w:val="16"/>
                <w:color w:val="auto"/>
              </w:rPr>
            </w:pPr>
          </w:p>
        </w:tc>
        <w:tc>
          <w:tcPr>
            <w:tcW w:w="840" w:type="dxa"/>
            <w:vAlign w:val="bottom"/>
            <w:tcBorders>
              <w:bottom w:val="single" w:sz="8" w:color="0000EE"/>
            </w:tcBorders>
            <w:gridSpan w:val="6"/>
          </w:tcPr>
          <w:p>
            <w:pPr>
              <w:spacing w:after="0" w:line="195" w:lineRule="exact"/>
              <w:rPr>
                <w:rFonts w:ascii="Arial" w:cs="Arial" w:eastAsia="Arial" w:hAnsi="Arial"/>
                <w:sz w:val="18"/>
                <w:szCs w:val="18"/>
                <w:color w:val="0000EE"/>
                <w:w w:val="89"/>
              </w:rPr>
            </w:pPr>
            <w:hyperlink w:anchor="page220">
              <w:r>
                <w:rPr>
                  <w:rFonts w:ascii="Arial" w:cs="Arial" w:eastAsia="Arial" w:hAnsi="Arial"/>
                  <w:sz w:val="18"/>
                  <w:szCs w:val="18"/>
                  <w:color w:val="0000EE"/>
                  <w:w w:val="89"/>
                </w:rPr>
                <w:t>401(k) Plan</w:t>
              </w:r>
            </w:hyperlink>
          </w:p>
        </w:tc>
        <w:tc>
          <w:tcPr>
            <w:tcW w:w="8800" w:type="dxa"/>
            <w:vAlign w:val="bottom"/>
            <w:gridSpan w:val="33"/>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208</w:t>
            </w:r>
          </w:p>
        </w:tc>
      </w:tr>
      <w:tr>
        <w:trPr>
          <w:trHeight w:val="411"/>
        </w:trPr>
        <w:tc>
          <w:tcPr>
            <w:tcW w:w="5480" w:type="dxa"/>
            <w:vAlign w:val="bottom"/>
            <w:tcBorders>
              <w:bottom w:val="single" w:sz="8" w:color="0000EE"/>
            </w:tcBorders>
            <w:gridSpan w:val="31"/>
          </w:tcPr>
          <w:p>
            <w:pPr>
              <w:spacing w:after="0"/>
              <w:rPr>
                <w:rFonts w:ascii="Arial" w:cs="Arial" w:eastAsia="Arial" w:hAnsi="Arial"/>
                <w:sz w:val="18"/>
                <w:szCs w:val="18"/>
                <w:color w:val="0000EE"/>
                <w:w w:val="95"/>
              </w:rPr>
            </w:pPr>
            <w:hyperlink w:anchor="page221">
              <w:r>
                <w:rPr>
                  <w:rFonts w:ascii="Arial" w:cs="Arial" w:eastAsia="Arial" w:hAnsi="Arial"/>
                  <w:sz w:val="18"/>
                  <w:szCs w:val="18"/>
                  <w:color w:val="0000EE"/>
                  <w:w w:val="95"/>
                </w:rPr>
                <w:t>CERTAIN RELATIONSHIPS AND RELATED-PARTY TRANSACTIONS</w:t>
              </w:r>
            </w:hyperlink>
          </w:p>
        </w:tc>
        <w:tc>
          <w:tcPr>
            <w:tcW w:w="4820" w:type="dxa"/>
            <w:vAlign w:val="bottom"/>
            <w:gridSpan w:val="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411"/>
        </w:trPr>
        <w:tc>
          <w:tcPr>
            <w:tcW w:w="66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21">
              <w:r>
                <w:rPr>
                  <w:rFonts w:ascii="Arial" w:cs="Arial" w:eastAsia="Arial" w:hAnsi="Arial"/>
                  <w:sz w:val="18"/>
                  <w:szCs w:val="18"/>
                  <w:color w:val="0000EE"/>
                  <w:w w:val="90"/>
                </w:rPr>
                <w:t>Aviragen</w:t>
              </w:r>
            </w:hyperlink>
          </w:p>
        </w:tc>
        <w:tc>
          <w:tcPr>
            <w:tcW w:w="8980" w:type="dxa"/>
            <w:vAlign w:val="bottom"/>
            <w:gridSpan w:val="3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21">
              <w:r>
                <w:rPr>
                  <w:rFonts w:ascii="Arial" w:cs="Arial" w:eastAsia="Arial" w:hAnsi="Arial"/>
                  <w:sz w:val="18"/>
                  <w:szCs w:val="18"/>
                  <w:color w:val="0000EE"/>
                </w:rPr>
                <w:t>Vaxart</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209</w:t>
            </w: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24">
              <w:r>
                <w:rPr>
                  <w:rFonts w:ascii="Arial" w:cs="Arial" w:eastAsia="Arial" w:hAnsi="Arial"/>
                  <w:sz w:val="18"/>
                  <w:szCs w:val="18"/>
                  <w:color w:val="0000EE"/>
                </w:rPr>
                <w:t>Combined Company Related-Party Transaction Policy</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211</w:t>
            </w: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UNAUDITED PRO FORMA CONDENSED COMBINED FINANCIAL STATEMENTS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411"/>
        </w:trPr>
        <w:tc>
          <w:tcPr>
            <w:tcW w:w="6460" w:type="dxa"/>
            <w:vAlign w:val="bottom"/>
            <w:tcBorders>
              <w:top w:val="single" w:sz="8" w:color="0000EE"/>
            </w:tcBorders>
            <w:gridSpan w:val="35"/>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DESCRIPTION OF AVIRAGEN CAPITAL STOCK</w:t>
              </w:r>
            </w:hyperlink>
          </w:p>
        </w:tc>
        <w:tc>
          <w:tcPr>
            <w:tcW w:w="384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411"/>
        </w:trPr>
        <w:tc>
          <w:tcPr>
            <w:tcW w:w="660" w:type="dxa"/>
            <w:vAlign w:val="bottom"/>
            <w:tcBorders>
              <w:top w:val="single" w:sz="8" w:color="0000EE"/>
            </w:tcBorders>
          </w:tcPr>
          <w:p>
            <w:pPr>
              <w:spacing w:after="0"/>
              <w:rPr>
                <w:sz w:val="24"/>
                <w:szCs w:val="24"/>
                <w:color w:val="auto"/>
              </w:rPr>
            </w:pPr>
          </w:p>
        </w:tc>
        <w:tc>
          <w:tcPr>
            <w:tcW w:w="1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32">
              <w:r>
                <w:rPr>
                  <w:rFonts w:ascii="Arial" w:cs="Arial" w:eastAsia="Arial" w:hAnsi="Arial"/>
                  <w:sz w:val="18"/>
                  <w:szCs w:val="18"/>
                  <w:color w:val="0000EE"/>
                  <w:w w:val="89"/>
                </w:rPr>
                <w:t>Common Stock</w:t>
              </w:r>
            </w:hyperlink>
          </w:p>
        </w:tc>
        <w:tc>
          <w:tcPr>
            <w:tcW w:w="2040" w:type="dxa"/>
            <w:vAlign w:val="bottom"/>
            <w:tcBorders>
              <w:top w:val="single" w:sz="8" w:color="0000EE"/>
            </w:tcBorders>
            <w:gridSpan w:val="16"/>
          </w:tcPr>
          <w:p>
            <w:pPr>
              <w:spacing w:after="0"/>
              <w:rPr>
                <w:sz w:val="24"/>
                <w:szCs w:val="24"/>
                <w:color w:val="auto"/>
              </w:rPr>
            </w:pPr>
          </w:p>
        </w:tc>
        <w:tc>
          <w:tcPr>
            <w:tcW w:w="6480" w:type="dxa"/>
            <w:vAlign w:val="bottom"/>
            <w:gridSpan w:val="15"/>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195"/>
        </w:trPr>
        <w:tc>
          <w:tcPr>
            <w:tcW w:w="660" w:type="dxa"/>
            <w:vAlign w:val="bottom"/>
          </w:tcPr>
          <w:p>
            <w:pPr>
              <w:spacing w:after="0"/>
              <w:rPr>
                <w:sz w:val="16"/>
                <w:szCs w:val="16"/>
                <w:color w:val="auto"/>
              </w:rPr>
            </w:pPr>
          </w:p>
        </w:tc>
        <w:tc>
          <w:tcPr>
            <w:tcW w:w="112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232">
              <w:r>
                <w:rPr>
                  <w:rFonts w:ascii="Arial" w:cs="Arial" w:eastAsia="Arial" w:hAnsi="Arial"/>
                  <w:sz w:val="18"/>
                  <w:szCs w:val="18"/>
                  <w:color w:val="0000EE"/>
                  <w:w w:val="87"/>
                </w:rPr>
                <w:t>Preferred Stock</w:t>
              </w:r>
            </w:hyperlink>
          </w:p>
        </w:tc>
        <w:tc>
          <w:tcPr>
            <w:tcW w:w="8520" w:type="dxa"/>
            <w:vAlign w:val="bottom"/>
            <w:gridSpan w:val="31"/>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219</w:t>
            </w:r>
          </w:p>
        </w:tc>
      </w:tr>
      <w:tr>
        <w:trPr>
          <w:trHeight w:val="195"/>
        </w:trPr>
        <w:tc>
          <w:tcPr>
            <w:tcW w:w="660" w:type="dxa"/>
            <w:vAlign w:val="bottom"/>
          </w:tcPr>
          <w:p>
            <w:pPr>
              <w:spacing w:after="0"/>
              <w:rPr>
                <w:sz w:val="16"/>
                <w:szCs w:val="16"/>
                <w:color w:val="auto"/>
              </w:rPr>
            </w:pPr>
          </w:p>
        </w:tc>
        <w:tc>
          <w:tcPr>
            <w:tcW w:w="1020" w:type="dxa"/>
            <w:vAlign w:val="bottom"/>
            <w:tcBorders>
              <w:bottom w:val="single" w:sz="8" w:color="0000EE"/>
            </w:tcBorders>
            <w:gridSpan w:val="7"/>
          </w:tcPr>
          <w:p>
            <w:pPr>
              <w:spacing w:after="0" w:line="195"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Stock Options</w:t>
              </w:r>
            </w:hyperlink>
          </w:p>
        </w:tc>
        <w:tc>
          <w:tcPr>
            <w:tcW w:w="8620" w:type="dxa"/>
            <w:vAlign w:val="bottom"/>
            <w:gridSpan w:val="32"/>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220</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33">
              <w:r>
                <w:rPr>
                  <w:rFonts w:ascii="Arial" w:cs="Arial" w:eastAsia="Arial" w:hAnsi="Arial"/>
                  <w:sz w:val="18"/>
                  <w:szCs w:val="18"/>
                  <w:color w:val="0000EE"/>
                </w:rPr>
                <w:t>Restricted Stock Unit Awards</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220</w:t>
            </w:r>
          </w:p>
        </w:tc>
      </w:tr>
      <w:tr>
        <w:trPr>
          <w:trHeight w:val="195"/>
        </w:trPr>
        <w:tc>
          <w:tcPr>
            <w:tcW w:w="660" w:type="dxa"/>
            <w:vAlign w:val="bottom"/>
          </w:tcPr>
          <w:p>
            <w:pPr>
              <w:spacing w:after="0"/>
              <w:rPr>
                <w:sz w:val="16"/>
                <w:szCs w:val="16"/>
                <w:color w:val="auto"/>
              </w:rPr>
            </w:pPr>
          </w:p>
        </w:tc>
        <w:tc>
          <w:tcPr>
            <w:tcW w:w="6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4"/>
              </w:rPr>
            </w:pPr>
            <w:hyperlink w:anchor="page233">
              <w:r>
                <w:rPr>
                  <w:rFonts w:ascii="Arial" w:cs="Arial" w:eastAsia="Arial" w:hAnsi="Arial"/>
                  <w:sz w:val="18"/>
                  <w:szCs w:val="18"/>
                  <w:color w:val="0000EE"/>
                  <w:w w:val="84"/>
                </w:rPr>
                <w:t>Warrants</w:t>
              </w:r>
            </w:hyperlink>
          </w:p>
        </w:tc>
        <w:tc>
          <w:tcPr>
            <w:tcW w:w="1480" w:type="dxa"/>
            <w:vAlign w:val="bottom"/>
            <w:tcBorders>
              <w:top w:val="single" w:sz="8" w:color="0000EE"/>
            </w:tcBorders>
            <w:gridSpan w:val="10"/>
          </w:tcPr>
          <w:p>
            <w:pPr>
              <w:spacing w:after="0"/>
              <w:rPr>
                <w:sz w:val="16"/>
                <w:szCs w:val="16"/>
                <w:color w:val="auto"/>
              </w:rPr>
            </w:pPr>
          </w:p>
        </w:tc>
        <w:tc>
          <w:tcPr>
            <w:tcW w:w="7520" w:type="dxa"/>
            <w:vAlign w:val="bottom"/>
            <w:gridSpan w:val="26"/>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220</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33">
              <w:r>
                <w:rPr>
                  <w:rFonts w:ascii="Arial" w:cs="Arial" w:eastAsia="Arial" w:hAnsi="Arial"/>
                  <w:sz w:val="18"/>
                  <w:szCs w:val="18"/>
                  <w:color w:val="0000EE"/>
                </w:rPr>
                <w:t>Anti-Takeover Effects of Provisions of Aviragen Charter Documents and Delaware Law</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220</w:t>
            </w:r>
          </w:p>
        </w:tc>
      </w:tr>
      <w:tr>
        <w:trPr>
          <w:trHeight w:val="195"/>
        </w:trPr>
        <w:tc>
          <w:tcPr>
            <w:tcW w:w="660" w:type="dxa"/>
            <w:vAlign w:val="bottom"/>
          </w:tcPr>
          <w:p>
            <w:pPr>
              <w:spacing w:after="0"/>
              <w:rPr>
                <w:sz w:val="16"/>
                <w:szCs w:val="16"/>
                <w:color w:val="auto"/>
              </w:rPr>
            </w:pPr>
          </w:p>
        </w:tc>
        <w:tc>
          <w:tcPr>
            <w:tcW w:w="222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91"/>
              </w:rPr>
            </w:pPr>
            <w:hyperlink w:anchor="page234">
              <w:r>
                <w:rPr>
                  <w:rFonts w:ascii="Arial" w:cs="Arial" w:eastAsia="Arial" w:hAnsi="Arial"/>
                  <w:sz w:val="18"/>
                  <w:szCs w:val="18"/>
                  <w:color w:val="0000EE"/>
                  <w:w w:val="91"/>
                </w:rPr>
                <w:t>Nasdaq Capital Market Listing</w:t>
              </w:r>
            </w:hyperlink>
          </w:p>
        </w:tc>
        <w:tc>
          <w:tcPr>
            <w:tcW w:w="4100" w:type="dxa"/>
            <w:vAlign w:val="bottom"/>
            <w:tcBorders>
              <w:top w:val="single" w:sz="8" w:color="0000EE"/>
            </w:tcBorders>
            <w:gridSpan w:val="22"/>
          </w:tcPr>
          <w:p>
            <w:pPr>
              <w:spacing w:after="0"/>
              <w:rPr>
                <w:sz w:val="16"/>
                <w:szCs w:val="16"/>
                <w:color w:val="auto"/>
              </w:rPr>
            </w:pPr>
          </w:p>
        </w:tc>
        <w:tc>
          <w:tcPr>
            <w:tcW w:w="3320" w:type="dxa"/>
            <w:vAlign w:val="bottom"/>
            <w:gridSpan w:val="3"/>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221</w:t>
            </w:r>
          </w:p>
        </w:tc>
      </w:tr>
      <w:tr>
        <w:trPr>
          <w:trHeight w:val="195"/>
        </w:trPr>
        <w:tc>
          <w:tcPr>
            <w:tcW w:w="660" w:type="dxa"/>
            <w:vAlign w:val="bottom"/>
          </w:tcPr>
          <w:p>
            <w:pPr>
              <w:spacing w:after="0"/>
              <w:rPr>
                <w:sz w:val="16"/>
                <w:szCs w:val="16"/>
                <w:color w:val="auto"/>
              </w:rPr>
            </w:pPr>
          </w:p>
        </w:tc>
        <w:tc>
          <w:tcPr>
            <w:tcW w:w="9640" w:type="dxa"/>
            <w:vAlign w:val="bottom"/>
            <w:gridSpan w:val="39"/>
          </w:tcPr>
          <w:p>
            <w:pPr>
              <w:spacing w:after="0" w:line="195" w:lineRule="exact"/>
              <w:rPr>
                <w:rFonts w:ascii="Arial" w:cs="Arial" w:eastAsia="Arial" w:hAnsi="Arial"/>
                <w:sz w:val="18"/>
                <w:szCs w:val="18"/>
                <w:color w:val="0000EE"/>
              </w:rPr>
            </w:pPr>
            <w:hyperlink w:anchor="page234">
              <w:r>
                <w:rPr>
                  <w:rFonts w:ascii="Arial" w:cs="Arial" w:eastAsia="Arial" w:hAnsi="Arial"/>
                  <w:sz w:val="18"/>
                  <w:szCs w:val="18"/>
                  <w:color w:val="0000EE"/>
                </w:rPr>
                <w:t>Transfer Agent and Registrar</w:t>
              </w:r>
            </w:hyperlink>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221</w:t>
            </w: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COMPARISON OF RIGHTS OF HOLDERS OF AVIRAGEN STOCK AND VAXART STOCK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411"/>
        </w:trPr>
        <w:tc>
          <w:tcPr>
            <w:tcW w:w="6960" w:type="dxa"/>
            <w:vAlign w:val="bottom"/>
            <w:tcBorders>
              <w:top w:val="single" w:sz="8" w:color="0000EE"/>
            </w:tcBorders>
            <w:gridSpan w:val="36"/>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PRINCIPAL STOCKHOLDERS OF AVIRAGEN</w:t>
              </w:r>
            </w:hyperlink>
          </w:p>
        </w:tc>
        <w:tc>
          <w:tcPr>
            <w:tcW w:w="334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411"/>
        </w:trPr>
        <w:tc>
          <w:tcPr>
            <w:tcW w:w="3600" w:type="dxa"/>
            <w:vAlign w:val="bottom"/>
            <w:tcBorders>
              <w:top w:val="single" w:sz="8" w:color="0000EE"/>
            </w:tcBorders>
            <w:gridSpan w:val="23"/>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PRINCIPAL STOCKHOLDERS OF VAXART</w:t>
              </w:r>
            </w:hyperlink>
          </w:p>
        </w:tc>
        <w:tc>
          <w:tcPr>
            <w:tcW w:w="6700" w:type="dxa"/>
            <w:vAlign w:val="bottom"/>
            <w:gridSpan w:val="1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PRINCIPAL STOCKHOLDERS OF THE COMBINED COMPANY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411"/>
        </w:trPr>
        <w:tc>
          <w:tcPr>
            <w:tcW w:w="1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247">
              <w:r>
                <w:rPr>
                  <w:rFonts w:ascii="Arial" w:cs="Arial" w:eastAsia="Arial" w:hAnsi="Arial"/>
                  <w:sz w:val="18"/>
                  <w:szCs w:val="18"/>
                  <w:color w:val="0000EE"/>
                  <w:w w:val="96"/>
                </w:rPr>
                <w:t>LEGAL MATTERS</w:t>
              </w:r>
            </w:hyperlink>
          </w:p>
        </w:tc>
        <w:tc>
          <w:tcPr>
            <w:tcW w:w="3500" w:type="dxa"/>
            <w:vAlign w:val="bottom"/>
            <w:tcBorders>
              <w:top w:val="single" w:sz="8" w:color="0000EE"/>
            </w:tcBorders>
            <w:gridSpan w:val="23"/>
          </w:tcPr>
          <w:p>
            <w:pPr>
              <w:spacing w:after="0"/>
              <w:rPr>
                <w:sz w:val="24"/>
                <w:szCs w:val="24"/>
                <w:color w:val="auto"/>
              </w:rPr>
            </w:pPr>
          </w:p>
        </w:tc>
        <w:tc>
          <w:tcPr>
            <w:tcW w:w="534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411"/>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7">
              <w:r>
                <w:rPr>
                  <w:rFonts w:ascii="Arial" w:cs="Arial" w:eastAsia="Arial" w:hAnsi="Arial"/>
                  <w:sz w:val="18"/>
                  <w:szCs w:val="18"/>
                  <w:color w:val="0000EE"/>
                  <w:w w:val="90"/>
                </w:rPr>
                <w:t>EXPERTS</w:t>
              </w:r>
            </w:hyperlink>
          </w:p>
        </w:tc>
        <w:tc>
          <w:tcPr>
            <w:tcW w:w="9520" w:type="dxa"/>
            <w:vAlign w:val="bottom"/>
            <w:gridSpan w:val="3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247">
              <w:r>
                <w:rPr>
                  <w:rFonts w:ascii="Arial" w:cs="Arial" w:eastAsia="Arial" w:hAnsi="Arial"/>
                  <w:sz w:val="18"/>
                  <w:szCs w:val="18"/>
                  <w:color w:val="0000EE"/>
                </w:rPr>
                <w:t>WHERE YOU CAN FIND MORE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411"/>
        </w:trPr>
        <w:tc>
          <w:tcPr>
            <w:tcW w:w="3800" w:type="dxa"/>
            <w:vAlign w:val="bottom"/>
            <w:tcBorders>
              <w:top w:val="single" w:sz="8" w:color="0000EE"/>
            </w:tcBorders>
            <w:gridSpan w:val="24"/>
          </w:tcPr>
          <w:p>
            <w:pPr>
              <w:spacing w:after="0"/>
              <w:rPr>
                <w:rFonts w:ascii="Arial" w:cs="Arial" w:eastAsia="Arial" w:hAnsi="Arial"/>
                <w:sz w:val="18"/>
                <w:szCs w:val="18"/>
                <w:color w:val="0000EE"/>
              </w:rPr>
            </w:pPr>
            <w:hyperlink w:anchor="page248">
              <w:r>
                <w:rPr>
                  <w:rFonts w:ascii="Arial" w:cs="Arial" w:eastAsia="Arial" w:hAnsi="Arial"/>
                  <w:sz w:val="18"/>
                  <w:szCs w:val="18"/>
                  <w:color w:val="0000EE"/>
                </w:rPr>
                <w:t>OTHER MATTERS</w:t>
              </w:r>
            </w:hyperlink>
          </w:p>
        </w:tc>
        <w:tc>
          <w:tcPr>
            <w:tcW w:w="6500" w:type="dxa"/>
            <w:vAlign w:val="bottom"/>
            <w:gridSpan w:val="1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249">
              <w:r>
                <w:rPr>
                  <w:rFonts w:ascii="Arial" w:cs="Arial" w:eastAsia="Arial" w:hAnsi="Arial"/>
                  <w:sz w:val="18"/>
                  <w:szCs w:val="18"/>
                  <w:color w:val="0000EE"/>
                </w:rPr>
                <w:t>AVIRAGEN THERAPEUTICS, INC. INDEX TO FINANCIAL STATEMENTS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F-A-1</w:t>
            </w:r>
          </w:p>
        </w:tc>
      </w:tr>
      <w:tr>
        <w:trPr>
          <w:trHeight w:val="411"/>
        </w:trPr>
        <w:tc>
          <w:tcPr>
            <w:tcW w:w="418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7"/>
              </w:rPr>
            </w:pPr>
            <w:hyperlink w:anchor="page279">
              <w:r>
                <w:rPr>
                  <w:rFonts w:ascii="Arial" w:cs="Arial" w:eastAsia="Arial" w:hAnsi="Arial"/>
                  <w:sz w:val="18"/>
                  <w:szCs w:val="18"/>
                  <w:color w:val="0000EE"/>
                  <w:w w:val="97"/>
                </w:rPr>
                <w:t>VAXART, INC.INDEX TO FINANCIAL STATEMENTS</w:t>
              </w:r>
            </w:hyperlink>
          </w:p>
        </w:tc>
        <w:tc>
          <w:tcPr>
            <w:tcW w:w="1620" w:type="dxa"/>
            <w:vAlign w:val="bottom"/>
            <w:tcBorders>
              <w:top w:val="single" w:sz="8" w:color="0000EE"/>
            </w:tcBorders>
            <w:gridSpan w:val="6"/>
          </w:tcPr>
          <w:p>
            <w:pPr>
              <w:spacing w:after="0"/>
              <w:rPr>
                <w:sz w:val="24"/>
                <w:szCs w:val="24"/>
                <w:color w:val="auto"/>
              </w:rPr>
            </w:pPr>
          </w:p>
        </w:tc>
        <w:tc>
          <w:tcPr>
            <w:tcW w:w="450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F-B-1</w:t>
            </w: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ANNEX A AGREEMENT AND PLAN OF MERGER AND REORGANIZATION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1780" w:type="dxa"/>
            <w:vAlign w:val="bottom"/>
            <w:gridSpan w:val="9"/>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820" w:type="dxa"/>
            <w:vAlign w:val="bottom"/>
            <w:gridSpan w:val="1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964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408">
              <w:r>
                <w:rPr>
                  <w:rFonts w:ascii="Arial" w:cs="Arial" w:eastAsia="Arial" w:hAnsi="Arial"/>
                  <w:sz w:val="18"/>
                  <w:szCs w:val="18"/>
                  <w:color w:val="0000EE"/>
                  <w:w w:val="95"/>
                </w:rPr>
                <w:t>ANNEX B FORM OF CERTIFICATE OF AMENDMENT OF RESTATED CERTIFICATE OF INCORPORATION OF AVIRAGEN</w:t>
              </w:r>
            </w:hyperlink>
          </w:p>
        </w:tc>
        <w:tc>
          <w:tcPr>
            <w:tcW w:w="6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195"/>
        </w:trPr>
        <w:tc>
          <w:tcPr>
            <w:tcW w:w="1780" w:type="dxa"/>
            <w:vAlign w:val="bottom"/>
            <w:tcBorders>
              <w:bottom w:val="single" w:sz="8" w:color="0000EE"/>
            </w:tcBorders>
            <w:gridSpan w:val="9"/>
          </w:tcPr>
          <w:p>
            <w:pPr>
              <w:spacing w:after="0" w:line="195" w:lineRule="exact"/>
              <w:rPr>
                <w:rFonts w:ascii="Arial" w:cs="Arial" w:eastAsia="Arial" w:hAnsi="Arial"/>
                <w:sz w:val="18"/>
                <w:szCs w:val="18"/>
                <w:color w:val="0000EE"/>
                <w:w w:val="95"/>
              </w:rPr>
            </w:pPr>
            <w:hyperlink w:anchor="page408">
              <w:r>
                <w:rPr>
                  <w:rFonts w:ascii="Arial" w:cs="Arial" w:eastAsia="Arial" w:hAnsi="Arial"/>
                  <w:sz w:val="18"/>
                  <w:szCs w:val="18"/>
                  <w:color w:val="0000EE"/>
                  <w:w w:val="95"/>
                </w:rPr>
                <w:t>THERAPEUTICS, INC.</w:t>
              </w:r>
            </w:hyperlink>
          </w:p>
        </w:tc>
        <w:tc>
          <w:tcPr>
            <w:tcW w:w="8520" w:type="dxa"/>
            <w:vAlign w:val="bottom"/>
            <w:gridSpan w:val="31"/>
          </w:tcPr>
          <w:p>
            <w:pPr>
              <w:spacing w:after="0"/>
              <w:rPr>
                <w:sz w:val="16"/>
                <w:szCs w:val="16"/>
                <w:color w:val="auto"/>
              </w:rPr>
            </w:pPr>
          </w:p>
        </w:tc>
        <w:tc>
          <w:tcPr>
            <w:tcW w:w="1100" w:type="dxa"/>
            <w:vAlign w:val="bottom"/>
          </w:tcPr>
          <w:p>
            <w:pPr>
              <w:spacing w:after="0"/>
              <w:rPr>
                <w:sz w:val="16"/>
                <w:szCs w:val="16"/>
                <w:color w:val="auto"/>
              </w:rPr>
            </w:pP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411">
              <w:r>
                <w:rPr>
                  <w:rFonts w:ascii="Arial" w:cs="Arial" w:eastAsia="Arial" w:hAnsi="Arial"/>
                  <w:sz w:val="18"/>
                  <w:szCs w:val="18"/>
                  <w:color w:val="0000EE"/>
                </w:rPr>
                <w:t>ANNEX C OPINION LETTER OF STIFEL</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0"/>
        </w:trPr>
        <w:tc>
          <w:tcPr>
            <w:tcW w:w="3200" w:type="dxa"/>
            <w:vAlign w:val="bottom"/>
            <w:gridSpan w:val="16"/>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6240" w:type="dxa"/>
            <w:vAlign w:val="bottom"/>
            <w:tcBorders>
              <w:bottom w:val="single" w:sz="8" w:color="0000EE"/>
            </w:tcBorders>
            <w:gridSpan w:val="34"/>
          </w:tcPr>
          <w:p>
            <w:pPr>
              <w:spacing w:after="0"/>
              <w:rPr>
                <w:rFonts w:ascii="Arial" w:cs="Arial" w:eastAsia="Arial" w:hAnsi="Arial"/>
                <w:sz w:val="18"/>
                <w:szCs w:val="18"/>
                <w:color w:val="0000EE"/>
                <w:w w:val="95"/>
              </w:rPr>
            </w:pPr>
            <w:hyperlink w:anchor="page414">
              <w:r>
                <w:rPr>
                  <w:rFonts w:ascii="Arial" w:cs="Arial" w:eastAsia="Arial" w:hAnsi="Arial"/>
                  <w:sz w:val="18"/>
                  <w:szCs w:val="18"/>
                  <w:color w:val="0000EE"/>
                  <w:w w:val="95"/>
                </w:rPr>
                <w:t>ANNEX D SECTION 262 OF THE DELAWARE GENERAL CORPORATION LAW</w:t>
              </w:r>
            </w:hyperlink>
          </w:p>
        </w:tc>
        <w:tc>
          <w:tcPr>
            <w:tcW w:w="406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411"/>
        </w:trPr>
        <w:tc>
          <w:tcPr>
            <w:tcW w:w="10300" w:type="dxa"/>
            <w:vAlign w:val="bottom"/>
            <w:gridSpan w:val="40"/>
          </w:tcPr>
          <w:p>
            <w:pPr>
              <w:spacing w:after="0"/>
              <w:rPr>
                <w:rFonts w:ascii="Arial" w:cs="Arial" w:eastAsia="Arial" w:hAnsi="Arial"/>
                <w:sz w:val="18"/>
                <w:szCs w:val="18"/>
                <w:color w:val="0000EE"/>
              </w:rPr>
            </w:pPr>
            <w:hyperlink w:anchor="page417">
              <w:r>
                <w:rPr>
                  <w:rFonts w:ascii="Arial" w:cs="Arial" w:eastAsia="Arial" w:hAnsi="Arial"/>
                  <w:sz w:val="18"/>
                  <w:szCs w:val="18"/>
                  <w:color w:val="0000EE"/>
                </w:rPr>
                <w:t>PART II INFORMATION NOT REQUIRED IN PROXY STATEMENT/PROSPECTUS/INFORMATION STATEMENT</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72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MERGER</w:t>
      </w:r>
    </w:p>
    <w:p>
      <w:pPr>
        <w:spacing w:after="0" w:line="22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Except where specifically noted, the following information and all other information contained in this proxy statement/prospectus/information statement does not give effect to the proposed reverse stock split of Aviragen common stock described in the Reverse Stock Split Proposal in this proxy statement/prospectus/information statement.</w:t>
      </w:r>
    </w:p>
    <w:p>
      <w:pPr>
        <w:spacing w:after="0" w:line="183"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The following section provides answers to frequently asked questions about the merger. This section, however, provides only summary information. For a more complete response to these questions and for additional information, please refer to the cross-referenced sections.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merger?</w:t>
      </w:r>
    </w:p>
    <w:p>
      <w:pPr>
        <w:spacing w:after="0" w:line="228" w:lineRule="exact"/>
        <w:rPr>
          <w:sz w:val="20"/>
          <w:szCs w:val="20"/>
          <w:color w:val="auto"/>
        </w:rPr>
      </w:pPr>
    </w:p>
    <w:p>
      <w:pPr>
        <w:ind w:left="340" w:right="40" w:hanging="332"/>
        <w:spacing w:after="0" w:line="256"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Aviragen Therapeutics, Inc., or Aviragen, and Vaxart, Inc., or Vaxart, have entered into an Agreement and Plan of Merger and Reorganization, dated October 27, 2017, or the Merger Agreement. The Merger Agreement contains the terms and conditions of the proposed business combination of Aviragen and Vaxart. Under the Merger Agreement, Agora Merger Sub, Inc., a wholly-owned subsidiary of Aviragen, will merge with and into Vaxart, with Vaxart surviving the merger as a wholly-owned subsidiary of the combined company. Following the merger, Aviragen will be renamed “Vaxart, Inc.” and is referred to herein as the “combined company.”</w:t>
      </w:r>
    </w:p>
    <w:p>
      <w:pPr>
        <w:spacing w:after="0" w:line="188"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the Merger Agreement, at the effective time of the merger, or the Effective Time, (a) each outstanding share of capital stock of Vaxart (other than any shares held as treasury stock that will be cancelled), will be converted into the right to receive the number of shares of Aviragen common stock equal to the Exchange Ratio described below and (b) each outstanding Vaxart stock option, whether vested or unvested, and warrant that has not previously been exercised prior to the Effective Time will be assumed by Aviragen and converted into an option or warrant, as applicable, to purchase shares of Aviragen common stock as described in the sections titled “Treatment of Vaxart Stock Options” and "Treatment of the Vaxart Warrant" below.</w:t>
      </w:r>
    </w:p>
    <w:p>
      <w:pPr>
        <w:spacing w:after="0" w:line="192" w:lineRule="exact"/>
        <w:rPr>
          <w:rFonts w:ascii="Arial" w:cs="Arial" w:eastAsia="Arial" w:hAnsi="Arial"/>
          <w:sz w:val="18"/>
          <w:szCs w:val="18"/>
          <w:b w:val="1"/>
          <w:bCs w:val="1"/>
          <w:color w:val="auto"/>
        </w:rPr>
      </w:pPr>
    </w:p>
    <w:p>
      <w:pPr>
        <w:ind w:left="340" w:right="2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Under the Exchange Ratio formula in the Merger Agreement, as of immediately after the merger and assuming no adjustments for cash balances as provided for in the Merger Agreement, the former Vaxart securityholders are expected to own approximately 60% of the aggregate number of shares of common stock of the combined company immediately following the Effective Time, the Post-Closing Shares, and the securityholders of Aviragen as of immediately prior to the merger are expected to own approximately 40% of the aggregate number of Post-Closing Shares. The Exchange Ratio will be fixed prior to closing to reflect Aviragen’s and Vaxart’s capitalization as of immediately prior to such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to Aviragen if, for any reason, the merger does not close?</w:t>
      </w:r>
    </w:p>
    <w:p>
      <w:pPr>
        <w:spacing w:after="0" w:line="228" w:lineRule="exact"/>
        <w:rPr>
          <w:sz w:val="20"/>
          <w:szCs w:val="20"/>
          <w:color w:val="auto"/>
        </w:rPr>
      </w:pPr>
    </w:p>
    <w:p>
      <w:pPr>
        <w:ind w:left="340" w:right="40" w:hanging="332"/>
        <w:spacing w:after="0" w:line="289" w:lineRule="auto"/>
        <w:tabs>
          <w:tab w:leader="none" w:pos="3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If, for any reason, the merger does not close, the Aviragen board of directors may elect to, among other things, attempt to complete another strategic transaction like the merger, attempt to sell or otherwise dispose of the various assets of Aviragen or continue to operate the business of Aviragen. If the Stock Issuance Proposal is not approved but the Reverse Stock Split Proposal is approved, the Aviragen board may nevertheless authorize a reverse split of its common stock at a ratio in the range of 10 and 20-for-1 in order to satisfy Aviragen’s continued listing requirements on the Nasdaq Capital Market. Aviragen may be unable to identify and complete an alternative strategic transaction or continue to operate the business due to limited cash availability, and it may be required to dissolve and liquidate its assets. In such case, Aviragen would be required to pay all of its debts and contractual obligations, and to set aside certain reserves for potential future claims, and there can be no assurances as to the amount or timing of available cash left to distribute to stockholders after paying the debts and other obligations of Aviragen and setting aside funds for reserves.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are the companies proposing to merge?</w:t>
      </w:r>
    </w:p>
    <w:p>
      <w:pPr>
        <w:spacing w:after="0" w:line="228" w:lineRule="exact"/>
        <w:rPr>
          <w:sz w:val="20"/>
          <w:szCs w:val="20"/>
          <w:color w:val="auto"/>
        </w:rPr>
      </w:pPr>
    </w:p>
    <w:p>
      <w:pPr>
        <w:jc w:val="both"/>
        <w:ind w:left="340" w:right="60" w:hanging="332"/>
        <w:spacing w:after="0" w:line="262"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Aviragen and Vaxart believe that the combined company will have several potential advantages, including: (i) a focused pipeline with product candidates that have demonstrated promising efficacy and safety results, (ii) an efficient expected path to potential commercialization, (iii) operational synergies and (iv) an experienced management team.</w:t>
      </w:r>
    </w:p>
    <w:p>
      <w:pPr>
        <w:spacing w:after="0" w:line="183"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Following the merger, the combined company will focus on developing Vaxart’s oral recombinant vaccines, based on its proprietary delivery platform that allows for administration by tablet rather than by injection, and on Aviragen’s direct-acting antivirals to treat infections that have limited therapeutic options. The Vaxart technology platform has been engineered for the delivery of a wide range of oral vaccines, initially targeting norovirus, human papilloma virus, or HPV, respiratory syncytial virus, and influenza. These programs address large therapeutic categories, with norovirus afflicting about 20 million people each year in the United States. To date, there is no approved vaccine for norovirus. The focus of Aviragen’s pipeline will be BTA074 and its Phase 2 program for the treatment of condyloma caused by HPV, which has completed patient enrollment and to report top-line safety and efficacy data in the second quarter of 2018.</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right="360"/>
        <w:spacing w:after="0" w:line="276" w:lineRule="auto"/>
        <w:rPr>
          <w:sz w:val="20"/>
          <w:szCs w:val="20"/>
          <w:color w:val="auto"/>
        </w:rPr>
      </w:pPr>
      <w:r>
        <w:rPr>
          <w:rFonts w:ascii="Arial" w:cs="Arial" w:eastAsia="Arial" w:hAnsi="Arial"/>
          <w:sz w:val="18"/>
          <w:szCs w:val="18"/>
          <w:color w:val="auto"/>
        </w:rPr>
        <w:t>For a more complete discussion of Aviragen and Vaxart reasons for the merger, please see the sections titled “The Merger—Aviragen Reasons for the Merger” and “The Merger—Vaxart Reasons for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proxy statement/prospectus/information statement?</w:t>
      </w:r>
    </w:p>
    <w:p>
      <w:pPr>
        <w:spacing w:after="0" w:line="228" w:lineRule="exact"/>
        <w:rPr>
          <w:sz w:val="20"/>
          <w:szCs w:val="20"/>
          <w:color w:val="auto"/>
        </w:rPr>
      </w:pPr>
    </w:p>
    <w:p>
      <w:pPr>
        <w:ind w:left="340" w:right="120" w:hanging="332"/>
        <w:spacing w:after="0" w:line="278"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You are receiving this proxy statement/prospectus/information statement because you have been identified as a stockholder of Aviragen or Vaxart as of the applicable record date, and you are entitled, as applicable, to vote at the Aviragen stockholder meeting to approve among other things the issuance of shares of Aviragen common stock pursuant to the Merger Agreement and reverse stock split, or sign and return the Vaxart written consent to adopt the Merger Agreement and approve the transactions contemplated thereby. This document serves as:</w:t>
      </w:r>
    </w:p>
    <w:p>
      <w:pPr>
        <w:spacing w:after="0" w:line="170" w:lineRule="exact"/>
        <w:rPr>
          <w:rFonts w:ascii="Arial" w:cs="Arial" w:eastAsia="Arial" w:hAnsi="Arial"/>
          <w:sz w:val="17"/>
          <w:szCs w:val="17"/>
          <w:b w:val="1"/>
          <w:bCs w:val="1"/>
          <w:color w:val="auto"/>
        </w:rPr>
      </w:pPr>
    </w:p>
    <w:p>
      <w:pPr>
        <w:ind w:left="980" w:hanging="326"/>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proxy statement of Aviragen used to solicit proxies for its special meeting of stockholders;</w:t>
      </w:r>
    </w:p>
    <w:p>
      <w:pPr>
        <w:spacing w:after="0" w:line="223" w:lineRule="exact"/>
        <w:rPr>
          <w:rFonts w:ascii="Arial" w:cs="Arial" w:eastAsia="Arial" w:hAnsi="Arial"/>
          <w:sz w:val="18"/>
          <w:szCs w:val="18"/>
          <w:color w:val="auto"/>
        </w:rPr>
      </w:pPr>
    </w:p>
    <w:p>
      <w:pPr>
        <w:ind w:left="980" w:hanging="326"/>
        <w:spacing w:after="0"/>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prospectus of Aviragen used to issue shares of Aviragen common stock in exchange for shares of Vaxart common stock in the merger; and</w:t>
      </w:r>
    </w:p>
    <w:p>
      <w:pPr>
        <w:spacing w:after="0" w:line="246" w:lineRule="exact"/>
        <w:rPr>
          <w:rFonts w:ascii="Arial" w:cs="Arial" w:eastAsia="Arial" w:hAnsi="Arial"/>
          <w:sz w:val="16"/>
          <w:szCs w:val="16"/>
          <w:color w:val="auto"/>
        </w:rPr>
      </w:pPr>
    </w:p>
    <w:p>
      <w:pPr>
        <w:ind w:left="980" w:right="480" w:hanging="326"/>
        <w:spacing w:after="0" w:line="276"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information statement of Vaxart used to solicit the written consent of its stockholders for the adoption of the Merger Agreement and the approval of the merger and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required to consummate the merger?</w:t>
      </w:r>
    </w:p>
    <w:p>
      <w:pPr>
        <w:spacing w:after="0" w:line="228" w:lineRule="exact"/>
        <w:rPr>
          <w:sz w:val="20"/>
          <w:szCs w:val="20"/>
          <w:color w:val="auto"/>
        </w:rPr>
      </w:pPr>
    </w:p>
    <w:p>
      <w:pPr>
        <w:ind w:left="340" w:right="60" w:hanging="332"/>
        <w:spacing w:after="0" w:line="340"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To consummate the merger, Aviragen stockholders must approve the issuance of shares of Aviragen common stock pursuant to the Merger Agreement. In addition, Vaxart stockholders must adopt the Merger Agreement and approve the merger and the transactions contemplated thereby.</w:t>
      </w:r>
    </w:p>
    <w:p>
      <w:pPr>
        <w:spacing w:after="0" w:line="124" w:lineRule="exact"/>
        <w:rPr>
          <w:rFonts w:ascii="Arial" w:cs="Arial" w:eastAsia="Arial" w:hAnsi="Arial"/>
          <w:sz w:val="16"/>
          <w:szCs w:val="16"/>
          <w:b w:val="1"/>
          <w:bCs w:val="1"/>
          <w:color w:val="auto"/>
        </w:rPr>
      </w:pPr>
    </w:p>
    <w:p>
      <w:pPr>
        <w:ind w:left="340" w:right="80"/>
        <w:spacing w:after="0" w:line="262" w:lineRule="auto"/>
        <w:rPr>
          <w:rFonts w:ascii="Arial" w:cs="Arial" w:eastAsia="Arial" w:hAnsi="Arial"/>
          <w:sz w:val="16"/>
          <w:szCs w:val="16"/>
          <w:b w:val="1"/>
          <w:bCs w:val="1"/>
          <w:color w:val="auto"/>
        </w:rPr>
      </w:pPr>
      <w:r>
        <w:rPr>
          <w:rFonts w:ascii="Arial" w:cs="Arial" w:eastAsia="Arial" w:hAnsi="Arial"/>
          <w:sz w:val="18"/>
          <w:szCs w:val="18"/>
          <w:color w:val="auto"/>
        </w:rPr>
        <w:t>The approval of the issuance of Aviragen common stock pursuant to the Merger Agreement by the stockholders of Aviragen requires the affirmative vote of the holders of a majority of the shares of Aviragen common stock properly cast at the Aviragen special meeting, presuming a quorum is present at the meeting. The approval of the reverse stock split is not a condition to the closing of the merger.</w:t>
      </w:r>
    </w:p>
    <w:p>
      <w:pPr>
        <w:spacing w:after="0" w:line="183" w:lineRule="exact"/>
        <w:rPr>
          <w:rFonts w:ascii="Arial" w:cs="Arial" w:eastAsia="Arial" w:hAnsi="Arial"/>
          <w:sz w:val="16"/>
          <w:szCs w:val="16"/>
          <w:b w:val="1"/>
          <w:bCs w:val="1"/>
          <w:color w:val="auto"/>
        </w:rPr>
      </w:pPr>
    </w:p>
    <w:p>
      <w:pPr>
        <w:ind w:left="340" w:right="40"/>
        <w:spacing w:after="0" w:line="276" w:lineRule="auto"/>
        <w:rPr>
          <w:rFonts w:ascii="Arial" w:cs="Arial" w:eastAsia="Arial" w:hAnsi="Arial"/>
          <w:sz w:val="16"/>
          <w:szCs w:val="16"/>
          <w:b w:val="1"/>
          <w:bCs w:val="1"/>
          <w:color w:val="auto"/>
        </w:rPr>
      </w:pPr>
      <w:r>
        <w:rPr>
          <w:rFonts w:ascii="Arial" w:cs="Arial" w:eastAsia="Arial" w:hAnsi="Arial"/>
          <w:sz w:val="18"/>
          <w:szCs w:val="18"/>
          <w:color w:val="auto"/>
        </w:rPr>
        <w:t>The adoption of the Merger Agreement and the approval of the merger and related transactions by the stockholders of Vaxart requires the affirmative vote of:</w:t>
      </w:r>
    </w:p>
    <w:p>
      <w:pPr>
        <w:spacing w:after="0" w:line="169" w:lineRule="exact"/>
        <w:rPr>
          <w:rFonts w:ascii="Arial" w:cs="Arial" w:eastAsia="Arial" w:hAnsi="Arial"/>
          <w:sz w:val="16"/>
          <w:szCs w:val="16"/>
          <w:b w:val="1"/>
          <w:bCs w:val="1"/>
          <w:color w:val="auto"/>
        </w:rPr>
      </w:pPr>
    </w:p>
    <w:p>
      <w:pPr>
        <w:ind w:left="980" w:hanging="326"/>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holders of a majority of the outstanding shares of Vaxart common stock and preferred stock, voting together as a single class;</w:t>
      </w:r>
    </w:p>
    <w:p>
      <w:pPr>
        <w:spacing w:after="0" w:line="223" w:lineRule="exact"/>
        <w:rPr>
          <w:rFonts w:ascii="Arial" w:cs="Arial" w:eastAsia="Arial" w:hAnsi="Arial"/>
          <w:sz w:val="18"/>
          <w:szCs w:val="18"/>
          <w:color w:val="auto"/>
        </w:rPr>
      </w:pPr>
    </w:p>
    <w:p>
      <w:pPr>
        <w:ind w:left="980" w:right="100" w:hanging="326"/>
        <w:spacing w:after="0" w:line="276"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holders of at least a majority of the outstanding shares of Vaxart preferred stock voting together as a single class and not as a separate series; and</w:t>
      </w:r>
    </w:p>
    <w:p>
      <w:pPr>
        <w:spacing w:after="0" w:line="169" w:lineRule="exact"/>
        <w:rPr>
          <w:rFonts w:ascii="Arial" w:cs="Arial" w:eastAsia="Arial" w:hAnsi="Arial"/>
          <w:sz w:val="18"/>
          <w:szCs w:val="18"/>
          <w:color w:val="auto"/>
        </w:rPr>
      </w:pPr>
    </w:p>
    <w:p>
      <w:pPr>
        <w:ind w:left="980" w:right="180" w:hanging="326"/>
        <w:spacing w:after="0" w:line="276"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holders of at least a majority of the outstanding shares of Vaxart Series B Preferred Stock and Series C Preferred Stock voting together as a single class and not as separate series.</w:t>
      </w:r>
    </w:p>
    <w:p>
      <w:pPr>
        <w:spacing w:after="0" w:line="170" w:lineRule="exact"/>
        <w:rPr>
          <w:sz w:val="20"/>
          <w:szCs w:val="20"/>
          <w:color w:val="auto"/>
        </w:rPr>
      </w:pPr>
    </w:p>
    <w:p>
      <w:pPr>
        <w:ind w:left="340" w:right="120"/>
        <w:spacing w:after="0" w:line="276" w:lineRule="auto"/>
        <w:rPr>
          <w:sz w:val="20"/>
          <w:szCs w:val="20"/>
          <w:color w:val="auto"/>
        </w:rPr>
      </w:pPr>
      <w:r>
        <w:rPr>
          <w:rFonts w:ascii="Arial" w:cs="Arial" w:eastAsia="Arial" w:hAnsi="Arial"/>
          <w:sz w:val="18"/>
          <w:szCs w:val="18"/>
          <w:color w:val="auto"/>
        </w:rPr>
        <w:t>In addition to the requirement of obtaining such stockholder approval and appropriate regulatory approvals, each of the other closing conditions set forth in the Merger Agreement must be satisfied or waived.</w:t>
      </w:r>
    </w:p>
    <w:p>
      <w:pPr>
        <w:spacing w:after="0" w:line="170"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The approval of the reverse stock split is required to avoid the delisting of Aviragen common stock from the Nasdaq Capital Market. However, the approval of reverse stock split is not a condition precedent to the closing of the merger. Therefore, if Aviragen’s stockholders do not approve the Reverse Stock Split Proposal to effect the reverse stock split upon the closing of the merger, Aviragen has been advised that The Nasdaq Stock Market LLC will commence delisting proceedings immediately following the closing of the merger. If Aviragen’s stockholders do not approve the Reverse Stock Split Proposal,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If the Stock Issuance Proposal is not approved but the Reverse Stock Approval is approved,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Certain Vaxart stockholders including certain directors and executive officers who in the aggregate own approximately 78.5% of the outstanding shares of Vaxart common stock (on an as converted basis), and certain Aviragen stockholders including certain directors and executive officers who in the aggregate own less than 1% of the outstanding shares of Aviragen common stock, are parties to support agreements with Aviragen and Vaxart pursuant to which such stockholders have agreed to vote for the adoption of the Merger Agreement and the merger and for the issuance of Aviragen common stock in the merger pursuant to the Merger Agreement and the reverse stock split, respectively, pursuant to the terms of the support agreements. In addition, following the registration statement on Form S-4, of which this proxy statement/prospectus/information statement is a part, being declared effective by the SEC and pursuant to the conditions of the Merger Agreement, Vaxart stockholders who are party to the support agreements will each execute written consents approving the merger and related transactions. The holders of a sufficient number of shares of Vaxart capital stock required to adopt the Merger Agreement have agreed to adopt the Merger Agreement via written consent. Vaxart stockholders, including those who are parties to support agreements, are requested to execute written consents providing such approvals. For a more detailed discussion of the support agreements see the section titled “Agreements Related to the Merger—Support Agreements and Written Consent.”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more complete description of the closing conditions under the Merger Agreement, please see the section titled “The Merger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Vaxart securityholders receive in the merger?</w:t>
      </w:r>
    </w:p>
    <w:p>
      <w:pPr>
        <w:spacing w:after="0" w:line="228" w:lineRule="exact"/>
        <w:rPr>
          <w:sz w:val="20"/>
          <w:szCs w:val="20"/>
          <w:color w:val="auto"/>
        </w:rPr>
      </w:pPr>
    </w:p>
    <w:p>
      <w:pPr>
        <w:ind w:left="340" w:right="360" w:hanging="332"/>
        <w:spacing w:after="0" w:line="276"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As a result of the merger, Vaxart securityholders will become entitled to receive shares of Aviragen common stock equal to approximately 60% of the aggregate number of Post-Closing Shares.</w:t>
      </w:r>
    </w:p>
    <w:p>
      <w:pPr>
        <w:spacing w:after="0" w:line="170" w:lineRule="exact"/>
        <w:rPr>
          <w:sz w:val="20"/>
          <w:szCs w:val="20"/>
          <w:color w:val="auto"/>
        </w:rPr>
      </w:pPr>
    </w:p>
    <w:p>
      <w:pPr>
        <w:ind w:left="340" w:right="460"/>
        <w:spacing w:after="0" w:line="276" w:lineRule="auto"/>
        <w:rPr>
          <w:sz w:val="20"/>
          <w:szCs w:val="20"/>
          <w:color w:val="auto"/>
        </w:rPr>
      </w:pPr>
      <w:r>
        <w:rPr>
          <w:rFonts w:ascii="Arial" w:cs="Arial" w:eastAsia="Arial" w:hAnsi="Arial"/>
          <w:sz w:val="18"/>
          <w:szCs w:val="18"/>
          <w:color w:val="auto"/>
        </w:rPr>
        <w:t>For a more complete description of what Vaxart securityholders will receive in the merger, please see the sections titled “Market Price and Dividend Information” and “The Merger Agreement—Merger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Aviragen securityholders receive in the merger?</w:t>
      </w:r>
    </w:p>
    <w:p>
      <w:pPr>
        <w:spacing w:after="0" w:line="228" w:lineRule="exact"/>
        <w:rPr>
          <w:sz w:val="20"/>
          <w:szCs w:val="20"/>
          <w:color w:val="auto"/>
        </w:rPr>
      </w:pPr>
    </w:p>
    <w:p>
      <w:pPr>
        <w:ind w:left="340" w:right="280" w:hanging="332"/>
        <w:spacing w:after="0" w:line="276"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Aviragen securityholders will not receive any new securities in the merger, but will instead retain ownership of their shares of Aviragen common stock equal to approximately 40% of the aggregate number of Post-Closing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 the directors of the combined company following the merger?</w:t>
      </w:r>
    </w:p>
    <w:p>
      <w:pPr>
        <w:spacing w:after="0" w:line="228" w:lineRule="exact"/>
        <w:rPr>
          <w:sz w:val="20"/>
          <w:szCs w:val="20"/>
          <w:color w:val="auto"/>
        </w:rPr>
      </w:pPr>
    </w:p>
    <w:p>
      <w:pPr>
        <w:ind w:left="340" w:right="140" w:hanging="332"/>
        <w:spacing w:after="0" w:line="27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closing of the merger, the combined company’s board of directors is expected to be composed of seven directors. Three of the directors will be designated by Aviragen, and four of the directors will be designated by Vaxart and will be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6180" w:type="dxa"/>
            <w:vAlign w:val="bottom"/>
          </w:tcPr>
          <w:p>
            <w:pPr>
              <w:ind w:left="1980"/>
              <w:spacing w:after="0"/>
              <w:rPr>
                <w:sz w:val="20"/>
                <w:szCs w:val="20"/>
                <w:color w:val="auto"/>
              </w:rPr>
            </w:pPr>
            <w:r>
              <w:rPr>
                <w:rFonts w:ascii="Arial" w:cs="Arial" w:eastAsia="Arial" w:hAnsi="Arial"/>
                <w:sz w:val="18"/>
                <w:szCs w:val="18"/>
                <w:b w:val="1"/>
                <w:bCs w:val="1"/>
                <w:color w:val="auto"/>
              </w:rPr>
              <w:t>Current Principal Affiliation</w:t>
            </w:r>
          </w:p>
        </w:tc>
      </w:tr>
      <w:tr>
        <w:trPr>
          <w:trHeight w:val="249"/>
        </w:trPr>
        <w:tc>
          <w:tcPr>
            <w:tcW w:w="20" w:type="dxa"/>
            <w:vAlign w:val="bottom"/>
          </w:tcPr>
          <w:p>
            <w:pPr>
              <w:spacing w:after="0"/>
              <w:rPr>
                <w:sz w:val="21"/>
                <w:szCs w:val="21"/>
                <w:color w:val="auto"/>
              </w:rPr>
            </w:pPr>
          </w:p>
        </w:tc>
        <w:tc>
          <w:tcPr>
            <w:tcW w:w="4380" w:type="dxa"/>
            <w:vAlign w:val="bottom"/>
            <w:tcBorders>
              <w:top w:val="single" w:sz="8" w:color="auto"/>
            </w:tcBorders>
            <w:gridSpan w:val="2"/>
            <w:shd w:val="clear" w:color="auto" w:fill="CCEEFF"/>
          </w:tcPr>
          <w:p>
            <w:pPr>
              <w:spacing w:after="0" w:line="249" w:lineRule="exact"/>
              <w:rPr>
                <w:sz w:val="20"/>
                <w:szCs w:val="20"/>
                <w:color w:val="auto"/>
              </w:rPr>
            </w:pPr>
            <w:r>
              <w:rPr>
                <w:rFonts w:ascii="Arial" w:cs="Arial" w:eastAsia="Arial" w:hAnsi="Arial"/>
                <w:sz w:val="17"/>
                <w:szCs w:val="17"/>
                <w:color w:val="auto"/>
              </w:rPr>
              <w:t>Geoffrey F. Cox, Ph.D.</w:t>
            </w:r>
            <w:r>
              <w:rPr>
                <w:rFonts w:ascii="Arial" w:cs="Arial" w:eastAsia="Arial" w:hAnsi="Arial"/>
                <w:sz w:val="28"/>
                <w:szCs w:val="28"/>
                <w:color w:val="auto"/>
                <w:vertAlign w:val="superscript"/>
              </w:rPr>
              <w:t>(2)</w:t>
            </w:r>
          </w:p>
        </w:tc>
        <w:tc>
          <w:tcPr>
            <w:tcW w:w="360" w:type="dxa"/>
            <w:vAlign w:val="bottom"/>
            <w:shd w:val="clear" w:color="auto" w:fill="CCEEFF"/>
          </w:tcPr>
          <w:p>
            <w:pPr>
              <w:spacing w:after="0"/>
              <w:rPr>
                <w:sz w:val="21"/>
                <w:szCs w:val="21"/>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Principal, Beacon Street Advisors</w:t>
            </w:r>
          </w:p>
        </w:tc>
      </w:tr>
      <w:tr>
        <w:trPr>
          <w:trHeight w:val="256"/>
        </w:trPr>
        <w:tc>
          <w:tcPr>
            <w:tcW w:w="20" w:type="dxa"/>
            <w:vAlign w:val="bottom"/>
          </w:tcPr>
          <w:p>
            <w:pPr>
              <w:spacing w:after="0"/>
              <w:rPr>
                <w:sz w:val="22"/>
                <w:szCs w:val="22"/>
                <w:color w:val="auto"/>
              </w:rPr>
            </w:pPr>
          </w:p>
        </w:tc>
        <w:tc>
          <w:tcPr>
            <w:tcW w:w="4380" w:type="dxa"/>
            <w:vAlign w:val="bottom"/>
            <w:gridSpan w:val="2"/>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(1)</w:t>
            </w:r>
          </w:p>
        </w:tc>
        <w:tc>
          <w:tcPr>
            <w:tcW w:w="360" w:type="dxa"/>
            <w:vAlign w:val="bottom"/>
          </w:tcPr>
          <w:p>
            <w:pPr>
              <w:spacing w:after="0"/>
              <w:rPr>
                <w:sz w:val="22"/>
                <w:szCs w:val="22"/>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Managing Director, Finney Capital</w:t>
            </w:r>
          </w:p>
        </w:tc>
      </w:tr>
      <w:tr>
        <w:trPr>
          <w:trHeight w:val="256"/>
        </w:trPr>
        <w:tc>
          <w:tcPr>
            <w:tcW w:w="20" w:type="dxa"/>
            <w:vAlign w:val="bottom"/>
          </w:tcPr>
          <w:p>
            <w:pPr>
              <w:spacing w:after="0"/>
              <w:rPr>
                <w:sz w:val="22"/>
                <w:szCs w:val="22"/>
                <w:color w:val="auto"/>
              </w:rPr>
            </w:pPr>
          </w:p>
        </w:tc>
        <w:tc>
          <w:tcPr>
            <w:tcW w:w="4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Wouter W. Latour, M.D.</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 Vaxart</w:t>
            </w:r>
          </w:p>
        </w:tc>
      </w:tr>
      <w:tr>
        <w:trPr>
          <w:trHeight w:val="256"/>
        </w:trPr>
        <w:tc>
          <w:tcPr>
            <w:tcW w:w="20" w:type="dxa"/>
            <w:vAlign w:val="bottom"/>
          </w:tcPr>
          <w:p>
            <w:pPr>
              <w:spacing w:after="0"/>
              <w:rPr>
                <w:sz w:val="22"/>
                <w:szCs w:val="22"/>
                <w:color w:val="auto"/>
              </w:rPr>
            </w:pPr>
          </w:p>
        </w:tc>
        <w:tc>
          <w:tcPr>
            <w:tcW w:w="4380" w:type="dxa"/>
            <w:vAlign w:val="bottom"/>
            <w:gridSpan w:val="2"/>
          </w:tcPr>
          <w:p>
            <w:pPr>
              <w:spacing w:after="0" w:line="256" w:lineRule="exact"/>
              <w:rPr>
                <w:sz w:val="20"/>
                <w:szCs w:val="20"/>
                <w:color w:val="auto"/>
              </w:rPr>
            </w:pPr>
            <w:r>
              <w:rPr>
                <w:rFonts w:ascii="Arial" w:cs="Arial" w:eastAsia="Arial" w:hAnsi="Arial"/>
                <w:sz w:val="18"/>
                <w:szCs w:val="18"/>
                <w:color w:val="auto"/>
              </w:rPr>
              <w:t>Jan Leschly</w:t>
            </w:r>
            <w:r>
              <w:rPr>
                <w:rFonts w:ascii="Arial" w:cs="Arial" w:eastAsia="Arial" w:hAnsi="Arial"/>
                <w:sz w:val="29"/>
                <w:szCs w:val="29"/>
                <w:color w:val="auto"/>
                <w:vertAlign w:val="superscript"/>
              </w:rPr>
              <w:t>(1)</w:t>
            </w:r>
          </w:p>
        </w:tc>
        <w:tc>
          <w:tcPr>
            <w:tcW w:w="360" w:type="dxa"/>
            <w:vAlign w:val="bottom"/>
          </w:tcPr>
          <w:p>
            <w:pPr>
              <w:spacing w:after="0"/>
              <w:rPr>
                <w:sz w:val="22"/>
                <w:szCs w:val="22"/>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Chairman and Managing Partner, Care Capital LLC</w:t>
            </w:r>
          </w:p>
        </w:tc>
      </w:tr>
      <w:tr>
        <w:trPr>
          <w:trHeight w:val="256"/>
        </w:trPr>
        <w:tc>
          <w:tcPr>
            <w:tcW w:w="20" w:type="dxa"/>
            <w:vAlign w:val="bottom"/>
          </w:tcPr>
          <w:p>
            <w:pPr>
              <w:spacing w:after="0"/>
              <w:rPr>
                <w:sz w:val="22"/>
                <w:szCs w:val="22"/>
                <w:color w:val="auto"/>
              </w:rPr>
            </w:pPr>
          </w:p>
        </w:tc>
        <w:tc>
          <w:tcPr>
            <w:tcW w:w="4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Richard J. Markham</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Partner, Care Capital LLC</w:t>
            </w:r>
          </w:p>
        </w:tc>
      </w:tr>
      <w:tr>
        <w:trPr>
          <w:trHeight w:val="256"/>
        </w:trPr>
        <w:tc>
          <w:tcPr>
            <w:tcW w:w="20" w:type="dxa"/>
            <w:vAlign w:val="bottom"/>
          </w:tcPr>
          <w:p>
            <w:pPr>
              <w:spacing w:after="0"/>
              <w:rPr>
                <w:sz w:val="22"/>
                <w:szCs w:val="22"/>
                <w:color w:val="auto"/>
              </w:rPr>
            </w:pPr>
          </w:p>
        </w:tc>
        <w:tc>
          <w:tcPr>
            <w:tcW w:w="4380" w:type="dxa"/>
            <w:vAlign w:val="bottom"/>
            <w:gridSpan w:val="2"/>
          </w:tcPr>
          <w:p>
            <w:pPr>
              <w:spacing w:after="0" w:line="256" w:lineRule="exact"/>
              <w:rPr>
                <w:sz w:val="20"/>
                <w:szCs w:val="20"/>
                <w:color w:val="auto"/>
              </w:rPr>
            </w:pPr>
            <w:r>
              <w:rPr>
                <w:rFonts w:ascii="Arial" w:cs="Arial" w:eastAsia="Arial" w:hAnsi="Arial"/>
                <w:sz w:val="18"/>
                <w:szCs w:val="18"/>
                <w:color w:val="auto"/>
              </w:rPr>
              <w:t>John P. Richard</w:t>
            </w:r>
            <w:r>
              <w:rPr>
                <w:rFonts w:ascii="Arial" w:cs="Arial" w:eastAsia="Arial" w:hAnsi="Arial"/>
                <w:sz w:val="29"/>
                <w:szCs w:val="29"/>
                <w:color w:val="auto"/>
                <w:vertAlign w:val="superscript"/>
              </w:rPr>
              <w:t>(2)</w:t>
            </w:r>
          </w:p>
        </w:tc>
        <w:tc>
          <w:tcPr>
            <w:tcW w:w="360" w:type="dxa"/>
            <w:vAlign w:val="bottom"/>
          </w:tcPr>
          <w:p>
            <w:pPr>
              <w:spacing w:after="0"/>
              <w:rPr>
                <w:sz w:val="22"/>
                <w:szCs w:val="22"/>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Co-Founder and Head of Corporate Development, Mereo Biopharma, PLC</w:t>
            </w:r>
          </w:p>
        </w:tc>
      </w:tr>
      <w:tr>
        <w:trPr>
          <w:trHeight w:val="256"/>
        </w:trPr>
        <w:tc>
          <w:tcPr>
            <w:tcW w:w="20" w:type="dxa"/>
            <w:vAlign w:val="bottom"/>
          </w:tcPr>
          <w:p>
            <w:pPr>
              <w:spacing w:after="0"/>
              <w:rPr>
                <w:sz w:val="22"/>
                <w:szCs w:val="22"/>
                <w:color w:val="auto"/>
              </w:rPr>
            </w:pPr>
          </w:p>
        </w:tc>
        <w:tc>
          <w:tcPr>
            <w:tcW w:w="43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Anne M. VanLent</w:t>
            </w:r>
            <w:r>
              <w:rPr>
                <w:rFonts w:ascii="Arial" w:cs="Arial" w:eastAsia="Arial" w:hAnsi="Arial"/>
                <w:sz w:val="29"/>
                <w:szCs w:val="29"/>
                <w:color w:val="auto"/>
                <w:vertAlign w:val="superscript"/>
              </w:rPr>
              <w:t>(2)</w:t>
            </w:r>
          </w:p>
        </w:tc>
        <w:tc>
          <w:tcPr>
            <w:tcW w:w="360" w:type="dxa"/>
            <w:vAlign w:val="bottom"/>
            <w:shd w:val="clear" w:color="auto" w:fill="CCEEFF"/>
          </w:tcPr>
          <w:p>
            <w:pPr>
              <w:spacing w:after="0"/>
              <w:rPr>
                <w:sz w:val="22"/>
                <w:szCs w:val="22"/>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President, AMV Advisors</w:t>
            </w:r>
          </w:p>
        </w:tc>
      </w:tr>
      <w:tr>
        <w:trPr>
          <w:trHeight w:val="215"/>
        </w:trPr>
        <w:tc>
          <w:tcPr>
            <w:tcW w:w="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180" w:type="dxa"/>
            <w:vAlign w:val="bottom"/>
          </w:tcPr>
          <w:p>
            <w:pPr>
              <w:spacing w:after="0"/>
              <w:rPr>
                <w:sz w:val="18"/>
                <w:szCs w:val="18"/>
                <w:color w:val="auto"/>
              </w:rPr>
            </w:pPr>
          </w:p>
        </w:tc>
      </w:tr>
    </w:tbl>
    <w:p>
      <w:pPr>
        <w:spacing w:after="0" w:line="201" w:lineRule="exact"/>
        <w:rPr>
          <w:sz w:val="20"/>
          <w:szCs w:val="20"/>
          <w:color w:val="auto"/>
        </w:rPr>
      </w:pPr>
    </w:p>
    <w:p>
      <w:pPr>
        <w:ind w:left="580" w:hanging="249"/>
        <w:spacing w:after="0"/>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Vaxart designee</w:t>
      </w:r>
    </w:p>
    <w:p>
      <w:pPr>
        <w:spacing w:after="0" w:line="22" w:lineRule="exact"/>
        <w:rPr>
          <w:rFonts w:ascii="Arial" w:cs="Arial" w:eastAsia="Arial" w:hAnsi="Arial"/>
          <w:sz w:val="18"/>
          <w:szCs w:val="18"/>
          <w:color w:val="auto"/>
        </w:rPr>
      </w:pPr>
    </w:p>
    <w:p>
      <w:pPr>
        <w:ind w:left="580" w:hanging="249"/>
        <w:spacing w:after="0"/>
        <w:tabs>
          <w:tab w:leader="none" w:pos="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Aviragen designee</w:t>
      </w:r>
    </w:p>
    <w:p>
      <w:pPr>
        <w:spacing w:after="0" w:line="20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executive officers of combined company immediately following the merger?</w:t>
      </w:r>
    </w:p>
    <w:p>
      <w:pPr>
        <w:spacing w:after="0" w:line="228" w:lineRule="exact"/>
        <w:rPr>
          <w:sz w:val="20"/>
          <w:szCs w:val="20"/>
          <w:color w:val="auto"/>
        </w:rPr>
      </w:pPr>
    </w:p>
    <w:p>
      <w:pPr>
        <w:ind w:left="340" w:right="180" w:hanging="332"/>
        <w:spacing w:after="0" w:line="276"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Upon the closing of the merger, the executive management team of the combined company is expected to be composed of the following members of the Vaxart executive management team:</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6180" w:type="dxa"/>
            <w:vAlign w:val="bottom"/>
          </w:tcPr>
          <w:p>
            <w:pPr>
              <w:ind w:left="2920"/>
              <w:spacing w:after="0"/>
              <w:rPr>
                <w:sz w:val="20"/>
                <w:szCs w:val="20"/>
                <w:color w:val="auto"/>
              </w:rPr>
            </w:pPr>
            <w:r>
              <w:rPr>
                <w:rFonts w:ascii="Arial" w:cs="Arial" w:eastAsia="Arial" w:hAnsi="Arial"/>
                <w:sz w:val="18"/>
                <w:szCs w:val="18"/>
                <w:b w:val="1"/>
                <w:bCs w:val="1"/>
                <w:color w:val="auto"/>
              </w:rPr>
              <w:t>Title</w:t>
            </w:r>
          </w:p>
        </w:tc>
      </w:tr>
      <w:tr>
        <w:trPr>
          <w:trHeight w:val="209"/>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Wouter W. Latour, M.D.</w:t>
            </w:r>
          </w:p>
        </w:tc>
        <w:tc>
          <w:tcPr>
            <w:tcW w:w="36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5"/>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Sean N. Tucker, Ph.D</w:t>
            </w:r>
          </w:p>
        </w:tc>
        <w:tc>
          <w:tcPr>
            <w:tcW w:w="36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David Liebowitz, M.D., Ph.D</w:t>
            </w:r>
          </w:p>
        </w:tc>
        <w:tc>
          <w:tcPr>
            <w:tcW w:w="3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John M. Harland</w:t>
            </w:r>
          </w:p>
        </w:tc>
        <w:tc>
          <w:tcPr>
            <w:tcW w:w="3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intended U.S. federal income tax consequences of the merger to Vaxart United States stockholders?</w:t>
      </w:r>
    </w:p>
    <w:p>
      <w:pPr>
        <w:spacing w:after="0" w:line="228" w:lineRule="exact"/>
        <w:rPr>
          <w:sz w:val="20"/>
          <w:szCs w:val="20"/>
          <w:color w:val="auto"/>
        </w:rPr>
      </w:pPr>
    </w:p>
    <w:p>
      <w:pPr>
        <w:ind w:left="340" w:right="80" w:hanging="332"/>
        <w:spacing w:after="0" w:line="262"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Each of Aviragen and Vaxart intends that the merger qualify as a reorganization within the meaning of Section 368(a) of the Internal Revenue Code of 1986, as amended, or the Code. In general, the material tax consequences to U.S. Holders (as defined herein) of Vaxart capital stock are expected to be as follows:</w:t>
      </w:r>
    </w:p>
    <w:p>
      <w:pPr>
        <w:spacing w:after="0" w:line="183" w:lineRule="exact"/>
        <w:rPr>
          <w:rFonts w:ascii="Arial" w:cs="Arial" w:eastAsia="Arial" w:hAnsi="Arial"/>
          <w:sz w:val="18"/>
          <w:szCs w:val="18"/>
          <w:b w:val="1"/>
          <w:bCs w:val="1"/>
          <w:color w:val="auto"/>
        </w:rPr>
      </w:pPr>
    </w:p>
    <w:p>
      <w:pPr>
        <w:ind w:left="660" w:right="140" w:hanging="329"/>
        <w:spacing w:after="0" w:line="340"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Vaxart stockholder should not generally recognize gain or loss upon the exchange of Vaxart capital stock for Aviragen common stock pursuant to the merger, except to the extent of cash received in lieu of a fractional share of Aviragen Therapeutics common stock as described below; and</w:t>
      </w:r>
    </w:p>
    <w:p>
      <w:pPr>
        <w:sectPr>
          <w:pgSz w:w="11900" w:h="16838" w:orient="portrait"/>
          <w:cols w:equalWidth="0" w:num="1">
            <w:col w:w="11420"/>
          </w:cols>
          <w:pgMar w:left="240" w:top="118"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7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120" w:hanging="329"/>
        <w:spacing w:after="0" w:line="27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Vaxart stockholder should recognize gain or loss to the extent any cash received in lieu of a fractional share of Aviragen Therapeutics common stock exceeds or is less than the basis of such fractional share.</w:t>
      </w:r>
    </w:p>
    <w:p>
      <w:pPr>
        <w:spacing w:after="0" w:line="170" w:lineRule="exact"/>
        <w:rPr>
          <w:sz w:val="20"/>
          <w:szCs w:val="20"/>
          <w:color w:val="auto"/>
        </w:rPr>
      </w:pPr>
    </w:p>
    <w:p>
      <w:pPr>
        <w:ind w:left="340" w:right="160"/>
        <w:spacing w:after="0" w:line="258" w:lineRule="auto"/>
        <w:rPr>
          <w:sz w:val="20"/>
          <w:szCs w:val="20"/>
          <w:color w:val="auto"/>
        </w:rPr>
      </w:pPr>
      <w:r>
        <w:rPr>
          <w:rFonts w:ascii="Arial" w:cs="Arial" w:eastAsia="Arial" w:hAnsi="Arial"/>
          <w:sz w:val="18"/>
          <w:szCs w:val="18"/>
          <w:color w:val="auto"/>
        </w:rPr>
        <w:t>However, there are many requirements that must be satisfied in order for the merger to be treated as a reorganization under Section 368(a) of the Code, some of which are based upon factual determinations, and the reorganization treatment could be affected by actions taken after the merger. If the merger failed to qualify as a reorganization under Section 368(a) of the Code, the Vaxart stockholders generally would recognize the full amount of gains and losses realized on the exchange of their Vaxart capital stock in the merger.</w:t>
      </w:r>
    </w:p>
    <w:p>
      <w:pPr>
        <w:spacing w:after="0" w:line="187" w:lineRule="exact"/>
        <w:rPr>
          <w:sz w:val="20"/>
          <w:szCs w:val="20"/>
          <w:color w:val="auto"/>
        </w:rPr>
      </w:pPr>
    </w:p>
    <w:p>
      <w:pPr>
        <w:ind w:left="340" w:right="220"/>
        <w:spacing w:after="0" w:line="258" w:lineRule="auto"/>
        <w:rPr>
          <w:sz w:val="20"/>
          <w:szCs w:val="20"/>
          <w:color w:val="auto"/>
        </w:rPr>
      </w:pPr>
      <w:r>
        <w:rPr>
          <w:rFonts w:ascii="Arial" w:cs="Arial" w:eastAsia="Arial" w:hAnsi="Arial"/>
          <w:sz w:val="18"/>
          <w:szCs w:val="18"/>
          <w:color w:val="auto"/>
        </w:rPr>
        <w:t>Tax matters are very complicated, and the tax consequences of the merger to a particular Vaxart stockholder will depend on such stockholder’s circumstances. Accordingly, you should consult your tax advisor for a full understanding of the tax consequences of the merger to you, including the applicability and effect of federal, state, local and foreign income and other tax laws. For more information, please see the section titled “The Merger— Certain Material U.S. Federal Income Tax Consequences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persons involved in the merger have interests that may conflict with mine as an Aviragen stockholder?</w:t>
      </w:r>
    </w:p>
    <w:p>
      <w:pPr>
        <w:spacing w:after="0" w:line="228" w:lineRule="exact"/>
        <w:rPr>
          <w:sz w:val="20"/>
          <w:szCs w:val="20"/>
          <w:color w:val="auto"/>
        </w:rPr>
      </w:pPr>
    </w:p>
    <w:p>
      <w:pPr>
        <w:jc w:val="both"/>
        <w:ind w:left="340" w:hanging="332"/>
        <w:spacing w:after="0" w:line="258"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Yes. In considering the recommendation of the Aviragen board of directors with respect to issuing shares of Aviragen common stock pursuant to the Merger Agreement and the other matters to be acted upon by Aviragen stockholders at the Aviragen special meeting, Aviragen stockholders should be aware that certain members of the Aviragen board of directors and executive officers of Aviragen have interests in the merger that may be different from, or in addition to, interests they have as Aviragen stockholders.</w:t>
      </w:r>
    </w:p>
    <w:p>
      <w:pPr>
        <w:spacing w:after="0" w:line="186"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Aviragen has entered into employment agreements and stock option agreements with its executive officers that provide them with cash severance payments and acceleration of certain of their outstanding equity awards in the event their employment is terminated without cause or for good reason in connection with a change in control. Based on the terms of these employment agreements and stock option agreements, Aviragen’s executive officers will be contractually entitled to these severance payments and benefits because their employment with Aviragen will end in connection with the closing of the merger and remain outstanding for up to 18 months depending on the terms of the grant. Additionally, all outstanding equity awards held by Aviragen’s executive officers will accelerate fully and vest in connection with the closing of the merger. As of the date of this proxy statement/prospectus/information statement, Aviragen’s executive officers held stock options to purchase an aggregate of 2,888,304 shares of Aviragen common stock with a weighted average exercise price of $1.76 per share (all of which are out of the money based on the closing price of Aviragen common stock as of December 27, 2017). Based on data available as of the date of this proxy statement/prospectus/information statement, Aviragen’s executive officers will be entitled to receive a total of approximately $1.6 million (collectively, not individually) in cash severance payments in connection with the closing of the merger and the associated termination of their employment from Aviragen. For more information, please see the sections titled “The Merger—Interests of the Aviragen Directors and Executive Officers in the Merger” and “Aviragen Proposal No. 3 (Executive Merger Compensation Proposal).”</w:t>
      </w:r>
    </w:p>
    <w:p>
      <w:pPr>
        <w:spacing w:after="0" w:line="168"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As of December 7, 2017, Aviragen’s non-employee directors hold stock options to purchase an aggregate of 1,184,119 shares of Aviragen common stock with a weighted average exercise price of $3.18 per share. These stock options will by their terms vest in full upon the closing of the merger, including stock options for 96,666, 105,000 and 105,000 shares of Aviragen common stock held by Geoffrey F. Cox, Ph.D., John P. Richard and Anne M. VanLent, respectively, each of whom is expected to remain on the combined company’s board of directors. In addition, John P. Richard, as chairman of the transactions committee of the Aviragen board of directors, will receive a one-time payment of $13,000 for his service on such committee, and each of Messrs. Armando Anido and Russell H. Plumb, the other members of the transactions committee, will receive $10,000 for his service on such committee. For more information, please see the section titled “The Merger—Interests of the Aviragen Directors and Executive Officers in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persons involved in the merger have interests that may conflict with mine as a Vaxart stockholder?</w:t>
      </w:r>
    </w:p>
    <w:p>
      <w:pPr>
        <w:spacing w:after="0" w:line="228" w:lineRule="exact"/>
        <w:rPr>
          <w:sz w:val="20"/>
          <w:szCs w:val="20"/>
          <w:color w:val="auto"/>
        </w:rPr>
      </w:pPr>
    </w:p>
    <w:p>
      <w:pPr>
        <w:jc w:val="both"/>
        <w:ind w:left="340" w:hanging="332"/>
        <w:spacing w:after="0" w:line="289" w:lineRule="auto"/>
        <w:tabs>
          <w:tab w:leader="none" w:pos="3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Yes. In considering the recommendation of the Vaxart board of directors with respect to approving the merger and related transactions by written consent, Vaxart stockholders should be aware that certain members of the Vaxart board of directors and executive officers of Vaxart have interests in the merger that may be different from, or in addition to, interests they have as Vaxart stockholders. All of Vaxart’s executive officers have options, subject to vesting, to purchase shares of Vaxart common stock which will convert into options to purchase a number of shares of Aviragen common stock determined by the Exchange Ratio, rounding any resulting fractional shares down to the nearest whole share, certain of Vaxart’s directors and all of its executive officers are expected to become directors and executive officers of the combined company upon the closing of the merger and all of Vaxart’s directors and executive officers are entitled to certain indemnification and liability insurance coverage pursuant to the terms of the Merger Agreement. For more information, please see the section titled “The Merger—Interests of the Vaxart Directors and Executive Officers in the Merger.”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As an Aviragen stockholder, how does the Aviragen board of directors recommend that I vote?</w:t>
      </w:r>
    </w:p>
    <w:p>
      <w:pPr>
        <w:spacing w:after="0" w:line="22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After careful consideration, the Aviragen board of directors unanimously recommends that Aviragen stockholders vote:</w:t>
      </w:r>
    </w:p>
    <w:p>
      <w:pPr>
        <w:spacing w:after="0" w:line="219" w:lineRule="exact"/>
        <w:rPr>
          <w:rFonts w:ascii="Arial" w:cs="Arial" w:eastAsia="Arial" w:hAnsi="Arial"/>
          <w:sz w:val="18"/>
          <w:szCs w:val="18"/>
          <w:b w:val="1"/>
          <w:bCs w:val="1"/>
          <w:color w:val="auto"/>
        </w:rPr>
      </w:pPr>
    </w:p>
    <w:p>
      <w:pPr>
        <w:ind w:left="660" w:hanging="329"/>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Stock Issuance Proposal to consider and vote upon the issuance of shares of Aviragen common stock pursuant to the Merger Agreement;</w:t>
      </w:r>
    </w:p>
    <w:p>
      <w:pPr>
        <w:spacing w:after="0" w:line="246" w:lineRule="exact"/>
        <w:rPr>
          <w:rFonts w:ascii="Arial" w:cs="Arial" w:eastAsia="Arial" w:hAnsi="Arial"/>
          <w:sz w:val="16"/>
          <w:szCs w:val="16"/>
          <w:color w:val="auto"/>
        </w:rPr>
      </w:pPr>
    </w:p>
    <w:p>
      <w:pPr>
        <w:ind w:left="660" w:right="80" w:hanging="329"/>
        <w:spacing w:after="0" w:line="260"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Reverse Stock Split Proposal to consider and vote upon the amendment to the certificate of incorporation of Aviragen to effect a reverse stock split of Aviragen common stock, at a ratio in the range of 10 and 20-for-1, with such specific ratio to be mutually agreed upon by Aviragen and Vaxart or, if the Stock Issuance Proposal is not approved by Aviragen stockholders, determined solely by the Aviragen board of directors following the special meeting;</w:t>
      </w:r>
    </w:p>
    <w:p>
      <w:pPr>
        <w:spacing w:after="0" w:line="179" w:lineRule="exact"/>
        <w:rPr>
          <w:rFonts w:ascii="Arial" w:cs="Arial" w:eastAsia="Arial" w:hAnsi="Arial"/>
          <w:sz w:val="18"/>
          <w:szCs w:val="18"/>
          <w:color w:val="auto"/>
        </w:rPr>
      </w:pPr>
    </w:p>
    <w:p>
      <w:pPr>
        <w:ind w:left="660" w:right="520" w:hanging="329"/>
        <w:spacing w:after="0" w:line="280"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Executive Merger Compensation Proposal to consider and vote on a non-binding advisory basis, the compensation that will or may become payable by Aviragen to its named executive officers in connection with the Merger;</w:t>
      </w:r>
    </w:p>
    <w:p>
      <w:pPr>
        <w:spacing w:after="0" w:line="163" w:lineRule="exact"/>
        <w:rPr>
          <w:rFonts w:ascii="Arial" w:cs="Arial" w:eastAsia="Arial" w:hAnsi="Arial"/>
          <w:sz w:val="18"/>
          <w:szCs w:val="18"/>
          <w:color w:val="auto"/>
        </w:rPr>
      </w:pPr>
    </w:p>
    <w:p>
      <w:pPr>
        <w:ind w:left="660" w:right="460" w:hanging="329"/>
        <w:spacing w:after="0" w:line="280"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ONCE EVERY YEAR</w:t>
      </w:r>
      <w:r>
        <w:rPr>
          <w:rFonts w:ascii="Arial" w:cs="Arial" w:eastAsia="Arial" w:hAnsi="Arial"/>
          <w:sz w:val="18"/>
          <w:szCs w:val="18"/>
          <w:color w:val="auto"/>
        </w:rPr>
        <w:t>” for the Say-on-Pay Frequency Proposal to consider and vote on a non-binding advisory basis on the frequency of the advisory vote on the compensation of Aviragen’s named executive officers, and</w:t>
      </w:r>
    </w:p>
    <w:p>
      <w:pPr>
        <w:spacing w:after="0" w:line="163" w:lineRule="exact"/>
        <w:rPr>
          <w:rFonts w:ascii="Arial" w:cs="Arial" w:eastAsia="Arial" w:hAnsi="Arial"/>
          <w:sz w:val="18"/>
          <w:szCs w:val="18"/>
          <w:color w:val="auto"/>
        </w:rPr>
      </w:pPr>
    </w:p>
    <w:p>
      <w:pPr>
        <w:ind w:left="660" w:right="360" w:hanging="329"/>
        <w:spacing w:after="0" w:line="280"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to adjourn the special meeting, if necessary, if a quorum is present, to solicit additional proxies if there are not sufficient votes in favor of the Stock Issuance Proposal and/or Reverse Stock Split Proposal.</w:t>
      </w:r>
    </w:p>
    <w:p>
      <w:pPr>
        <w:spacing w:after="0" w:line="167" w:lineRule="exact"/>
        <w:rPr>
          <w:sz w:val="20"/>
          <w:szCs w:val="20"/>
          <w:color w:val="auto"/>
        </w:rPr>
      </w:pPr>
    </w:p>
    <w:p>
      <w:pPr>
        <w:ind w:left="340" w:right="20"/>
        <w:spacing w:after="0" w:line="278" w:lineRule="auto"/>
        <w:rPr>
          <w:sz w:val="20"/>
          <w:szCs w:val="20"/>
          <w:color w:val="auto"/>
        </w:rPr>
      </w:pPr>
      <w:r>
        <w:rPr>
          <w:rFonts w:ascii="Arial" w:cs="Arial" w:eastAsia="Arial" w:hAnsi="Arial"/>
          <w:sz w:val="17"/>
          <w:szCs w:val="17"/>
          <w:color w:val="auto"/>
        </w:rPr>
        <w:t>If a quorum is present, and the Stock Issuance Proposal has received sufficient votes for approval, but the Reverse Stock Split Proposal has not received the requisite votes for approval, and votes representing 2% or less of the aggregate number of shares of Aviragen common stock are needed to obtain such approval, then the special meeting will be adjourned with respect to the Reverse Stock Split Proposal for a maximum of five calendar days, during which period Aviragen will use commercially reasonable efforts to obtain such additional votes.</w:t>
      </w:r>
    </w:p>
    <w:p>
      <w:pPr>
        <w:spacing w:after="0" w:line="171"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color w:val="auto"/>
        </w:rPr>
        <w:t>No Aviragen Proposal is contingent upon any other Aviragen Proposal. Therefore, assuming all other closing conditions have been either satisfied or waived, the merger will be consummated even if the Reverse Stock Split Proposal is not approved by Aviragen’s stockholders. However, if Aviragen’s stockholders do not approve the Reverse Stock Split Proposal to effect the reverse stock split upon the closing of the merger, Aviragen has been advised that The Nasdaq Stock Market LLC will commence delisting proceedings immediately following the closing of the merger. In such event, then pursuant to the Merger Agreement,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The combined company is obligated to use commercially reasonable efforts to take such steps as necessary to ensure the continued listing of its common stock on the Nasdaq Capital Market following the closing of the merger. If the Stock Issuance Proposal is not approved but the Reverse Stock Split Approval is approved,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As a Vaxart stockholder, how does the Vaxart board of directors recommend that I vote?</w:t>
      </w:r>
    </w:p>
    <w:p>
      <w:pPr>
        <w:spacing w:after="0" w:line="228" w:lineRule="exact"/>
        <w:rPr>
          <w:sz w:val="20"/>
          <w:szCs w:val="20"/>
          <w:color w:val="auto"/>
        </w:rPr>
      </w:pPr>
    </w:p>
    <w:p>
      <w:pPr>
        <w:ind w:left="340" w:right="260" w:hanging="332"/>
        <w:spacing w:after="0" w:line="306" w:lineRule="auto"/>
        <w:tabs>
          <w:tab w:leader="none" w:pos="3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After careful consideration, the Vaxart board of directors recommends that the Vaxart stockholders execute the written consent indicating their votes in favor of the adoption of the Merger Agreement and the approval of the merger and the transactions contemplated thereby.</w:t>
      </w:r>
    </w:p>
    <w:p>
      <w:pPr>
        <w:spacing w:after="0" w:line="144" w:lineRule="exact"/>
        <w:rPr>
          <w:sz w:val="20"/>
          <w:szCs w:val="20"/>
          <w:color w:val="auto"/>
        </w:rPr>
      </w:pPr>
    </w:p>
    <w:p>
      <w:pPr>
        <w:ind w:left="340" w:right="320" w:hanging="332"/>
        <w:spacing w:after="0" w:line="265"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in deciding whether to vote in favor of the issuance of shares of Aviragen common stock pursuant to the Merger Agreement or to execute and return the written consent approving the Merger Agreement and the transactions contemplated thereby, as applicable?</w:t>
      </w:r>
    </w:p>
    <w:p>
      <w:pPr>
        <w:spacing w:after="0" w:line="180" w:lineRule="exact"/>
        <w:rPr>
          <w:sz w:val="20"/>
          <w:szCs w:val="20"/>
          <w:color w:val="auto"/>
        </w:rPr>
      </w:pPr>
    </w:p>
    <w:p>
      <w:pPr>
        <w:ind w:left="340" w:right="20" w:hanging="332"/>
        <w:spacing w:after="0" w:line="262" w:lineRule="auto"/>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You should carefully review this proxy statement/prospectus/information statement, including the section titled “Risk Factors,” which sets forth certain risks and uncertainties related to the merger, risks and uncertainties to which the combined company’s business will be subject, and risks and uncertainties to which each of Aviragen and Vaxart, as an independent company, is subject.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do you expect the merger to be consummated?</w:t>
      </w:r>
    </w:p>
    <w:p>
      <w:pPr>
        <w:spacing w:after="0" w:line="228" w:lineRule="exact"/>
        <w:rPr>
          <w:sz w:val="20"/>
          <w:szCs w:val="20"/>
          <w:color w:val="auto"/>
        </w:rPr>
      </w:pPr>
    </w:p>
    <w:p>
      <w:pPr>
        <w:ind w:left="340" w:right="400" w:hanging="332"/>
        <w:spacing w:after="0" w:line="340" w:lineRule="auto"/>
        <w:tabs>
          <w:tab w:leader="none" w:pos="34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merger is anticipated to close as soon as possible after the Aviragen special meeting is held on February 6, 2018, but Aviragen cannot predict the exact timing. For more information, please see the section titled “The Merger Agreement—Conditions to the Closing of the Merger.”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now?</w:t>
      </w:r>
    </w:p>
    <w:p>
      <w:pPr>
        <w:spacing w:after="0" w:line="228" w:lineRule="exact"/>
        <w:rPr>
          <w:sz w:val="20"/>
          <w:szCs w:val="20"/>
          <w:color w:val="auto"/>
        </w:rPr>
      </w:pPr>
    </w:p>
    <w:p>
      <w:pPr>
        <w:ind w:left="340" w:right="380" w:hanging="332"/>
        <w:spacing w:after="0" w:line="276"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Aviragen and Vaxart urge you to read this proxy statement/prospectus/information statement carefully, including its annexes, and to consider how the merger affects you.</w:t>
      </w:r>
    </w:p>
    <w:p>
      <w:pPr>
        <w:spacing w:after="0" w:line="16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If you are an Aviragen stockholder, you may provide your proxy instructions in one of three different ways.</w:t>
      </w:r>
    </w:p>
    <w:p>
      <w:pPr>
        <w:spacing w:after="0" w:line="223" w:lineRule="exact"/>
        <w:rPr>
          <w:rFonts w:ascii="Arial" w:cs="Arial" w:eastAsia="Arial" w:hAnsi="Arial"/>
          <w:sz w:val="18"/>
          <w:szCs w:val="18"/>
          <w:b w:val="1"/>
          <w:bCs w:val="1"/>
          <w:color w:val="auto"/>
        </w:rPr>
      </w:pPr>
    </w:p>
    <w:p>
      <w:pPr>
        <w:ind w:left="660" w:right="640" w:hanging="329"/>
        <w:spacing w:after="0" w:line="27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By Internet: If you have Internet access, you may submit your proxy by following the Internet voting instructions on the proxy card or voting instruction card sent to you.</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By Telephone: You may submit your proxy by following the telephone voting instructions on the proxy card or voting instruction card sent to you.</w:t>
      </w:r>
    </w:p>
    <w:p>
      <w:pPr>
        <w:spacing w:after="0" w:line="273" w:lineRule="exact"/>
        <w:rPr>
          <w:rFonts w:ascii="Arial" w:cs="Arial" w:eastAsia="Arial" w:hAnsi="Arial"/>
          <w:sz w:val="16"/>
          <w:szCs w:val="16"/>
          <w:color w:val="auto"/>
        </w:rPr>
      </w:pPr>
    </w:p>
    <w:p>
      <w:pPr>
        <w:jc w:val="both"/>
        <w:ind w:left="660" w:right="40" w:hanging="329"/>
        <w:spacing w:after="0" w:line="262"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By Mail: You may do this by marking, dating and signing your proxy card or, for shares held in “street name,” the voting instruction card provided to you by your broker or other nominee, and mailing it in the enclosed, self-addressed, postage prepaid envelope. No postage is required if mailed in the United States.</w:t>
      </w:r>
    </w:p>
    <w:p>
      <w:pPr>
        <w:spacing w:after="0" w:line="183" w:lineRule="exact"/>
        <w:rPr>
          <w:sz w:val="20"/>
          <w:szCs w:val="20"/>
          <w:color w:val="auto"/>
        </w:rPr>
      </w:pPr>
    </w:p>
    <w:p>
      <w:pPr>
        <w:ind w:left="340" w:right="220"/>
        <w:spacing w:after="0" w:line="276" w:lineRule="auto"/>
        <w:rPr>
          <w:sz w:val="20"/>
          <w:szCs w:val="20"/>
          <w:color w:val="auto"/>
        </w:rPr>
      </w:pPr>
      <w:r>
        <w:rPr>
          <w:rFonts w:ascii="Arial" w:cs="Arial" w:eastAsia="Arial" w:hAnsi="Arial"/>
          <w:sz w:val="18"/>
          <w:szCs w:val="18"/>
          <w:color w:val="auto"/>
        </w:rPr>
        <w:t>Please provide your proxy instructions only once, unless you are revoking a previously delivered proxy instruction, and as soon as possible so that your shares can be voted at the special meeting of Aviragen stockholders.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Vaxart stockholder, you may execute and return your written consent to Vaxart in accordance with the instructions provided.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do not return a proxy card or otherwise provide proxy instructions, as applicable?</w:t>
      </w:r>
    </w:p>
    <w:p>
      <w:pPr>
        <w:spacing w:after="0" w:line="224" w:lineRule="exact"/>
        <w:rPr>
          <w:sz w:val="20"/>
          <w:szCs w:val="20"/>
          <w:color w:val="auto"/>
        </w:rPr>
      </w:pPr>
    </w:p>
    <w:p>
      <w:pPr>
        <w:jc w:val="both"/>
        <w:ind w:left="340" w:right="100" w:hanging="332"/>
        <w:spacing w:after="0" w:line="265"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you return a signed proxy card without marking any selections,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Stock Issuance Proposal, the Reverse Stock Split Proposal, the Executive Merger Compensation Proposal and the Adjournment Proposal and “</w:t>
      </w:r>
      <w:r>
        <w:rPr>
          <w:rFonts w:ascii="Arial" w:cs="Arial" w:eastAsia="Arial" w:hAnsi="Arial"/>
          <w:sz w:val="18"/>
          <w:szCs w:val="18"/>
          <w:b w:val="1"/>
          <w:bCs w:val="1"/>
          <w:color w:val="auto"/>
        </w:rPr>
        <w:t>ONCE EVERY</w:t>
      </w:r>
      <w:r>
        <w:rPr>
          <w:rFonts w:ascii="Arial" w:cs="Arial" w:eastAsia="Arial" w:hAnsi="Arial"/>
          <w:sz w:val="18"/>
          <w:szCs w:val="18"/>
          <w:color w:val="auto"/>
        </w:rPr>
        <w:t xml:space="preserve"> </w:t>
      </w:r>
      <w:r>
        <w:rPr>
          <w:rFonts w:ascii="Arial" w:cs="Arial" w:eastAsia="Arial" w:hAnsi="Arial"/>
          <w:sz w:val="18"/>
          <w:szCs w:val="18"/>
          <w:b w:val="1"/>
          <w:bCs w:val="1"/>
          <w:color w:val="auto"/>
        </w:rPr>
        <w:t>YEAR</w:t>
      </w:r>
      <w:r>
        <w:rPr>
          <w:rFonts w:ascii="Arial" w:cs="Arial" w:eastAsia="Arial" w:hAnsi="Arial"/>
          <w:sz w:val="18"/>
          <w:szCs w:val="18"/>
          <w:color w:val="auto"/>
        </w:rPr>
        <w:t>” for the Say-on-Pay Frequency Proposal.</w:t>
      </w:r>
    </w:p>
    <w:p>
      <w:pPr>
        <w:spacing w:after="0" w:line="179" w:lineRule="exact"/>
        <w:rPr>
          <w:rFonts w:ascii="Arial" w:cs="Arial" w:eastAsia="Arial" w:hAnsi="Arial"/>
          <w:sz w:val="18"/>
          <w:szCs w:val="18"/>
          <w:b w:val="1"/>
          <w:bCs w:val="1"/>
          <w:color w:val="auto"/>
        </w:rPr>
      </w:pPr>
    </w:p>
    <w:p>
      <w:pPr>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If you do not give instruction to your broker, your broker can vote your Aviragen shares with respect to “discretionary” items but not with respect to “non-discretionary” items. It is anticipated that the Stock Issuance Proposal, Executive Merger Compensation Proposal, the Say-on-Pay Frequency Proposal and the Adjournment Proposal will be non-discretionary items. On non-discretionary items for which you do not give your broker instructions, the Aviragen shares will be treated as broker non-votes. Broker non-votes will not be considered to be shares “entitled to vote” at the meeting and will not be counted as having been voted on the applicable proposal. The Reverse Stock Split Proposal is a matter on which a broker or other nominee is generally empowered to vote, and therefore, limited or no broker non-votes are expected with respect to that proposal.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vote in person at the special meeting of stockholders of Aviragen?</w:t>
      </w:r>
    </w:p>
    <w:p>
      <w:pPr>
        <w:spacing w:after="0" w:line="228" w:lineRule="exact"/>
        <w:rPr>
          <w:sz w:val="20"/>
          <w:szCs w:val="20"/>
          <w:color w:val="auto"/>
        </w:rPr>
      </w:pPr>
    </w:p>
    <w:p>
      <w:pPr>
        <w:ind w:left="340" w:right="160" w:hanging="332"/>
        <w:spacing w:after="0" w:line="288" w:lineRule="auto"/>
        <w:tabs>
          <w:tab w:leader="none" w:pos="34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If your shares of Aviragen common stock are registered directly in your name with the Aviragen transfer agent, you are considered to be the stockholder of record with respect to those shares, and the proxy materials and proxy card are being sent directly to you by Aviragen. If you are an Aviragen stockholder of record, you may attend the special meeting of Aviragen stockholders and vote your shares in person. Even if you plan to attend the Aviragen special meeting in person, Aviragen requests that you sign and return the enclosed proxy to ensure that your shares will be represented at the Aviragen special meeting if you are unable to attend. If your shares of Aviragen common stock are held in a brokerage account or by another nominee, you are considered the beneficial owner of shares held in “street name,” and the proxy materials are being forwarded to you by your broker or other nominee together with a voting instruction card. As the beneficial owner, you are also invited to attend the special meeting of Aviragen stockholders. Because a beneficial owner is not the stockholder of record, you may not vote these shares in person at the Aviragen special meeting unless you obtain a proxy from the broker, trustee or nominee that holds your shares, giving you the right to vote the shares at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is the special meeting of Aviragen stockholders being held?</w:t>
      </w:r>
    </w:p>
    <w:p>
      <w:pPr>
        <w:spacing w:after="0" w:line="228" w:lineRule="exact"/>
        <w:rPr>
          <w:sz w:val="20"/>
          <w:szCs w:val="20"/>
          <w:color w:val="auto"/>
        </w:rPr>
      </w:pPr>
    </w:p>
    <w:p>
      <w:pPr>
        <w:ind w:left="340" w:right="40" w:hanging="332"/>
        <w:spacing w:after="0" w:line="262" w:lineRule="auto"/>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special meeting of Aviragen stockholders will be held at 2500 Northwinds Parkway, Suite 100, Alpharetta, Georgia 30009, at 9:00 a.m. local time, on February 6, 2018. Subject to space availability, all Aviragen stockholders as of the record date, or their duly appointed proxies, may attend the meeting. Since seating is limited, admission to the meeting will be on a first-come, first-served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If my Aviragen shares are held in “street name” by my broker, will my broker vote my shares for me?</w:t>
      </w:r>
    </w:p>
    <w:p>
      <w:pPr>
        <w:spacing w:after="0" w:line="228" w:lineRule="exact"/>
        <w:rPr>
          <w:sz w:val="20"/>
          <w:szCs w:val="20"/>
          <w:color w:val="auto"/>
        </w:rPr>
      </w:pPr>
    </w:p>
    <w:p>
      <w:pPr>
        <w:ind w:left="340" w:right="40" w:hanging="332"/>
        <w:spacing w:after="0" w:line="256"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Unless your broker has discretionary authority to vote on certain matters, your broker will not be able to vote your shares of Aviragen common stock on matters requiring discretionary authority without instructions from you. Brokers are not expected to have discretionary authority to vote for the Stock Issuance Proposal, the Executive Merger Compensation Proposal, the Say-on-Pay Frequency Proposal or the Adjournment Proposal. To make sure that your vote is counted, you should instruct your broker to vote your shares, following the procedures provided by your broker. Brokers are expected to have discretionary authority to vote for the Reverse Stock Split Proposal.</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7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change my vote after I have submitted a proxy or provided proxy instructions?</w:t>
      </w:r>
    </w:p>
    <w:p>
      <w:pPr>
        <w:spacing w:after="0" w:line="228" w:lineRule="exact"/>
        <w:rPr>
          <w:sz w:val="20"/>
          <w:szCs w:val="20"/>
          <w:color w:val="auto"/>
        </w:rPr>
      </w:pPr>
    </w:p>
    <w:p>
      <w:pPr>
        <w:ind w:left="340" w:hanging="332"/>
        <w:spacing w:after="0" w:line="292" w:lineRule="auto"/>
        <w:tabs>
          <w:tab w:leader="none" w:pos="3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Aviragen stockholders of record, other than those Aviragen stockholders who are parties to support agreements, may change their vote at any time before their proxy is voted at the Aviragen special meeting in one of three ways. First, an Aviragen stockholder of record can send a written notice to the Secretary of Aviragen stating that it would like to revoke its proxy. Second, an Aviragen stockholder of record can submit new proxy instructions either on a new proxy card or via telephone or the Internet. Third, an Aviragen stockholder of record can attend the Aviragen special meeting and vote in person. Attendance alone will not revoke a proxy. If an Aviragen stockholder of record or a stockholder who owns Aviragen shares in “street name” has instructed a broker to vote its shares of Aviragen common stock, the stockholder must follow directions received from its broker to change those instructions.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this proxy solicitation?</w:t>
      </w:r>
    </w:p>
    <w:p>
      <w:pPr>
        <w:spacing w:after="0" w:line="228" w:lineRule="exact"/>
        <w:rPr>
          <w:sz w:val="20"/>
          <w:szCs w:val="20"/>
          <w:color w:val="auto"/>
        </w:rPr>
      </w:pPr>
    </w:p>
    <w:p>
      <w:pPr>
        <w:ind w:left="340" w:right="100" w:hanging="332"/>
        <w:spacing w:after="0" w:line="292" w:lineRule="auto"/>
        <w:tabs>
          <w:tab w:leader="none" w:pos="34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Aviragen and Vaxart will share equally the costs of printing and filing this proxy statement/prospectus/information statement and proxy card. Arrangements will also be made with brokerage firms and other custodians, nominees and fiduciaries who are record holders of Aviragen common stock for the forwarding of solicitation materials to the beneficial owners of Aviragen common stock. Aviragen and Vaxart will reimburse these brokers, custodians, nominees and fiduciaries for the reasonable out-of-pocket expenses they incur in connection with the forwarding of solicitation materials. Aviragen has engaged D.F. King &amp; Co., Inc. to assist in the solicitation of proxies and provide related advice and informational support, for a service fee, plus customary disbursements, which are not expected to exceed $15,000 in total, which shall be shared equally by Aviragen and Vaxart.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help answer my questions?</w:t>
      </w:r>
    </w:p>
    <w:p>
      <w:pPr>
        <w:spacing w:after="0" w:line="228" w:lineRule="exact"/>
        <w:rPr>
          <w:sz w:val="20"/>
          <w:szCs w:val="20"/>
          <w:color w:val="auto"/>
        </w:rPr>
      </w:pPr>
    </w:p>
    <w:p>
      <w:pPr>
        <w:ind w:left="340" w:right="220" w:hanging="332"/>
        <w:spacing w:after="0" w:line="306" w:lineRule="auto"/>
        <w:tabs>
          <w:tab w:leader="none" w:pos="34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If you are an Aviragen stockholder and would like additional copies, without charge, of this proxy statement/prospectus/information statement or if you have questions about the merger, including the procedures for voting your shares, you should contact Aviragen’s proxy solicitor: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ind w:left="5220" w:hanging="430"/>
        <w:spacing w:after="0"/>
        <w:tabs>
          <w:tab w:leader="none" w:pos="5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967-5074 (toll free)</w:t>
      </w:r>
    </w:p>
    <w:p>
      <w:pPr>
        <w:spacing w:after="0" w:line="8" w:lineRule="exact"/>
        <w:rPr>
          <w:rFonts w:ascii="Arial" w:cs="Arial" w:eastAsia="Arial" w:hAnsi="Arial"/>
          <w:sz w:val="18"/>
          <w:szCs w:val="18"/>
          <w:color w:val="auto"/>
        </w:rPr>
      </w:pPr>
    </w:p>
    <w:p>
      <w:pPr>
        <w:ind w:left="5260" w:hanging="428"/>
        <w:spacing w:after="0"/>
        <w:tabs>
          <w:tab w:leader="none" w:pos="52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269-5550 (collect)</w:t>
      </w:r>
    </w:p>
    <w:p>
      <w:pPr>
        <w:spacing w:after="0" w:line="209" w:lineRule="exact"/>
        <w:rPr>
          <w:sz w:val="20"/>
          <w:szCs w:val="20"/>
          <w:color w:val="auto"/>
        </w:rPr>
      </w:pPr>
    </w:p>
    <w:p>
      <w:pPr>
        <w:ind w:left="340" w:right="100"/>
        <w:spacing w:after="0" w:line="276" w:lineRule="auto"/>
        <w:rPr>
          <w:sz w:val="20"/>
          <w:szCs w:val="20"/>
          <w:color w:val="auto"/>
        </w:rPr>
      </w:pPr>
      <w:r>
        <w:rPr>
          <w:rFonts w:ascii="Arial" w:cs="Arial" w:eastAsia="Arial" w:hAnsi="Arial"/>
          <w:sz w:val="18"/>
          <w:szCs w:val="18"/>
          <w:color w:val="auto"/>
        </w:rPr>
        <w:t>If you are a Vaxart stockholder and would like additional copies, without charge, of this proxy statement/prospectus/information statement or if you have questions about the merger, including the procedures for voting your shares, you should contact: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395 Oyster Point Blvd., Suite 405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Executive Officer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statement/prospectus/information statement and may not contain all of the information that is important to you. To better understand the merger, the proposals being considered at the Aviragen special meeting and the Vaxart stockholder actions that are the subject of the written consent, you should read this entire proxy statement/prospectus/information statement carefully, including the Merger Agreement and the other annexes to which you are referred to herein. For more information, please see the section titled “Where You Can Find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Therapeutics,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(678) 221-3343</w:t>
      </w:r>
    </w:p>
    <w:p>
      <w:pPr>
        <w:spacing w:after="0" w:line="20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Aviragen Therapeutics, Inc., or Aviragen, is a biopharmaceutical company that has been focused on the discovery and development of direct-acting antivirals to treat infections that have limited therapeutic options and affect a significant number of patients globally. Aviragen has three Phase 2 clinical stage compounds: BTA074 (teslexivir), an antiviral treatment for condyloma caused by human papillomavirus types 6 &amp; 11; vapendavir, a capsid inhibitor for the prevention or treatment of rhinovirus, or RV, upper respiratory infections; and BTA585 (enzaplatovir), a fusion protein inhibitor in development for the treatment of respiratory syncytial virus infections.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395 Oyster Point Blvd., Suite 405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550-3500</w:t>
      </w:r>
    </w:p>
    <w:p>
      <w:pPr>
        <w:spacing w:after="0" w:line="209"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Vaxart is a clinical-stage pharmaceutical company focused on developing oral recombinant protein vaccines based on its proprietary oral vaccine platform. Vaxart believes its platform is suitable to deliver many recombinant protein antigens such as those used in currently marketed influenza, hepatitis B and human papilloma virus, or HPV, vaccines, as well as many other recombinant vaccines currently in Vaxart’s industry pipeline.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Agora Merger Sub,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(678) 221-3343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Agora Merger Sub, Inc., or Merger Sub, is a wholly-owned subsidiary of Aviragen and was formed solely for the purposes of carrying out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2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If the merger is consummated, Merger Sub will merge with and into Vaxart, with Vaxart surviving the merger as a wholly-owned subsidiary of the combined company.</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Subject to the terms and conditions of the Merger Agreement, at the effective time of the merger, or the Effective Time, (a) each outstanding share of capital stock of Vaxart, will be converted into the right to receive approximately 0.3198, or the Exchange Ratio, shares of Aviragen common stock, subject to adjustment for any Aviragen reverse stock split, and (b) each outstanding Vaxart stock option, whether vested or unvested, and warrant that has not previously been exercised prior to the Effective Time will be converted into a stock option or warrant, as the case may be, to purchase approximately 0.3198 shares of Aviragen common stock. The Exchange Ratio is an estimate only and the final Exchange Ratio will be determined pursuant to a formula described in more detail in the Merger Agreement and in this proxy statement/prospectus/information statement.</w:t>
      </w:r>
    </w:p>
    <w:p>
      <w:pPr>
        <w:spacing w:after="0" w:line="17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Under the Exchange Ratio formula in the Merger Agreement, as of immediately after the merger and assuming no adjustments for cash balances as provided for in the Merger Agreement, the former Vaxart securityholders are expected to own approximately 60% of the Post-Closing Shares, and the securityholders of Aviragen as of immediately prior to the merger are expected to own approximately 40% of the aggregate number of Post-Closing Shares. This Exchange Ratio will be fixed prior to closing to reflect Aviragen’s and Vaxart’s capitalization as of immediately prior to such time. These percentages assume that the Exchange Ratio is not adjusted, as described in the section titled "The Merger Agreement—Merger Consideration" below. For a more complete description of the Exchange Ratio, please see the section titled "The Merger Agreement—Exchange Ratio" in this proxy statement/prospectus/information statement.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closing of the merger will occur no later than the second business day after the last of the conditions to the merger has been satisfied or waived, or at another time as Aviragen and Vaxart agree. Aviragen and Vaxart anticipate that the closing of the merger will occur promptly after the Aviragen special meeting. However, because the merger is subject to a number of conditions, neither Aviragen nor Vaxart can predict exactly when the closing will occur or if it will occur at all. After the closing of the merger, the name of the combined company will be changed from “Aviragen Therapeutics, Inc.” to “Vaxart,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4, 2017, Aviragen announced that based on a review of the status of its internal programs, resources and capabilities, it planned to explore a wide range of strategic alternatives that include a business combination or strategic merger, in-licensing clinical stage programs, an acquisition, or other transaction that would complement its current pipeline and could maximize both near and long-term value for Aviragen stockholders. Aviragen retained Stifel, Nicolaus &amp; Company, Incorporated, or Stifel, to serve as its financial advisor in certain aspects of the process. After a comprehensive review of strategic alternatives, on October 30, 2017, Aviragen announced the signing of a definitive merger agreement with Vaxart. The addition of Vaxart’s business will complement Aviragen’s focus on infectious diseases and position the combined company to create both near and long-term value for its stockholders. Following the merger, the combined company will focus on developing Vaxart’s oral recombinant vaccines, based on its proprietary delivery platform that allows for administration by tablet rather than by injection, and on Aviragen’s direct-acting antivirals to treat infections that have limited therapeutic options. Vaxart’s technology platform has been engineered for the delivery of a wide range of oral vaccines, initially targeting norovirus, HPV, respiratory syncytial virus, and influenza. These programs address large therapeutic categories, with norovirus afflicting about 20 million people each year in the United States. To date, there is no approved vaccine for norovirus. The focus of Aviragen’s pipeline will be BTA074 and its Phase 2 program for the treatment of condyloma caused by HPV, which has competed patient enrollment and is expected to report top-line safety and efficacy data in the second quarter of 2018.</w:t>
      </w:r>
    </w:p>
    <w:p>
      <w:pPr>
        <w:spacing w:after="0" w:line="16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In reaching its unanimous decision to approve the Merger Agreement and the transactions contemplated thereby, the Aviragen board of directors considered a number of factors, including, among others, the following:</w:t>
      </w:r>
    </w:p>
    <w:p>
      <w:pPr>
        <w:spacing w:after="0" w:line="170" w:lineRule="exact"/>
        <w:rPr>
          <w:sz w:val="20"/>
          <w:szCs w:val="20"/>
          <w:color w:val="auto"/>
        </w:rPr>
      </w:pPr>
    </w:p>
    <w:p>
      <w:pPr>
        <w:ind w:left="660" w:right="360" w:hanging="329"/>
        <w:spacing w:after="0" w:line="28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historical and current information concerning Aviragen’s business, financial performance, financial condition, operations, management and competitive position, the prospects of Aviragen and its product candidates, the nature of the biotechnology industry generally, including financial projections of Aviragen under various scenarios and its short- and long-term strategic objectives;</w:t>
      </w:r>
    </w:p>
    <w:p>
      <w:pPr>
        <w:spacing w:after="0" w:line="164" w:lineRule="exact"/>
        <w:rPr>
          <w:rFonts w:ascii="Arial" w:cs="Arial" w:eastAsia="Arial" w:hAnsi="Arial"/>
          <w:sz w:val="17"/>
          <w:szCs w:val="17"/>
          <w:color w:val="auto"/>
        </w:rPr>
      </w:pPr>
    </w:p>
    <w:p>
      <w:pPr>
        <w:ind w:left="660" w:right="60" w:hanging="329"/>
        <w:spacing w:after="0" w:line="340"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Vaxart’s proprietary technology platform, with its broad applicability in the pharmaceutical industry, as well as its product pipeline, which includes clinical stage candidates that address sizeable market opportunities, may provide new medical benefits for patients and returns for investors;</w:t>
      </w:r>
    </w:p>
    <w:p>
      <w:pPr>
        <w:spacing w:after="0" w:line="124" w:lineRule="exact"/>
        <w:rPr>
          <w:rFonts w:ascii="Arial" w:cs="Arial" w:eastAsia="Arial" w:hAnsi="Arial"/>
          <w:sz w:val="16"/>
          <w:szCs w:val="16"/>
          <w:color w:val="auto"/>
        </w:rPr>
      </w:pPr>
    </w:p>
    <w:p>
      <w:pPr>
        <w:ind w:left="660" w:right="660" w:hanging="329"/>
        <w:spacing w:after="0" w:line="27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merger would provide existing Aviragen stockholders a significant opportunity to participate in the potential growth of the combined company following the merger;</w:t>
      </w:r>
    </w:p>
    <w:p>
      <w:pPr>
        <w:spacing w:after="0" w:line="169"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the combined company will be led by an experienced senior management team from Vaxart and a board of directors with representation from each of the current boards of directors of Aviragen and Vaxart;</w:t>
      </w:r>
    </w:p>
    <w:p>
      <w:pPr>
        <w:spacing w:after="0" w:line="169" w:lineRule="exact"/>
        <w:rPr>
          <w:rFonts w:ascii="Arial" w:cs="Arial" w:eastAsia="Arial" w:hAnsi="Arial"/>
          <w:sz w:val="18"/>
          <w:szCs w:val="18"/>
          <w:color w:val="auto"/>
        </w:rPr>
      </w:pPr>
    </w:p>
    <w:p>
      <w:pPr>
        <w:ind w:left="660" w:right="260" w:hanging="329"/>
        <w:spacing w:after="0" w:line="27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vapendavir to meet the primary endpoint in its Phase 2 SPIRITUS trial and the failure of BTA585 to meet the primary endpoint in its Phase 2 challenge trial; and</w:t>
      </w:r>
    </w:p>
    <w:p>
      <w:pPr>
        <w:spacing w:after="0" w:line="169" w:lineRule="exact"/>
        <w:rPr>
          <w:rFonts w:ascii="Arial" w:cs="Arial" w:eastAsia="Arial" w:hAnsi="Arial"/>
          <w:sz w:val="18"/>
          <w:szCs w:val="18"/>
          <w:color w:val="auto"/>
        </w:rPr>
      </w:pPr>
    </w:p>
    <w:p>
      <w:pPr>
        <w:ind w:left="660" w:right="60" w:hanging="329"/>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Merger Agreement and associated transactions, including the relative percentage ownership of Aviragen securityholders and Vaxart securityholders immediately following the closing of the merger, the reasonableness of the fees and expenses related to the Merger and the likelihood that the merger will be completed.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Aviragen board of directors’ reasons for the transaction, see the section titled “The Merger—Aviragen Reasons for the Merger.”</w:t>
      </w:r>
    </w:p>
    <w:p>
      <w:pPr>
        <w:spacing w:after="0" w:line="247"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In reaching its unanimous decision to approve the Merger Agreement and the related transactions, the Vaxart board of directors considered a number of factors, including, among others, the following:</w:t>
      </w:r>
    </w:p>
    <w:p>
      <w:pPr>
        <w:spacing w:after="0" w:line="170" w:lineRule="exact"/>
        <w:rPr>
          <w:sz w:val="20"/>
          <w:szCs w:val="20"/>
          <w:color w:val="auto"/>
        </w:rPr>
      </w:pPr>
    </w:p>
    <w:p>
      <w:pPr>
        <w:ind w:left="660" w:hanging="3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increased access to sources of capital than it could otherwise obtain if it continued to operate as a privately held company;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to provide its current stockholders with greater liquidity by owning stock in a public company;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140" w:hanging="329"/>
        <w:spacing w:after="0" w:line="34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Vaxart board of directors’ belief that no alternatives to the merger were reasonably likely to create greater value for the Vaxart stockholders after reviewing the various strategic options to enhance stockholder value that were considered by the Vaxart board of directors;</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cash resources of the combined company expected to be available at the closing of the merger; and</w:t>
      </w:r>
    </w:p>
    <w:p>
      <w:pPr>
        <w:spacing w:after="0" w:line="223" w:lineRule="exact"/>
        <w:rPr>
          <w:rFonts w:ascii="Arial" w:cs="Arial" w:eastAsia="Arial" w:hAnsi="Arial"/>
          <w:sz w:val="18"/>
          <w:szCs w:val="18"/>
          <w:color w:val="auto"/>
        </w:rPr>
      </w:pPr>
    </w:p>
    <w:p>
      <w:pPr>
        <w:ind w:left="660" w:right="120" w:hanging="329"/>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expectation that the merger will be treated as a reorganization for U.S. federal income tax purposes, with the result that the Vaxart stockholders will not recognize taxable gain or loss for U.S. federal income tax purposes upon the exchange of Vaxart common stock for Aviragen common stock pursuant to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the Vaxart board of directors’ reasons for the transaction, see the section titled “The Merger—Vaxart Reasons for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the Financial Advisor to the Aviragen Board of Directors</w:t>
      </w: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Aviragen board of directors engaged Stifel to provide financial advisory and investment banking services in connection with the board of directors’ consideration and evaluation of certain potential strategic alternatives. On October 27, 2017, Stifel delivered its oral opinion to the Aviragen board of directors, which opinion was confirmed in writing on the same date, that, as of the date of such opinion, and based upon and subject to the assumptions made, procedures followed, matters considered and qualifications and limitations of the review set forth in its written opinion, as of October 27, 2017, the merger consideration to be paid by Aviragen to Vaxart stockholders in the merger pursuant to the Merger Agreement was fair to Aviragen, from a financial point of view.</w:t>
      </w:r>
    </w:p>
    <w:p>
      <w:pPr>
        <w:spacing w:after="0" w:line="19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full text of Stifel’s written opinion, which sets forth the assumptions made, procedures followed, matters considered, and qualifications and limitations of the review undertaken by Stifel in connection with such opinion, is attached as </w:t>
      </w:r>
      <w:r>
        <w:rPr>
          <w:rFonts w:ascii="Arial" w:cs="Arial" w:eastAsia="Arial" w:hAnsi="Arial"/>
          <w:sz w:val="17"/>
          <w:szCs w:val="17"/>
          <w:i w:val="1"/>
          <w:iCs w:val="1"/>
          <w:color w:val="auto"/>
        </w:rPr>
        <w:t>Annex C</w:t>
      </w:r>
      <w:r>
        <w:rPr>
          <w:rFonts w:ascii="Arial" w:cs="Arial" w:eastAsia="Arial" w:hAnsi="Arial"/>
          <w:sz w:val="17"/>
          <w:szCs w:val="17"/>
          <w:color w:val="auto"/>
        </w:rPr>
        <w:t xml:space="preserve"> to this proxy statement/prospectus/information statement and is incorporated herein by reference. Aviragen urges you to carefully read the Stifel opinion, together with the description of such opinion included elsewhere in this proxy statement/prospectus/information statement, in its entirety. Stifel provided its opinion to the Aviragen board of directors for its information and assistance in connection with its consideration of the financial terms of the merger. Stifel’s opinion addressed solely the fairness, from a financial point of view, of the merger consideration to be paid by Aviragen to Vaxart stockholders in the merger pursuant to the Merger Agreement, to Aviragen. Stifel’s opinion did not address Aviragen’s underlying business decision to proceed with the merger or the relative merits of the merger compared to other alternative transactions or business strategies which may have been available to Aviragen. Stifel’s opinion did not constitute a recommendation to the Aviragen board of directors or any other person, and is not a recommendation to any Aviragen or Vaxart stockholder, as to how to vote or act with respect to the merger or any other matter. For a more complete discussion of Stifel’s opinion, see the section titled “The Merger—Opinion of the Financial Advisor to the Aviragen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Merger Agreement and Agreements Related to the Merger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merger:</w:t>
      </w:r>
    </w:p>
    <w:p>
      <w:pPr>
        <w:spacing w:after="0" w:line="224" w:lineRule="exact"/>
        <w:rPr>
          <w:sz w:val="20"/>
          <w:szCs w:val="20"/>
          <w:color w:val="auto"/>
        </w:rPr>
      </w:pPr>
    </w:p>
    <w:p>
      <w:pPr>
        <w:ind w:left="660" w:right="120" w:hanging="329"/>
        <w:spacing w:after="0" w:line="27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outstanding share of capital stock of Vaxart will be converted into the right to receive approximately 0.3198 shares of Aviragen common stock, subject to adjustment for any reverse stock split; and</w:t>
      </w:r>
    </w:p>
    <w:p>
      <w:pPr>
        <w:spacing w:after="0" w:line="169" w:lineRule="exact"/>
        <w:rPr>
          <w:rFonts w:ascii="Arial" w:cs="Arial" w:eastAsia="Arial" w:hAnsi="Arial"/>
          <w:sz w:val="18"/>
          <w:szCs w:val="18"/>
          <w:color w:val="auto"/>
        </w:rPr>
      </w:pPr>
    </w:p>
    <w:p>
      <w:pPr>
        <w:ind w:left="660" w:right="60" w:hanging="329"/>
        <w:spacing w:after="0" w:line="34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outstanding Vaxart stock option, whether vested or unvested, and warrant that has not previously been exercised prior to the Effective Time will be converted into a stock option or warrant, as the case may be, to purchase approximately 0.3198 shares of Aviragen common stock.</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Immediately after the merger, based on the Exchange Ratio, Vaxart securityholders will own approximately 60% of the outstanding capital stock of the combined company, and Aviragen securityholders will own approximately 40% of the outstanding capital stock of the combined company. The Exchange Ratio is an estimate only and the final Exchange Ratio will be determined pursuant to a formula described in more detail in the Merger Agreement and in this proxy statement/prospectus/information statement. Adjustments to the Exchange Ratio are described in more detail in the Merger Agreement and in this proxy statement/prospectus/information statement.</w:t>
      </w:r>
    </w:p>
    <w:p>
      <w:pPr>
        <w:spacing w:after="0" w:line="188"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Aviragen common stock that Vaxart securityholders will be entitled to receive for changes in the market price of Aviragen common stock.</w:t>
      </w:r>
    </w:p>
    <w:p>
      <w:pPr>
        <w:spacing w:after="0" w:line="170"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Accordingly, the market value of the shares of Aviragen common stock issued pursuant to the Merger Agreement will depend on the market value of the shares of Aviragen common stock at the time the merger closes and could vary significantly from the market value on the date of this proxy</w:t>
      </w:r>
    </w:p>
    <w:tbl>
      <w:tblPr>
        <w:tblLayout w:type="fixed"/>
        <w:tblInd w:w="0" w:type="dxa"/>
        <w:tblCellMar>
          <w:top w:w="0" w:type="dxa"/>
          <w:left w:w="0" w:type="dxa"/>
          <w:bottom w:w="0" w:type="dxa"/>
          <w:right w:w="0" w:type="dxa"/>
        </w:tblCellMar>
      </w:tblPr>
      <w:tr>
        <w:trPr>
          <w:trHeight w:val="201"/>
        </w:trPr>
        <w:tc>
          <w:tcPr>
            <w:tcW w:w="3980" w:type="dxa"/>
            <w:vAlign w:val="bottom"/>
          </w:tcPr>
          <w:p>
            <w:pPr>
              <w:spacing w:after="0" w:line="201" w:lineRule="exact"/>
              <w:rPr>
                <w:sz w:val="20"/>
                <w:szCs w:val="20"/>
                <w:color w:val="auto"/>
              </w:rPr>
            </w:pPr>
            <w:r>
              <w:rPr>
                <w:rFonts w:ascii="Arial" w:cs="Arial" w:eastAsia="Arial" w:hAnsi="Arial"/>
                <w:sz w:val="18"/>
                <w:szCs w:val="18"/>
                <w:color w:val="auto"/>
              </w:rPr>
              <w:t>statement/prospectus/information statement. On</w:t>
            </w:r>
          </w:p>
        </w:tc>
        <w:tc>
          <w:tcPr>
            <w:tcW w:w="744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9"/>
              </w:rPr>
              <w:t>, 2018, the last trading day before the date of this proxy statement/prospectus/information statement,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0"/>
              </w:rPr>
              <w:t>the closing sale price of Aviragen common stock was $</w:t>
            </w:r>
          </w:p>
        </w:tc>
        <w:tc>
          <w:tcPr>
            <w:tcW w:w="7440" w:type="dxa"/>
            <w:vAlign w:val="bottom"/>
          </w:tcPr>
          <w:p>
            <w:pPr>
              <w:jc w:val="right"/>
              <w:ind w:right="6450"/>
              <w:spacing w:after="0"/>
              <w:rPr>
                <w:sz w:val="20"/>
                <w:szCs w:val="20"/>
                <w:color w:val="auto"/>
              </w:rPr>
            </w:pPr>
            <w:r>
              <w:rPr>
                <w:rFonts w:ascii="Arial" w:cs="Arial" w:eastAsia="Arial" w:hAnsi="Arial"/>
                <w:sz w:val="18"/>
                <w:szCs w:val="18"/>
                <w:color w:val="auto"/>
              </w:rPr>
              <w:t>per share.</w:t>
            </w:r>
          </w:p>
        </w:tc>
      </w:tr>
      <w:tr>
        <w:trPr>
          <w:trHeight w:val="431"/>
        </w:trPr>
        <w:tc>
          <w:tcPr>
            <w:tcW w:w="3980" w:type="dxa"/>
            <w:vAlign w:val="bottom"/>
          </w:tcPr>
          <w:p>
            <w:pPr>
              <w:spacing w:after="0"/>
              <w:rPr>
                <w:sz w:val="24"/>
                <w:szCs w:val="24"/>
                <w:color w:val="auto"/>
              </w:rPr>
            </w:pPr>
          </w:p>
        </w:tc>
        <w:tc>
          <w:tcPr>
            <w:tcW w:w="7440" w:type="dxa"/>
            <w:vAlign w:val="bottom"/>
          </w:tcPr>
          <w:p>
            <w:pPr>
              <w:jc w:val="right"/>
              <w:ind w:right="5530"/>
              <w:spacing w:after="0"/>
              <w:rPr>
                <w:sz w:val="20"/>
                <w:szCs w:val="20"/>
                <w:color w:val="auto"/>
              </w:rPr>
            </w:pPr>
            <w:r>
              <w:rPr>
                <w:rFonts w:ascii="Arial" w:cs="Arial" w:eastAsia="Arial" w:hAnsi="Arial"/>
                <w:sz w:val="18"/>
                <w:szCs w:val="18"/>
                <w:color w:val="auto"/>
              </w:rPr>
              <w:t>10</w:t>
            </w:r>
          </w:p>
        </w:tc>
      </w:tr>
      <w:tr>
        <w:trPr>
          <w:trHeight w:val="114"/>
        </w:trPr>
        <w:tc>
          <w:tcPr>
            <w:tcW w:w="398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Aviragen Stock Options</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unexpired and unexercised option to purchase shares of Aviragen common stock issued under Aviragen’s compensatory benefit arrangements, other than the unexpired and unexercised options to purchase 2,125,000 shares of Aviragen common stock in the aggregate granted to executive officers and employees of Aviragen in March and April 2017 (the “Retention Options”), will by its terms vest in full at the Effective Time. Aviragen expects that each Retention Option will accelerate in full by its terms when the optionee separates from employment with Aviragen or the combined company in connection with the merger, with each Retention Option remaining outstanding immediately after the Effective Time in accordance with its terms, including without limitation remaining exercisable until the earlier of 18 months following such termination of the optionee’s employment and the expiration date of the Retention Option. The number of shares of Aviragen common stock underlying such options and the exercise prices for such options will be appropriately adjusted to reflect Aviragen’s proposed reverse stock split, if consummated. The terms governing options to purchase shares of Aviragen common stock will otherwise remain in full force and effect following the closing of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Vaxart Stock Options and Warrant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At the Effective Time, each option or other right to purchase capital stock issued by Vaxart that is outstanding and unexercised immediately prior to the Effective Time under Vaxart’s Amended and Restated 2007 Equity Incentive Plan, whether or not vested, shall be assumed by Aviragen and converted into an option to purchase shares of Aviragen common stock. Aviragen will assume the Plan and each such option in accordance with the terms of the Plan and the terms of the stock option agreement by which such option is evidenced. From and after the Effective Time, each Vaxart option assumed by Aviragen may be exercised for such number of shares of Aviragen common stock as is determined by multiplying the number of shares of Vaxart common stock that were subject to the Vaxart option by the Exchange Ratio, and rounding the resulting number down to the nearest whole number of shares of Aviragen common stock. The per share exercise price of the converted option will be determined by dividing the existing per share exercise price of the Vaxart option by the Exchange Ratio, and rounding to the resulting exercise price up to the nearest whole cent. Any restrictions on the exercise of any Vaxart option assumed by Aviragen will continue following the conversion, and the term, exercisability, vesting schedule and other provisions of the Vaxart option will generally remain unchanged; provided, that any Vaxart options assumed by Aviragen may be subject to adjustment to reflect changes in Aviragen’s capitalization after the Effective Time and that the Aviragen board of directors or a committee thereof will succeed to the authority and responsibility of the Vaxart board of directors or a committee thereof with respect to each assumed Vaxart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24"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Subject to a letter agreement by and between Oxford Finance LLC, or Oxford, Vaxart’s principal lender, and Vaxart, on the Effective Date, the combined company shall issue to Oxford a replacement warrant in lieu of the warrant to purchase Series C Preferred Stock of Vaxart currently held by Oxford. The replacement warrant shall be exercisable for a number of shares of common stock of the combined company equal to (a) the number of shares of Series C Preferred Stock of Vaxart that the existing warrant is exercisable for multiplied by (b) the Exchange Ratio, at a per share price equal to (i) the exercise price per share of Series C Preferred Stock of Vaxart under the existing warrant divided by (ii) the Exchange Ratio.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Closing of the Merger</w:t>
      </w:r>
    </w:p>
    <w:p>
      <w:pPr>
        <w:spacing w:after="0" w:line="224"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To consummate the merger, a majority of shares of Aviragen common stock present in person or represented by proxy at a stockholder meeting at which a quorum is present must approve the issuance of shares of Aviragen common stock pursuant to the Merger Agreement.</w:t>
      </w:r>
    </w:p>
    <w:p>
      <w:pPr>
        <w:spacing w:after="0" w:line="170"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Vaxart stockholders holding the securities set forth below must approve and adopt the Merger Agreement and the transactions contemplated thereby, including the merger:</w:t>
      </w:r>
    </w:p>
    <w:p>
      <w:pPr>
        <w:spacing w:after="0" w:line="170" w:lineRule="exact"/>
        <w:rPr>
          <w:sz w:val="20"/>
          <w:szCs w:val="20"/>
          <w:color w:val="auto"/>
        </w:rPr>
      </w:pPr>
    </w:p>
    <w:p>
      <w:pPr>
        <w:ind w:left="660" w:hanging="32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majority of shares of common stock and preferred stock (voting as a single class);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majority of the shares of common stock (voting as a separate class);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majority of the shares of Vaxart’s Series B Preferred Stock and Series C Preferred Stock (voting as a single class and not as separate series),</w:t>
      </w:r>
    </w:p>
    <w:p>
      <w:pPr>
        <w:spacing w:after="0" w:line="24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obtaining such stockholder approvals, each of the other closing conditions set forth in the Merger Agreement must be satisfied or waived.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Non-Solicitation</w:t>
      </w:r>
    </w:p>
    <w:p>
      <w:pPr>
        <w:spacing w:after="0" w:line="2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Each of Aviragen and Vaxart have agreed that, subject to certain exceptions, neither they nor any of their respective subsidiaries will authorize or permit any of their or their subsidiaries’ directors, officers, employees, agents, attorneys, accountants, investment bankers, advisors and representatives to, directly or indirectly:</w:t>
      </w:r>
    </w:p>
    <w:p>
      <w:pPr>
        <w:spacing w:after="0" w:line="183" w:lineRule="exact"/>
        <w:rPr>
          <w:sz w:val="20"/>
          <w:szCs w:val="20"/>
          <w:color w:val="auto"/>
        </w:rPr>
      </w:pPr>
    </w:p>
    <w:p>
      <w:pPr>
        <w:ind w:left="660" w:right="80" w:hanging="329"/>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or “acquisition inquiry,” each as defined in the Merger Agreement and as defined in the section titled “The Merger Agreement—Non-Solicitation” below;</w:t>
      </w:r>
    </w:p>
    <w:p>
      <w:pPr>
        <w:spacing w:after="0" w:line="183" w:lineRule="exact"/>
        <w:rPr>
          <w:rFonts w:ascii="Arial" w:cs="Arial" w:eastAsia="Arial" w:hAnsi="Arial"/>
          <w:sz w:val="18"/>
          <w:szCs w:val="18"/>
          <w:color w:val="auto"/>
        </w:rPr>
      </w:pPr>
    </w:p>
    <w:p>
      <w:pPr>
        <w:ind w:left="660" w:right="420" w:hanging="329"/>
        <w:spacing w:after="0" w:line="27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an acquisition inquiry;</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certain exceptions, approve, endorse or recommend an acquisition proposal;</w:t>
      </w:r>
    </w:p>
    <w:p>
      <w:pPr>
        <w:spacing w:after="0" w:line="223" w:lineRule="exact"/>
        <w:rPr>
          <w:rFonts w:ascii="Arial" w:cs="Arial" w:eastAsia="Arial" w:hAnsi="Arial"/>
          <w:sz w:val="18"/>
          <w:szCs w:val="18"/>
          <w:color w:val="auto"/>
        </w:rPr>
      </w:pPr>
    </w:p>
    <w:p>
      <w:pPr>
        <w:ind w:left="660" w:right="60" w:hanging="329"/>
        <w:spacing w:after="0" w:line="27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execute or enter into any letter of intent or any contract contemplating or otherwise relating to any “acquisition transaction,” as defined in the Merger Agreement and as defined in the section titled “The Merger Agreement—Non-Solicitation” below; or</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publicly propose to do any of the above.</w:t>
      </w:r>
    </w:p>
    <w:p>
      <w:pPr>
        <w:spacing w:after="0" w:line="2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However, before obtaining the Aviragen stockholder approval required to consummate the merger, Aviragen may furnish nonpublic information regarding such party to, and may enter into discussions or negotiations with, any person in response to a bona fide written acquisition proposal, which the Aviragen board of directors determines in good faith, after consultation with Aviragen’s financial advisor and outside legal counsel, constitutes or is reasonably likely to result in a “superior offer,” as defined in the Merger Agreement and as defined in the section titled “The Merger Agreement—Non-Solicitation” below, and is not withdrawn, if:</w:t>
      </w:r>
    </w:p>
    <w:p>
      <w:pPr>
        <w:spacing w:after="0" w:line="188" w:lineRule="exact"/>
        <w:rPr>
          <w:sz w:val="20"/>
          <w:szCs w:val="20"/>
          <w:color w:val="auto"/>
        </w:rPr>
      </w:pPr>
    </w:p>
    <w:p>
      <w:pPr>
        <w:ind w:left="660" w:right="300" w:hanging="329"/>
        <w:spacing w:after="0" w:line="27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Aviragen nor any of its directors, officers, employees, agents, attorneys, accountants, investment bankers, advisors and representatives has breached the non-solicitation provisions of the Merger Agreement described above;</w:t>
      </w:r>
    </w:p>
    <w:p>
      <w:pPr>
        <w:spacing w:after="0" w:line="169"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Aviragen board of directors concludes in good faith based on the advice of outside legal counsel, that the failure to take such action is reasonably likely to be inconsistent with the fiduciary duties of the Aviragen board of directors under applicable law;</w:t>
      </w:r>
    </w:p>
    <w:p>
      <w:pPr>
        <w:spacing w:after="0" w:line="169" w:lineRule="exact"/>
        <w:rPr>
          <w:rFonts w:ascii="Arial" w:cs="Arial" w:eastAsia="Arial" w:hAnsi="Arial"/>
          <w:sz w:val="18"/>
          <w:szCs w:val="18"/>
          <w:color w:val="auto"/>
        </w:rPr>
      </w:pPr>
    </w:p>
    <w:p>
      <w:pPr>
        <w:ind w:left="660" w:right="140" w:hanging="329"/>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Aviragen receives from the third-party an executed confidentiality agreement containing provisions (including nondisclosure provisions, use restrictions, non-solicitation provisions and no hire provisions) at least as favorable to such party as those contained in the confidentiality agreement between Aviragen and Vaxart; and</w:t>
      </w:r>
    </w:p>
    <w:p>
      <w:pPr>
        <w:spacing w:after="0" w:line="183"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substantially contemporaneously with furnishing of nonpublic information to a third-party, Aviragen furnishes the same information to the other party to the extent not previously furnished.</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either Aviragen or Vaxart receives an acquisition proposal or acquisition inquiry at any time during the period between October 27, 2017 and earlier to occur of (a) the Effective Time and (b) termination of the Merger Agreement, then such party must promptly, and in no event later than one business day after becoming aware of such acquisition proposal or acquisition inquiry, advise the other party orally and in writing of such acquisition proposal or acquisition inquiry, including the identity of the person making or submitting the acquisition proposal or acquisition inquiry and the material terms thereof. Each of Aviragen and Vaxart must keep the other reasonably informed with respect to the status and material terms of any such acquisition proposal or acquisition inquiry and any material modification or proposed material modification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the Merger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Either Aviragen or Vaxart can terminate the Merger Agreement under certain circumstances, which would prevent the merger from being consummated.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Fees</w:t>
      </w:r>
    </w:p>
    <w:p>
      <w:pPr>
        <w:spacing w:after="0" w:line="224"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If the Merger Agreement is terminated under certain circumstances and certain other events occur, Aviragen will be required to pay Vaxart a termination fee of $1.95 million. Moreover, if Aviragen fails to pay any termination fee when due, then it will be required to pay interest on and reasonable fees and expenses incurred in connection with the collection of such overdue amount in addition to the $1.95 million termination fee.</w:t>
      </w:r>
    </w:p>
    <w:p>
      <w:pPr>
        <w:sectPr>
          <w:pgSz w:w="11900" w:h="16838" w:orient="portrait"/>
          <w:cols w:equalWidth="0" w:num="1">
            <w:col w:w="11420"/>
          </w:cols>
          <w:pgMar w:left="240" w:top="118" w:right="2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 and Written Consent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Vaxart</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Certain Vaxart stockholders are party to a support agreement with Aviragen, Agora Merger Sub and Vaxart pursuant to which, among other things, each such stockholder agreed, solely in his, her or its capacity as a Vaxart stockholder, to vote all of his, her or its shares of Vaxart capital stock in favor of the adoption and approval of the Merger Agreement and the transactions contemplated thereby and to acknowledge that the adoption and approval of the Merger Agreement is irrevocable. In addition, these Vaxart stockholders agreed not to, directly or indirectly, knowingly take any action that Vaxart is not permitted to take under the non-solicitation provisions of the Merger Agreement. The parties to these support agreements with Aviragen, Agora Merger Sub and Vaxart are:</w:t>
      </w:r>
    </w:p>
    <w:p>
      <w:pPr>
        <w:spacing w:after="0" w:line="161" w:lineRule="exact"/>
        <w:rPr>
          <w:sz w:val="20"/>
          <w:szCs w:val="20"/>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Care Capital Investments III, LP</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Care Capital Offshore Investments III, LP.</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Frances Chang</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Michael J. Finney,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John M. Harland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Wouter W. Latour, M.D.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Life Science Angel Investors III, LLC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David Liebowitz, M.D.,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Sean N. Tucker, Ph.D.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of Vaxart that are party to a support agreement with Aviragen consist of:</w:t>
      </w:r>
    </w:p>
    <w:p>
      <w:pPr>
        <w:spacing w:after="0" w:line="224" w:lineRule="exact"/>
        <w:rPr>
          <w:sz w:val="20"/>
          <w:szCs w:val="20"/>
          <w:color w:val="auto"/>
        </w:rPr>
      </w:pPr>
    </w:p>
    <w:p>
      <w:pPr>
        <w:ind w:left="660" w:right="220" w:hanging="329"/>
        <w:spacing w:after="0" w:line="27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common stock and preferred stock each outstanding on the record date and entitled to vote thereon (voting as a single class);</w:t>
      </w:r>
    </w:p>
    <w:p>
      <w:pPr>
        <w:spacing w:after="0" w:line="169" w:lineRule="exact"/>
        <w:rPr>
          <w:rFonts w:ascii="Arial" w:cs="Arial" w:eastAsia="Arial" w:hAnsi="Arial"/>
          <w:sz w:val="18"/>
          <w:szCs w:val="18"/>
          <w:color w:val="auto"/>
        </w:rPr>
      </w:pPr>
    </w:p>
    <w:p>
      <w:pPr>
        <w:ind w:left="660" w:right="140" w:hanging="329"/>
        <w:spacing w:after="0" w:line="27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common stock each outstanding on the record date and entitled to vote thereon (voting as a separate class); and</w:t>
      </w:r>
    </w:p>
    <w:p>
      <w:pPr>
        <w:spacing w:after="0" w:line="169" w:lineRule="exact"/>
        <w:rPr>
          <w:rFonts w:ascii="Arial" w:cs="Arial" w:eastAsia="Arial" w:hAnsi="Arial"/>
          <w:sz w:val="18"/>
          <w:szCs w:val="18"/>
          <w:color w:val="auto"/>
        </w:rPr>
      </w:pPr>
    </w:p>
    <w:p>
      <w:pPr>
        <w:ind w:left="660" w:right="120" w:hanging="329"/>
        <w:spacing w:after="0" w:line="27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Series B Preferred Stock and Series C Preferred Stock outstanding on the record date and entitled to vote thereon (voting as a single class and not as separate series).</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Therefore, holders of the number of shares of Vaxart capital stock required to approve and adopt the Merger Agreement and approve the merger and related transactions are contractually obligated to approve and adopt the Merger Agreement. Following the effectiveness of the registration statement of which this proxy statement/prospectus/information statement is a part and pursuant to the Merger Agreement, stockholders of Vaxart holding a sufficient number of shares to approve and adopt the Merger Agreement and thereby approve the merger and related transactions will execute written consents providing for such adoption and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Aviragen</w:t>
      </w:r>
    </w:p>
    <w:p>
      <w:pPr>
        <w:spacing w:after="0" w:line="22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Certain Aviragen stockholders are party to a support agreement with Aviragen, Agora Merger Sub and Vaxart pursuant to which, among other things, each of such stockholders agreed, solely in his or her capacity as a stockholder, to vote all of his or her shares of Aviragen common stock in favor of the approval of the issuance of shares of Aviragen common stock pursuant to the Merger Agreement and the reverse stock split of Aviragen common stock. In addition, these Aviragen stockholders agreed not to, directly or indirectly, knowingly take any action that Aviragen is not permitted to take under the non-solicitation provisions of the Merger Agreement. The parties to these support agreements with Aviragen, Agora Merger Sub and Vaxart are:</w:t>
      </w:r>
    </w:p>
    <w:p>
      <w:pPr>
        <w:spacing w:after="0" w:line="161" w:lineRule="exact"/>
        <w:rPr>
          <w:sz w:val="20"/>
          <w:szCs w:val="20"/>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Armando Anido</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 P. Colonnese</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Geoffrey F. Cox,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Michael R. Dougherty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Michael W. Dunne, M.D.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Joseph M. Patti,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Russell H. Plumb</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John P. Richard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Anne M. VanLent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stockholders of Aviragen that are party to a support agreement with Aviragen, Agora Merger Sub and Vaxart consist of the holders of an aggregate of 371,341 shares of Aviragen common stock, representing less than 1% of the outstanding shares of Aviragen common stock as of December 27, 2017. These stockholders are solely comprised of the executive officers and directors of Aviragen.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Vaxart</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As a condition to the closing of the merger, Vaxart’s directors, executive officers and principal stockholders, who will beneficially hold 53.9% of the combined company’s capital stock immediately following the closing of the merger, have entered into lock-up agreements, pursuant to which such parties have agreed not to, except in limited circumstances, transfer, grant an option with respect to, sell, exchange, pledge or otherwise dispose of, or encumber any shares of Vaxart capital stock prior to the closing of the merger, and the combined company’s common stock thereafter, for 180 days following the Effective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Aviragen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 of Aviragen’s stockholders have entered into lock-up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Following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closing of the merger, the combined company’s executive officers are expected to be composed of the following current members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Vaxart management team: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20"/>
                <w:szCs w:val="20"/>
                <w:color w:val="auto"/>
              </w:rPr>
            </w:pPr>
          </w:p>
        </w:tc>
        <w:tc>
          <w:tcPr>
            <w:tcW w:w="6040" w:type="dxa"/>
            <w:vAlign w:val="bottom"/>
          </w:tcPr>
          <w:p>
            <w:pPr>
              <w:ind w:left="2600"/>
              <w:spacing w:after="0"/>
              <w:rPr>
                <w:sz w:val="20"/>
                <w:szCs w:val="20"/>
                <w:color w:val="auto"/>
              </w:rPr>
            </w:pPr>
            <w:r>
              <w:rPr>
                <w:rFonts w:ascii="Arial" w:cs="Arial" w:eastAsia="Arial" w:hAnsi="Arial"/>
                <w:sz w:val="18"/>
                <w:szCs w:val="18"/>
                <w:b w:val="1"/>
                <w:bCs w:val="1"/>
                <w:color w:val="auto"/>
              </w:rPr>
              <w:t>Position(s)</w:t>
            </w:r>
          </w:p>
        </w:tc>
      </w:tr>
      <w:tr>
        <w:trPr>
          <w:trHeight w:val="209"/>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Wouter W. Latour, M.D.</w:t>
            </w:r>
          </w:p>
        </w:tc>
        <w:tc>
          <w:tcPr>
            <w:tcW w:w="460" w:type="dxa"/>
            <w:vAlign w:val="bottom"/>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Sean N. Tucker, Ph.D</w:t>
            </w:r>
          </w:p>
        </w:tc>
        <w:tc>
          <w:tcPr>
            <w:tcW w:w="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15"/>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David Liebowitz, M.D.</w:t>
            </w:r>
          </w:p>
        </w:tc>
        <w:tc>
          <w:tcPr>
            <w:tcW w:w="46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John M. Harland</w:t>
            </w:r>
          </w:p>
        </w:tc>
        <w:tc>
          <w:tcPr>
            <w:tcW w:w="46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6"/>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The Aviragen Special Meeting</w:t>
            </w:r>
          </w:p>
        </w:tc>
        <w:tc>
          <w:tcPr>
            <w:tcW w:w="460" w:type="dxa"/>
            <w:vAlign w:val="bottom"/>
          </w:tcPr>
          <w:p>
            <w:pPr>
              <w:spacing w:after="0"/>
              <w:rPr>
                <w:sz w:val="24"/>
                <w:szCs w:val="24"/>
                <w:color w:val="auto"/>
              </w:rPr>
            </w:pPr>
          </w:p>
        </w:tc>
        <w:tc>
          <w:tcPr>
            <w:tcW w:w="6040" w:type="dxa"/>
            <w:vAlign w:val="bottom"/>
          </w:tcPr>
          <w:p>
            <w:pPr>
              <w:spacing w:after="0"/>
              <w:rPr>
                <w:sz w:val="24"/>
                <w:szCs w:val="24"/>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special meeting of stockholders of Aviragen will be held on February 6, 2018 at 9:00 a.m., local time, at 2500 Northwinds Parkway, Suite 100, Alpharetta, Georgia 30009, for the following purposes:</w:t>
      </w:r>
    </w:p>
    <w:p>
      <w:pPr>
        <w:spacing w:after="0" w:line="170" w:lineRule="exact"/>
        <w:rPr>
          <w:sz w:val="20"/>
          <w:szCs w:val="20"/>
          <w:color w:val="auto"/>
        </w:rPr>
      </w:pPr>
    </w:p>
    <w:p>
      <w:pPr>
        <w:ind w:left="660" w:right="180" w:hanging="329"/>
        <w:spacing w:after="0" w:line="27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consider and vote upon a proposal to approve the issuance of shares of Aviragen common stock in connection with merger, or the Stock Issuance Proposal;</w:t>
      </w:r>
    </w:p>
    <w:p>
      <w:pPr>
        <w:spacing w:after="0" w:line="169" w:lineRule="exact"/>
        <w:rPr>
          <w:rFonts w:ascii="Arial" w:cs="Arial" w:eastAsia="Arial" w:hAnsi="Arial"/>
          <w:sz w:val="18"/>
          <w:szCs w:val="18"/>
          <w:color w:val="auto"/>
        </w:rPr>
      </w:pPr>
    </w:p>
    <w:p>
      <w:pPr>
        <w:ind w:left="660" w:right="20" w:hanging="329"/>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consider and vote upon the amendment to the certificate of incorporation of Aviragen to effect a reverse stock split of Aviragen common stock, at a ratio in the range of 10 and 20-for-1, with such specific ratio to be mutually agreed upon by Aviragen and Vaxart or, if the Stock Issuance Proposal is not approved by Aviragen stockholders, determined solely by the Aviragen board of directors following the special meeting, or the Reverse Stock Split Proposal;</w:t>
      </w:r>
    </w:p>
    <w:p>
      <w:pPr>
        <w:spacing w:after="0" w:line="186"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consider and vote upon a proposal to approve, on non-binding advisory basis, the compensation that will or may become payable by Aviragen to its named executive officers, or the Executive Merger Compensation Proposal;</w:t>
      </w:r>
    </w:p>
    <w:p>
      <w:pPr>
        <w:spacing w:after="0" w:line="169" w:lineRule="exact"/>
        <w:rPr>
          <w:rFonts w:ascii="Arial" w:cs="Arial" w:eastAsia="Arial" w:hAnsi="Arial"/>
          <w:sz w:val="18"/>
          <w:szCs w:val="18"/>
          <w:color w:val="auto"/>
        </w:rPr>
      </w:pPr>
    </w:p>
    <w:p>
      <w:pPr>
        <w:ind w:left="660" w:right="360" w:hanging="329"/>
        <w:spacing w:after="0" w:line="27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consider and vote, on a non-binding advisory basis, on the frequency of the advisory vote on the compensation of Aviragen’s named executive officers, or the Say-on-Pay Frequency Proposal;</w:t>
      </w:r>
    </w:p>
    <w:p>
      <w:pPr>
        <w:spacing w:after="0" w:line="169"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consider and vote upon an adjournment of the Aviragen special meeting, if necessary, to solicit additional proxies if there are not sufficient votes in favor of the Stock Issuance Proposal and/or the Reverse Stock Split Proposal, or the Adjournment Proposal;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Aviragen special meeting or any adjournment or postponement thereof.</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Collectively the proposal above are referred to as the Aviragen Proposals. On each matter to be voted upon, stockholders have one vote for each share of Aviragen common stock owned as of January 2, 2018. Votes will be counted by the inspector of election. The following table summarizes vote requirements and the effect of abstentions and broker non-votes.</w:t>
      </w:r>
    </w:p>
    <w:p>
      <w:pPr>
        <w:sectPr>
          <w:pgSz w:w="11900" w:h="16838" w:orient="portrait"/>
          <w:cols w:equalWidth="0" w:num="1">
            <w:col w:w="11420"/>
          </w:cols>
          <w:pgMar w:left="240" w:top="118" w:right="239" w:bottom="1440" w:gutter="0" w:footer="0" w:header="0"/>
        </w:sect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2538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118" w:lineRule="exact"/>
        <w:rPr>
          <w:sz w:val="20"/>
          <w:szCs w:val="20"/>
          <w:color w:val="auto"/>
        </w:rPr>
      </w:pPr>
    </w:p>
    <w:p>
      <w:pPr>
        <w:ind w:left="1420" w:hanging="623"/>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Issuance Proposal</w:t>
      </w:r>
    </w:p>
    <w:p>
      <w:pPr>
        <w:spacing w:after="0" w:line="224" w:lineRule="exact"/>
        <w:rPr>
          <w:sz w:val="20"/>
          <w:szCs w:val="20"/>
          <w:color w:val="auto"/>
        </w:rPr>
      </w:pPr>
    </w:p>
    <w:p>
      <w:pPr>
        <w:ind w:left="1420" w:hanging="623"/>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Reverse Stock Split Proposal</w:t>
      </w:r>
    </w:p>
    <w:p>
      <w:pPr>
        <w:spacing w:after="0" w:line="116" w:lineRule="exact"/>
        <w:rPr>
          <w:sz w:val="20"/>
          <w:szCs w:val="20"/>
          <w:color w:val="auto"/>
        </w:rPr>
      </w:pPr>
    </w:p>
    <w:p>
      <w:pPr>
        <w:ind w:left="1420" w:hanging="623"/>
        <w:spacing w:after="0" w:line="182" w:lineRule="auto"/>
        <w:tabs>
          <w:tab w:leader="none" w:pos="1420"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Executive Merger Compensation Proposal</w:t>
      </w:r>
    </w:p>
    <w:p>
      <w:pPr>
        <w:spacing w:after="0" w:line="94" w:lineRule="exact"/>
        <w:rPr>
          <w:sz w:val="20"/>
          <w:szCs w:val="20"/>
          <w:color w:val="auto"/>
        </w:rPr>
      </w:pPr>
    </w:p>
    <w:p>
      <w:pPr>
        <w:ind w:left="1420" w:hanging="623"/>
        <w:spacing w:after="0"/>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Say-on-Pay Frequency Proposal</w:t>
      </w:r>
    </w:p>
    <w:p>
      <w:pPr>
        <w:spacing w:after="0" w:line="2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6"/>
          <w:szCs w:val="16"/>
          <w:color w:val="auto"/>
        </w:rPr>
        <w:t>Adjournment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6066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properly cast at a meeting at which a quorum is present </w:t>
      </w: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-544830</wp:posOffset>
            </wp:positionV>
            <wp:extent cx="6879590" cy="273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9590" cy="27368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1270</wp:posOffset>
            </wp:positionV>
            <wp:extent cx="6879590" cy="273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9590" cy="27368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cast at a meeting at which a quorum is present Highest number of votes at a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1270</wp:posOffset>
            </wp:positionV>
            <wp:extent cx="6879590" cy="273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9590" cy="273685"/>
                    </a:xfrm>
                    <a:prstGeom prst="rect">
                      <a:avLst/>
                    </a:prstGeom>
                    <a:noFill/>
                  </pic:spPr>
                </pic:pic>
              </a:graphicData>
            </a:graphic>
          </wp:anchor>
        </w:drawing>
      </w:r>
    </w:p>
    <w:p>
      <w:pPr>
        <w:ind w:right="120"/>
        <w:spacing w:after="0" w:line="321"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votes from the holders of a majority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cast at a meeting at which a quorum is present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Effect of</w:t>
      </w:r>
    </w:p>
    <w:p>
      <w:pPr>
        <w:spacing w:after="0" w:line="38"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b w:val="1"/>
          <w:bCs w:val="1"/>
          <w:color w:val="auto"/>
        </w:rPr>
        <w:t>Effect of</w:t>
      </w:r>
      <w:r>
        <w:rPr>
          <w:sz w:val="20"/>
          <w:szCs w:val="20"/>
          <w:color w:val="auto"/>
        </w:rPr>
        <w:tab/>
      </w:r>
      <w:r>
        <w:rPr>
          <w:rFonts w:ascii="Arial" w:cs="Arial" w:eastAsia="Arial" w:hAnsi="Arial"/>
          <w:sz w:val="16"/>
          <w:szCs w:val="16"/>
          <w:b w:val="1"/>
          <w:bCs w:val="1"/>
          <w:color w:val="auto"/>
        </w:rPr>
        <w:t>Broker</w:t>
      </w:r>
    </w:p>
    <w:p>
      <w:pPr>
        <w:spacing w:after="0" w:line="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b w:val="1"/>
          <w:bCs w:val="1"/>
          <w:color w:val="auto"/>
        </w:rPr>
        <w:t>Abstentions</w:t>
      </w:r>
      <w:r>
        <w:rPr>
          <w:sz w:val="20"/>
          <w:szCs w:val="20"/>
          <w:color w:val="auto"/>
        </w:rPr>
        <w:tab/>
      </w:r>
      <w:r>
        <w:rPr>
          <w:rFonts w:ascii="Arial" w:cs="Arial" w:eastAsia="Arial" w:hAnsi="Arial"/>
          <w:sz w:val="15"/>
          <w:szCs w:val="15"/>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27305</wp:posOffset>
            </wp:positionV>
            <wp:extent cx="1581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Against</w:t>
      </w:r>
    </w:p>
    <w:p>
      <w:pPr>
        <w:spacing w:after="0" w:line="22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392" w:lineRule="exact"/>
        <w:rPr>
          <w:sz w:val="20"/>
          <w:szCs w:val="20"/>
          <w:color w:val="auto"/>
        </w:rPr>
      </w:pPr>
    </w:p>
    <w:p>
      <w:pPr>
        <w:sectPr>
          <w:pgSz w:w="11900" w:h="16838" w:orient="portrait"/>
          <w:cols w:equalWidth="0" w:num="3">
            <w:col w:w="3780" w:space="720"/>
            <w:col w:w="4080" w:space="340"/>
            <w:col w:w="2500"/>
          </w:cols>
          <w:pgMar w:left="240" w:top="118" w:right="239" w:bottom="1440" w:gutter="0" w:footer="0" w:header="0"/>
          <w:type w:val="continuous"/>
        </w:sectPr>
      </w:pPr>
    </w:p>
    <w:p>
      <w:pPr>
        <w:spacing w:after="0" w:line="15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If a quorum is present, and the Stock Issuance Proposal has received sufficient votes for approval, but the Reverse Stock Split Proposal has not received the requisite votes for approval, and votes representing 2% or less of the aggregate number of shares of Aviragen common stock are needed to obtain such approval, then the special meeting will be adjourned with respect to the Reverse Stock Split Proposal for a maximum of five calendar days, during which period Aviragen will use commercially reasonable efforts to obtain such additional votes.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 Aviragen Proposal is contingent upon any other Aviragen Proposal. Therefore, assuming all other closing conditions have been either satisfied or waived, the merger will be consummated even if the Reverse Stock Split Proposal is not approved by Aviragen’s stockholders. However, if Aviragen’s stockholders do not approve the Reverse Stock Split Proposal to effect the reverse stock split upon the closing of the merger, Aviragen has been advised that The Nasdaq Stock Market LLC will commence delisting proceedings immediately following the closing of the merger. In such event, then pursuant to the Merger Agreement,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The combined company is obligated to use commercially reasonable efforts to take such steps as necessary to ensure the continued listing of the combined company’s common stock on The Nasdaq Stock Market LLC following the closing of the merger. If the Stock Issuance Proposal is not approved but the Reverse Stock Approval is approved,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 Solicitation of Written Consents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the Merger Agreement and the approval of the merger and related transactions by the Vaxart stockholders requires the affirmative votes of:</w:t>
      </w:r>
    </w:p>
    <w:p>
      <w:pPr>
        <w:spacing w:after="0" w:line="247" w:lineRule="exact"/>
        <w:rPr>
          <w:sz w:val="20"/>
          <w:szCs w:val="20"/>
          <w:color w:val="auto"/>
        </w:rPr>
      </w:pPr>
    </w:p>
    <w:p>
      <w:pPr>
        <w:ind w:left="660" w:hanging="329"/>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holders of a majority of the outstanding Vaxart common stock (voting as a separate class);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common stock and Vaxart preferred stock (voting as a single class);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holders of a majority of the Vaxart Series B Preferred Stock and Series C Preferred Stock (voting as a single class and not as separate series).</w:t>
      </w:r>
    </w:p>
    <w:p>
      <w:pPr>
        <w:spacing w:after="0" w:line="2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Following the registration statement on Form S-4, of which this proxy statement/prospectus/information statement is a part, being declared effective by the SEC and pursuant to the conditions of the Merger Agreement, the Vaxart stockholders who are party to the support agreements have agreed to execute an action by written consent adopting the Merger Agreement, thereby approving the merger and related transactions. These stockholders own a sufficient number of shares of Vaxart capital stock to adopt the Merger Agreement. No meeting of Vaxart stockholders to adopt the Merger Agreement and approve the merger and related transactions will be held; </w:t>
      </w:r>
      <w:r>
        <w:rPr>
          <w:rFonts w:ascii="Arial" w:cs="Arial" w:eastAsia="Arial" w:hAnsi="Arial"/>
          <w:sz w:val="17"/>
          <w:szCs w:val="17"/>
          <w:i w:val="1"/>
          <w:iCs w:val="1"/>
          <w:color w:val="auto"/>
        </w:rPr>
        <w:t>however</w:t>
      </w:r>
      <w:r>
        <w:rPr>
          <w:rFonts w:ascii="Arial" w:cs="Arial" w:eastAsia="Arial" w:hAnsi="Arial"/>
          <w:sz w:val="17"/>
          <w:szCs w:val="17"/>
          <w:color w:val="auto"/>
        </w:rPr>
        <w:t>, all Vaxart stockholders will have the opportunity to elect to adopt the Merger Agreement, thereby approving the merger and related transactions, by signing and returning to Vaxart a written consent.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addition to the requirement of obtaining such stockholder approval and appropriate regulatory approvals, each of the other closing conditions set forth in the Merger Agreement must be satisfied or waived.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 of Aviragen and Vaxart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Interests of the Aviragen Directors and Executive Officers in the Merger</w:t>
      </w:r>
    </w:p>
    <w:p>
      <w:pPr>
        <w:spacing w:after="0" w:line="22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considering the recommendation of the Aviragen board of directors with respect to issuing shares of Aviragen common stock pursuant to the Merger Agreement and the other matters to be acted upon by Aviragen stockholders at the Aviragen special meeting, Aviragen stockholders should be aware that certain members of the Aviragen board of directors and executive officers of Aviragen have interests in the merger that may be different from, or in addition to, interests they have as Aviragen stockholders.</w:t>
      </w:r>
    </w:p>
    <w:p>
      <w:pPr>
        <w:spacing w:after="0" w:line="18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Pursuant to the terms of their respective employment agreements, outstanding equity awards and Aviragen’s cash incentive program, the Aviragen executive officers will be entitled to receive a total of approximately $1.6 million in cash severance benefits (collectively, not individually) in connection with the closing of the merger and the associated termination of their employment from Aviragen, based on data available as of the date of this proxy/prospectus/information statement.</w:t>
      </w:r>
    </w:p>
    <w:p>
      <w:pPr>
        <w:spacing w:after="0" w:line="18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All of Dr. Patti’s and Mr. Colonnese’s outstanding stock options will vest in full upon the termination of their employment in connection with the closing of the merger, although they are currently out of the money based on the closing price of Aviragen common stock as of December 7, 2017, and will remain outstanding for up to 18 months following such termination, depending of the terms of the specific grants.</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Aviragen’s directors, Aviragen’s non-employee directors hold stock options to purchase an aggregate of 1,184,119 shares of Aviragen common stock with a weighted average exercise price of $3.18 per share. Of these stock options, options to purchase 140,000 shares have an exercise price per share below $0.57 per share (the closing price of Aviragen common stock on December 27, 2017) and, based on a closing price of $0.59 per share as of December 7, 2017, have an aggregate value of $14,000. These stock options will by their terms vest in full at the Effective Time, including stock options for 96,666, 105,000 and 105,000 shares of Aviragen common stock held by Geoffrey F. Cox, Ph.D., John P. Richard and Anne M. VanLent, respectively, who are expected to remain on the combined company’s board of directors. Regardless of a director’s continued service on the combined company’s board of directors, 604,167 of these options will remain outstanding and exercisable for the contractual term of the option which is ten years from the date of grant. In addition, Mr. Richard, as chairman of the transactions committee of the Aviragen board of directors, will receive $13,000 for his service on such committee, and each of Mr. Anido and Mr. Plumb, the other members of the transactions committee, will receive $10,000 for his service.</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of December 27, 2017, directors and executive officers of Aviragen owned less than 1% of the outstanding shares of Aviragen common stock. All Aviragen executive officers and directors have entered into support agreements in connection with the merger. The support agreements are discussed in greater detail in the section titled "Agreements Related to the Merger—Support Agreements and Written Consent" in this proxy statement/prospectus/information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Interests of the Vaxart Directors and Executive Officers in the Merger</w:t>
      </w:r>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considering the recommendation of the Vaxart board of directors with respect to approving the merger and related transactions by written consent, Vaxart stockholders should be aware that certain members of the board of directors and executive officers of Vaxart have interests in the merger that may be different from, or in addition to, interests they have as Vaxart stockholders. For example, some of Vaxart’s directors and executive officers are expected to become directors and executive officers of the combined company upon the closing of the merger. Specifically, Wouter W. Latour, M.D. and Sean N. Tucker, Ph.D., both of whom are currently executive officers of Vaxart, are expected to become executive officers of the combined company upon the closing of the merger, with Dr. Latour serving as the President and Chief Executive Officer and Dr. Tucker serving as the Chief Scientific Officer of the combined company. Additionally, Dr. Latour, Dr. Finney, Mr. Leschly and Mr. Markham who are current directors of Vaxart, will be designated to serve on the combined company’s board of directors following the closing of the merger.</w:t>
      </w:r>
    </w:p>
    <w:p>
      <w:pPr>
        <w:spacing w:after="0" w:line="17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All Vaxart executive officers, directors and their affiliates have entered into support agreements in connection with the merger. The support agreements are discussed in greater detail in the section titled "Agreements Related to the Merger—Support Agreements and Written Consent" in this proxy statement/prospectus/information statement.</w:t>
      </w:r>
    </w:p>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Certain Vaxart executive officers, directors and their affiliates currently hold shares of Vaxart common stock, preferred stock, stock options to purchase shares of common stock and unsecured promissory notes.</w:t>
      </w:r>
    </w:p>
    <w:p>
      <w:pPr>
        <w:spacing w:after="0" w:line="17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 of December 31, 2017, all directors and executive officers of Vaxart, together with their affiliates, owned 78.5% of the outstanding shares of Vaxart common stock (on an as-converted to common stock basis) and such persons held stock options to purchase an aggregate of 7,733,014 shares of common stock with a weighted average exercise price of $0.18 per share.</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an assumed conversion date of February 7, 2018, affiliates of certain Vaxart directors and certain executive officers will also convert an aggregate of $33.6 million of unsecured subordinated convertible promissory notes, including accrued interest, into approximately 77.9 million shares of Vaxart common stock immediately prior to the closing of the merger pursuant to a note purchase agreement.</w:t>
      </w:r>
    </w:p>
    <w:p>
      <w:pPr>
        <w:sectPr>
          <w:pgSz w:w="11900" w:h="16838" w:orient="portrait"/>
          <w:cols w:equalWidth="0" w:num="1">
            <w:col w:w="11420"/>
          </w:cols>
          <w:pgMar w:left="240" w:top="118"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of September 30, 2017, Vaxart had $13.9 million of cumulative but unpaid accruing dividends to the holders of its Series B and Series C Preferred Stock. Based on an assumed payment date of February 7, 2018, immediately prior to the closing of the merger, Vaxart expects to issue 22,358,292 shares of common stock in payment of $14.9 million of cumulative accrued dividends on its Series B and Series C Preferred Stock to certain Vaxart directors, executive officers and their affiliates.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Vaxart’s existing amended and restated certificate of incorporation, the holders of Vaxart Series A Preferred Stock, Series B Preferred Stock and Series C Preferred Stock are entitled to certain adjustments to the effective conversion price of the Series A Preferred Stock, Series B Preferred or Series C Preferred Stock in the event Vaxart issues or sells any shares of Vaxart’s capital stock at a price per share less than the applicable conversion price of the Series A Preferred Stock, Series B Preferred Stock or Series C Preferred Stock immediately prior to such issuance. As a result of the closing of this merger, and after giving effect to the issuance of the dividends and the conversion of the convertible notes, the conversion price of Vaxart’s Series A Preferred Stock, Series B Preferred Stock and Series C Preferred Stock will be adjusted such that the shares will be convertible into approximately 1.094, 1.1496 and 1.1496 shares of Vaxart common stock, respectively.</w:t>
      </w:r>
    </w:p>
    <w:p>
      <w:pPr>
        <w:spacing w:after="0" w:line="17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Vaxart board of directors was aware of these interests and considered them, among other matters, in its decision to approve the Merger Agreement. For more information, please see the sections titled "The Merger—Interests of the Vaxart Directors and Executive Officers in the Merger" and “Certain Relationships and Related-Party Transactions—Vaxart.”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with Respect to U.S. Federal Income Tax Consequences of the Merger</w:t>
      </w:r>
    </w:p>
    <w:p>
      <w:pPr>
        <w:spacing w:after="0" w:line="228"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Each of Aviragen and Vaxart intends that the merger qualify as a reorganization within the meaning of Section 368(a) of the Code. In general and subject to the qualifications and limitations set forth in the section titled “The Merger—Certain Material U.S. Federal Income Tax Consequences of the Merger,” the material tax consequences to U.S. Holders (as defined herein) of Vaxart capital stock are expected to be as follows:</w:t>
      </w:r>
    </w:p>
    <w:p>
      <w:pPr>
        <w:spacing w:after="0" w:line="165" w:lineRule="exact"/>
        <w:rPr>
          <w:sz w:val="20"/>
          <w:szCs w:val="20"/>
          <w:color w:val="auto"/>
        </w:rPr>
      </w:pPr>
    </w:p>
    <w:p>
      <w:pPr>
        <w:ind w:left="660" w:right="100" w:hanging="329"/>
        <w:spacing w:after="0" w:line="30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Vaxart stockholder should not recognize gain or loss upon the exchange of Vaxart capital stock for Aviragen common stock pursuant to the merger, except to the extent of cash received in lieu of a fractional share of Aviragen common stock as described below;</w:t>
      </w:r>
    </w:p>
    <w:p>
      <w:pPr>
        <w:spacing w:after="0" w:line="147" w:lineRule="exact"/>
        <w:rPr>
          <w:rFonts w:ascii="Arial" w:cs="Arial" w:eastAsia="Arial" w:hAnsi="Arial"/>
          <w:sz w:val="17"/>
          <w:szCs w:val="17"/>
          <w:color w:val="auto"/>
        </w:rPr>
      </w:pPr>
    </w:p>
    <w:p>
      <w:pPr>
        <w:jc w:val="both"/>
        <w:ind w:left="660" w:right="140" w:hanging="329"/>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Vaxart stockholder who receives cash in lieu of a fractional share of Aviragen common stock in the merger should recognize capital gain or loss in an amount equal to the difference between the amount of cash received instead of a fractional share and the stockholder’s tax basis allocable to such fractional share;</w:t>
      </w:r>
    </w:p>
    <w:p>
      <w:pPr>
        <w:spacing w:after="0" w:line="183" w:lineRule="exact"/>
        <w:rPr>
          <w:rFonts w:ascii="Arial" w:cs="Arial" w:eastAsia="Arial" w:hAnsi="Arial"/>
          <w:sz w:val="18"/>
          <w:szCs w:val="18"/>
          <w:color w:val="auto"/>
        </w:rPr>
      </w:pPr>
    </w:p>
    <w:p>
      <w:pPr>
        <w:ind w:left="660" w:right="40" w:hanging="329"/>
        <w:spacing w:after="0" w:line="28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Vaxart stockholder’s aggregate tax basis for the shares of Aviragen common stock received in the merger (including any fractional share interest for which cash is received) should equal the stockholder’s aggregate tax basis in the shares of Vaxart capital stock surrendered upon the closing of the merger, decreased by the amount of any tax basis allocable to a fractional share for which cash is received; and</w:t>
      </w:r>
    </w:p>
    <w:p>
      <w:pPr>
        <w:spacing w:after="0" w:line="164" w:lineRule="exact"/>
        <w:rPr>
          <w:rFonts w:ascii="Arial" w:cs="Arial" w:eastAsia="Arial" w:hAnsi="Arial"/>
          <w:sz w:val="17"/>
          <w:szCs w:val="17"/>
          <w:color w:val="auto"/>
        </w:rPr>
      </w:pPr>
    </w:p>
    <w:p>
      <w:pPr>
        <w:ind w:left="660" w:right="200" w:hanging="329"/>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holding period of the shares of Aviragen common stock received by a Vaxart stockholder in the merger should include the holding period of the shares of Vaxart captital stock surrendered in exchange therefor provided the surrendered Vaxart capital stock is held as a capital asset (generally, property held for investment) at the time of the merger.</w:t>
      </w:r>
    </w:p>
    <w:p>
      <w:pPr>
        <w:spacing w:after="0" w:line="183"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Tax matters are very complicated, and the tax consequences of the merger to a particular Vaxart stockholder will depend on such stockholder’s circumstances. Accordingly, you should consult your tax advisor for a full understanding of the tax consequences of the merger to you, including the applicability and effect of federal, state, local and foreign income and other tax laws. For more information, please see the section titled “The Merger—Certain Material U.S. Federal Income Tax Consequences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8" w:lineRule="exact"/>
        <w:rPr>
          <w:sz w:val="20"/>
          <w:szCs w:val="20"/>
          <w:color w:val="auto"/>
        </w:rPr>
      </w:pPr>
    </w:p>
    <w:p>
      <w:pPr>
        <w:ind w:right="300"/>
        <w:spacing w:after="0" w:line="340" w:lineRule="auto"/>
        <w:rPr>
          <w:sz w:val="20"/>
          <w:szCs w:val="20"/>
          <w:color w:val="auto"/>
        </w:rPr>
      </w:pPr>
      <w:r>
        <w:rPr>
          <w:rFonts w:ascii="Arial" w:cs="Arial" w:eastAsia="Arial" w:hAnsi="Arial"/>
          <w:sz w:val="16"/>
          <w:szCs w:val="16"/>
          <w:color w:val="auto"/>
        </w:rPr>
        <w:t>Both Aviragen and Vaxart are subject to various risks associated with their businesses and their industries. In addition, the merger, including the possibility that the merger may not be completed, poses a number of risks to each company and its respective stockholders, including the following risks:</w:t>
      </w:r>
    </w:p>
    <w:p>
      <w:pPr>
        <w:spacing w:after="0" w:line="125" w:lineRule="exact"/>
        <w:rPr>
          <w:sz w:val="20"/>
          <w:szCs w:val="20"/>
          <w:color w:val="auto"/>
        </w:rPr>
      </w:pPr>
    </w:p>
    <w:p>
      <w:pPr>
        <w:ind w:left="660" w:right="380" w:hanging="329"/>
        <w:spacing w:after="0" w:line="27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Exchange Ratio is not adjustable based on the market price of Aviragen common stock so the merger consideration at the closing may have a greater or lesser value than at the time the Merger Agreement was signed;</w:t>
      </w:r>
    </w:p>
    <w:p>
      <w:pPr>
        <w:spacing w:after="0" w:line="169" w:lineRule="exact"/>
        <w:rPr>
          <w:rFonts w:ascii="Arial" w:cs="Arial" w:eastAsia="Arial" w:hAnsi="Arial"/>
          <w:sz w:val="18"/>
          <w:szCs w:val="18"/>
          <w:color w:val="auto"/>
        </w:rPr>
      </w:pPr>
    </w:p>
    <w:p>
      <w:pPr>
        <w:ind w:left="660" w:right="420" w:hanging="329"/>
        <w:spacing w:after="0" w:line="27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complete the merger may result in Aviragen paying a termination fee or expenses to Vaxart and could harm the common stock price of Aviragen and future business and operations of each company;</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conditions to the merger are not met, the merger may not occur;</w:t>
      </w:r>
    </w:p>
    <w:p>
      <w:pPr>
        <w:spacing w:after="0" w:line="223" w:lineRule="exact"/>
        <w:rPr>
          <w:rFonts w:ascii="Arial" w:cs="Arial" w:eastAsia="Arial" w:hAnsi="Arial"/>
          <w:sz w:val="18"/>
          <w:szCs w:val="18"/>
          <w:color w:val="auto"/>
        </w:rPr>
      </w:pPr>
    </w:p>
    <w:p>
      <w:pPr>
        <w:ind w:left="660" w:right="300" w:hanging="329"/>
        <w:spacing w:after="0" w:line="27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merger may be completed even though material adverse changes may result from the announcement of the merger, industry-wide changes and other causes;</w:t>
      </w:r>
    </w:p>
    <w:p>
      <w:pPr>
        <w:spacing w:after="0" w:line="169" w:lineRule="exact"/>
        <w:rPr>
          <w:rFonts w:ascii="Arial" w:cs="Arial" w:eastAsia="Arial" w:hAnsi="Arial"/>
          <w:sz w:val="18"/>
          <w:szCs w:val="18"/>
          <w:color w:val="auto"/>
        </w:rPr>
      </w:pPr>
    </w:p>
    <w:p>
      <w:pPr>
        <w:ind w:left="660" w:right="620" w:hanging="329"/>
        <w:spacing w:after="0" w:line="30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combined company may need to raise additional capital by issuing securities or debt or through licensing arrangements, which may cause significant dilution to the combined company’s stockholders or restrict the combined company’s operations or proprietary rights;</w:t>
      </w:r>
    </w:p>
    <w:p>
      <w:pPr>
        <w:spacing w:after="0" w:line="147" w:lineRule="exact"/>
        <w:rPr>
          <w:rFonts w:ascii="Arial" w:cs="Arial" w:eastAsia="Arial" w:hAnsi="Arial"/>
          <w:sz w:val="17"/>
          <w:szCs w:val="17"/>
          <w:color w:val="auto"/>
        </w:rPr>
      </w:pPr>
    </w:p>
    <w:p>
      <w:pPr>
        <w:ind w:left="660" w:right="100" w:hanging="329"/>
        <w:spacing w:after="0" w:line="27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Aviragen and Vaxart executive officers and directors have interests in the merger that are different from yours and that may influence them to support or approve the merger without regard to your interests;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market price of the combined company’s common stock may decline as a result of the merger;</w:t>
      </w:r>
    </w:p>
    <w:p>
      <w:pPr>
        <w:sectPr>
          <w:pgSz w:w="11900" w:h="16838" w:orient="portrait"/>
          <w:cols w:equalWidth="0" w:num="1">
            <w:col w:w="11420"/>
          </w:cols>
          <w:pgMar w:left="240" w:top="118" w:right="239" w:bottom="1079"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079"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500" w:hanging="329"/>
        <w:spacing w:after="0" w:line="27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Aviragen and Vaxart stockholders may not realize a benefit from the merger commensurate with the ownership dilution they will experience in connection with the merger;</w:t>
      </w:r>
    </w:p>
    <w:p>
      <w:pPr>
        <w:spacing w:after="0" w:line="169" w:lineRule="exact"/>
        <w:rPr>
          <w:rFonts w:ascii="Arial" w:cs="Arial" w:eastAsia="Arial" w:hAnsi="Arial"/>
          <w:sz w:val="18"/>
          <w:szCs w:val="18"/>
          <w:color w:val="auto"/>
        </w:rPr>
      </w:pPr>
    </w:p>
    <w:p>
      <w:pPr>
        <w:ind w:left="660" w:right="580" w:hanging="329"/>
        <w:spacing w:after="0" w:line="27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pendency merger, Aviragen and Vaxart may not be able to enter into a business combination with another party at a favorable price because of restrictions in the Merger Agreement, which could adversely affect their respective businesses;</w:t>
      </w:r>
    </w:p>
    <w:p>
      <w:pPr>
        <w:spacing w:after="0" w:line="169" w:lineRule="exact"/>
        <w:rPr>
          <w:rFonts w:ascii="Arial" w:cs="Arial" w:eastAsia="Arial" w:hAnsi="Arial"/>
          <w:sz w:val="18"/>
          <w:szCs w:val="18"/>
          <w:color w:val="auto"/>
        </w:rPr>
      </w:pPr>
    </w:p>
    <w:p>
      <w:pPr>
        <w:ind w:left="660" w:right="300" w:hanging="329"/>
        <w:spacing w:after="0" w:line="27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69" w:lineRule="exact"/>
        <w:rPr>
          <w:rFonts w:ascii="Arial" w:cs="Arial" w:eastAsia="Arial" w:hAnsi="Arial"/>
          <w:sz w:val="18"/>
          <w:szCs w:val="18"/>
          <w:color w:val="auto"/>
        </w:rPr>
      </w:pPr>
    </w:p>
    <w:p>
      <w:pPr>
        <w:ind w:left="660" w:hanging="329"/>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lack of a public market for Vaxart shares makes it difficult to determine the fair market value of the Vaxart shares, and the stockholders of Vaxart may receive consideration in the merger that is less than the fair market value of the Vaxart shares and/or Aviragen may pay more than the fair market value of the Vaxart shares; and</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conditions of the merger are not met, the merger will not occur.</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These risks and other risks are discussed in greater detail under the section titled “Risk Factors.” Aviragen and Vaxart both encourage you to read and consider all of these risks carefully.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the United States, Aviragen must comply with applicable federal and state securities laws and the rules and regulations of the Nasdaq Capital Market in connection with the issuance of shares of Aviragen common stock pursuant to the Merger Agreement and the filing of this proxy statement/prospectus/information statement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Market Listing</w:t>
      </w:r>
    </w:p>
    <w:p>
      <w:pPr>
        <w:spacing w:after="0" w:line="22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Aviragen intends to file an initial listing application for the combined company with the Nasdaq Global Market pursuant to its “reverse merger” rules. However, if Aviragen’s stockholders do not approve the Reverse Stock Split Proposal, Aviragen has been advised that The Nasdaq Stock Market LLC will commence delisting proceedings immediately following the closing of the merger. In such event, then pursuant to the Merger Agreement,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The combined company is obligated to use commercially reasonable efforts to take such steps as necessary to ensure the continued listing of its common stock on the Nasdaq Capital Market following the closing of the merger. We expect that the combined company’s common stock will trade under the symbol “VXRT.”</w:t>
      </w:r>
    </w:p>
    <w:p>
      <w:pPr>
        <w:spacing w:after="0" w:line="17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If the issuance of the shares of Aviragen common stock pursuant to the Merger Agreement is not approved but the reverse stock split proposal is,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228"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The merger will be treated by Aviragen as a reverse merger under the acquisition method of accounting in accordance with accounting principles generally accepted in the United States. For accounting purposes, Vaxart is considered to be acquiring Aviragen in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and Dissenters’ Rights</w:t>
      </w:r>
    </w:p>
    <w:p>
      <w:pPr>
        <w:spacing w:after="0" w:line="22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 xml:space="preserve">Holders of shares of Aviragen capital stock are not entitled to appraisal rights in connection with the merger. Vaxart stockholders are entitled to appraisal rights in connection with the merger under Delaware law. For more information about such rights, see the provisions of Section 262 of the Delaware General Corporation Law, or the DGCL, attached hereto as </w:t>
      </w:r>
      <w:r>
        <w:rPr>
          <w:rFonts w:ascii="Arial" w:cs="Arial" w:eastAsia="Arial" w:hAnsi="Arial"/>
          <w:sz w:val="16"/>
          <w:szCs w:val="16"/>
          <w:i w:val="1"/>
          <w:iCs w:val="1"/>
          <w:color w:val="auto"/>
        </w:rPr>
        <w:t>Annex D</w:t>
      </w:r>
      <w:r>
        <w:rPr>
          <w:rFonts w:ascii="Arial" w:cs="Arial" w:eastAsia="Arial" w:hAnsi="Arial"/>
          <w:sz w:val="16"/>
          <w:szCs w:val="16"/>
          <w:color w:val="auto"/>
        </w:rPr>
        <w:t>, and the section titled “The Merger—Appraisal Rights and Dissenters’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Vaxart Financing</w:t>
      </w:r>
    </w:p>
    <w:p>
      <w:pPr>
        <w:spacing w:after="0" w:line="2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there is no current agreement in place with any potential financing source, nor any requirement to undertake a financing, under the Merger Agreement, Vaxart may pursue a bona fide equity financing with a third-party in which it may sell, prior to the closing of the merger, up to $25 million in the aggregate of capital stock or other securities of Vaxart, which such financing could occur between the date of this proxy statement/prospectus/information statement and the closing of merger. The parties agreed that any such securities issuance would increase the valuation of Vaxart by an amount equal to 60% of the aggregate amount of such financing and the valuation of Aviragen by an amount equal to 40% of the aggregate amount of such equity financing. Any equity financing within 90 days from and after the Effective Time must be approved by the majority of the members of the combined company’s board of directors designated pre-closing by Aviragen.</w:t>
      </w:r>
    </w:p>
    <w:p>
      <w:pPr>
        <w:sectPr>
          <w:pgSz w:w="11900" w:h="16838" w:orient="portrait"/>
          <w:cols w:equalWidth="0" w:num="1">
            <w:col w:w="11400"/>
          </w:cols>
          <w:pgMar w:left="240" w:top="118"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Stockholder Rights</w:t>
      </w:r>
    </w:p>
    <w:p>
      <w:pPr>
        <w:spacing w:after="0" w:line="22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Both Aviragen and Vaxart are incorporated under the laws of the State of Delaware and, accordingly, the rights of the stockholders of each are currently, and will continue to be, governed by the DGCL. If the merger is completed, Vaxart stockholders will become stockholders of Aviragen, and their rights will be governed by the DGCL, the bylaws of Aviragen and, the certificate of incorporation of Aviragen. The rights of Aviragen stockholders contained in the certificate of incorporation and bylaws of Aviragen differ from the rights of Vaxart stockholders under the certificate of incorporation and bylaws of Vaxart, as more fully described under the section titled “Comparison of Rights of Holders of Aviragen Stock and Vaxart Stock.”</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AND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INFORMATION AND DATA</w:t>
      </w:r>
    </w:p>
    <w:p>
      <w:pPr>
        <w:spacing w:after="0" w:line="20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i w:val="1"/>
          <w:iCs w:val="1"/>
          <w:color w:val="auto"/>
        </w:rPr>
        <w:t>The following tables present summary historical financial data for Aviragen and Vaxart, summary unaudited pro forma condensed combined financial data for Aviragen and Vaxart, and comparative historical and unaudited pro forma per share data for Aviragen and Vaxart.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Consolidated Financial Data of Aviragen</w:t>
      </w:r>
    </w:p>
    <w:p>
      <w:pPr>
        <w:spacing w:after="0" w:line="2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selected consolidated statements of operations data for the fiscal years ended June 30, 2017 and 2016 and the selected consolidated balance sheet data as of June 30, 2017 and 2016 are derived from Aviragen’s audited consolidated financial statements included elsewhere in this proxy statement/prospectus/information statement. The selected consolidated statements of operations data for the three months ended September 30, 2017 and 2016 and the selected consolidated balance sheet data as of September 30, 2017 and 2016 are derived from Aviragen's unaudited consolidated financial statements included elsewhere in this proxy statement/prospectus/information statement.</w:t>
      </w:r>
    </w:p>
    <w:p>
      <w:pPr>
        <w:spacing w:after="0" w:line="18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selected historical consolidated financial data below should be read in conjunction with the sections titled “Aviragen Management’s Discussion and Analysis of Financial Condition and Results of Operations” and “Risk Factors—Risks Related to Aviragen” and Aviragen’s consolidated financial statements and related notes included elsewhere in this proxy statement/prospectus/information statement. Aviragen’s historical results are not necessarily indicative of the results that may be expected in any future period.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64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90"/>
              </w:rPr>
              <w:t>Three Months Ended September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w w:val="94"/>
              </w:rPr>
              <w:t>Years Ended June 30,</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1"/>
              </w:rPr>
              <w:t>(unaudited)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1"/>
              </w:rPr>
              <w:t>Selected Consolidated Statements of Operations Data (in millions, except per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amounts):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420" w:type="dxa"/>
            <w:vAlign w:val="bottom"/>
            <w:gridSpan w:val="2"/>
          </w:tcPr>
          <w:p>
            <w:pPr>
              <w:jc w:val="center"/>
              <w:ind w:right="6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5"/>
              </w:rPr>
              <w:t>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center"/>
              <w:ind w:right="60"/>
              <w:spacing w:after="0"/>
              <w:rPr>
                <w:sz w:val="20"/>
                <w:szCs w:val="20"/>
                <w:color w:val="auto"/>
              </w:rPr>
            </w:pPr>
            <w:r>
              <w:rPr>
                <w:rFonts w:ascii="Arial" w:cs="Arial" w:eastAsia="Arial" w:hAnsi="Arial"/>
                <w:sz w:val="18"/>
                <w:szCs w:val="18"/>
                <w:color w:val="auto"/>
                <w:w w:val="79"/>
              </w:rPr>
              <w:t>$</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(29.4)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4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Shares used in calculation of net loss per share, basic and diluted</w:t>
            </w:r>
          </w:p>
        </w:tc>
        <w:tc>
          <w:tcPr>
            <w:tcW w:w="22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38,649,237</w:t>
            </w:r>
          </w:p>
        </w:tc>
        <w:tc>
          <w:tcPr>
            <w:tcW w:w="12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38,640,487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8"/>
                <w:szCs w:val="18"/>
                <w:color w:val="auto"/>
                <w:w w:val="90"/>
              </w:rPr>
              <w:t>38,644,395</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38,635,452</w:t>
            </w:r>
          </w:p>
        </w:tc>
        <w:tc>
          <w:tcPr>
            <w:tcW w:w="0" w:type="dxa"/>
            <w:vAlign w:val="bottom"/>
          </w:tcPr>
          <w:p>
            <w:pPr>
              <w:spacing w:after="0"/>
              <w:rPr>
                <w:sz w:val="1"/>
                <w:szCs w:val="1"/>
                <w:color w:val="auto"/>
              </w:rPr>
            </w:pPr>
          </w:p>
        </w:tc>
      </w:tr>
      <w:tr>
        <w:trPr>
          <w:trHeight w:val="39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As of September</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1"/>
              </w:rPr>
              <w:t>As of June 30,</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2017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 (in millions):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20" w:type="dxa"/>
            <w:vAlign w:val="bottom"/>
          </w:tcPr>
          <w:p>
            <w:pPr>
              <w:spacing w:after="0"/>
              <w:rPr>
                <w:sz w:val="18"/>
                <w:szCs w:val="18"/>
                <w:color w:val="auto"/>
              </w:rPr>
            </w:pP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34.1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34.7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20.8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13.9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Vaxart, Inc.</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selected financial data as of December 31, 2016 and 2015 and for the years ended December 31, 2016 and 2015 are derived from Vaxart’s financial statements prepared using accounting principles generally accepted in the United States, which have been audited by an independent auditor, and are included in this proxy statement/prospectus/information statement. The statement of operations data for the nine months ended September 30, 2017 and 2016, as well as the balance sheet data as of September 30, 2017, are derived from Vaxart’s unaudited condensed consolidated financial statements included elsewhere in this proxy statement/prospectus/information statement.</w:t>
      </w:r>
    </w:p>
    <w:p>
      <w:pPr>
        <w:spacing w:after="0" w:line="188"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selected historical financial data should be read in conjunction with Vaxart’s financial statements, related notes, other financial information, “Vaxart Management’s Discussion and Analysis of Financial Condition and Results of Operations” and Vaxart’s condensed financial statements and related notes appearing elsewhere in this proxy statement/prospectus/information statement. Vaxart’s historical results are not necessarily indicative of results to be expected in any future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7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09"/>
        </w:trPr>
        <w:tc>
          <w:tcPr>
            <w:tcW w:w="60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60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Selected Statements of Operations Data (in millions, except per share</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5"/>
        </w:trPr>
        <w:tc>
          <w:tcPr>
            <w:tcW w:w="60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5"/>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As of September</w:t>
            </w:r>
          </w:p>
        </w:tc>
        <w:tc>
          <w:tcPr>
            <w:tcW w:w="340" w:type="dxa"/>
            <w:vAlign w:val="bottom"/>
          </w:tcPr>
          <w:p>
            <w:pPr>
              <w:spacing w:after="0"/>
              <w:rPr>
                <w:sz w:val="18"/>
                <w:szCs w:val="18"/>
                <w:color w:val="auto"/>
              </w:rPr>
            </w:pPr>
          </w:p>
        </w:tc>
        <w:tc>
          <w:tcPr>
            <w:tcW w:w="2940" w:type="dxa"/>
            <w:vAlign w:val="bottom"/>
            <w:gridSpan w:val="5"/>
            <w:vMerge w:val="restart"/>
          </w:tcPr>
          <w:p>
            <w:pPr>
              <w:jc w:val="right"/>
              <w:ind w:right="9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0"/>
        </w:trPr>
        <w:tc>
          <w:tcPr>
            <w:tcW w:w="4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Balance Sheet Data (in millions):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Long-term debt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 of Aviragen and Vaxart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information does not give effect to the proposed reverse stock split of Aviragen common stock described in the Reverse Stock Split Proposal.</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unaudited pro forma condensed combined financial information was prepared using the acquisition method of accounting under U.S. GAAP, and gives effect to the transaction between Aviragen and Vaxart to be accounted for as a reverse acquisition, with Vaxart being deemed the acquiring company for accounting purposes.</w:t>
      </w:r>
    </w:p>
    <w:p>
      <w:pPr>
        <w:spacing w:after="0" w:line="18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unaudited pro forma condensed combined balance sheet as of September 30, 2017 assumes that the transaction took place on September 30, 2017 and combines the historical balance sheets of Aviragen and Vaxart as of such date. The unaudited pro forma condensed combined statement of operations for the nine months ended September 30, 2017 and the year ended December 31, 2016 assumes that the transaction took place as of January 1, 2016, and combines the historical results of Aviragen and Vaxart for each period. The historical financial statements of Aviragen and Vaxart have been adjusted to give pro forma effect to events that are (i) directly attributable to the transaction, (ii) factually supportable, and (iii) with respect to the unaudited pro forma condensed combined statements of operations, expected to have a continuing impact on the combined results.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unaudited pro forma condensed combined financial information, including the notes thereto, should be read in conjunction with the separate Aviragen and Vaxart historical financial statements, and their respective management’s discussion and analysis of financial condition and results of operations. Vaxart’s historical audited financial statements for the years ended December 31, 2016 and 2015 and unaudited financial statements for the nine months ended September 30, 2017 and 2016 are included elsewhere in this proxy statement/prospectus/information statement. Aviragen’s historical audited consolidated financial statements for the years ended June 30, 2017 and June 30, 2016 and unaudited consolidated financial statements the three months ended September 30, 2017 and 2016 are included elsewhere in this proxy statement/prospectus/information statement.</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unaudited pro forma condensed combined information is presented based upon Vaxart’s calendar year end; therefore, Aviragen’s historical June 30 fiscal year end statements of operations have been adjusted to conform to the calendar year end 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Nine Months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2017</w:t>
            </w:r>
          </w:p>
        </w:tc>
        <w:tc>
          <w:tcPr>
            <w:tcW w:w="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2"/>
              </w:rPr>
              <w:t>Unaudited Pro Forma Condensed Combined Statements of Operations (in millions, except per</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share amounts):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Condensed Combined Balance Sheet (in millions):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22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information below reflects the historical net loss and book value per share of Aviragen common stock and the historical net loss and book value per share of Vaxart common stock in comparison with the unaudited pro forma net loss and book value per share after giving effect to the proposed merger of Aviragen with Vaxart on a pro forma basis. The unaudited pro forma net loss and book value per share does not give effect to the proposed reverse stock split of Aviragen common stock described in the Reverse Stock Split Proposal.</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You should read the tables below in conjunction with the audited consolidated financial statements of Aviragen for the years ended June 30, 2017 and June 30, 2016 and unaudited consolidated financial statements the three months ended September 30, 2017 and 2016 included in this proxy statement/prospectus/information statement and the audited financial statements of Vaxart for the years ended December 31, 2016 and 2015 and unaudited financial statements for the nine months ended September 30, 2017 and 2016 included in this proxy statement/prospectus/information statement and the related notes and the unaudited pro forma condensed combined financial information and notes related to such financial statements included elsewhere in this proxy statement/prospectus/information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Nine Months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Year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Aviragen Historical Per Common Share Data:</w:t>
            </w:r>
          </w:p>
        </w:tc>
        <w:tc>
          <w:tcPr>
            <w:tcW w:w="288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 2017</w:t>
            </w:r>
          </w:p>
        </w:tc>
        <w:tc>
          <w:tcPr>
            <w:tcW w:w="8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net loss per share</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340"/>
              <w:spacing w:after="0"/>
              <w:rPr>
                <w:sz w:val="20"/>
                <w:szCs w:val="20"/>
                <w:color w:val="auto"/>
              </w:rPr>
            </w:pPr>
            <w:r>
              <w:rPr>
                <w:rFonts w:ascii="Arial" w:cs="Arial" w:eastAsia="Arial" w:hAnsi="Arial"/>
                <w:sz w:val="18"/>
                <w:szCs w:val="18"/>
                <w:color w:val="auto"/>
              </w:rPr>
              <w:t>Book value per share</w:t>
            </w:r>
          </w:p>
        </w:tc>
        <w:tc>
          <w:tcPr>
            <w:tcW w:w="30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Vaxart Historical Per Common Share Data:</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340"/>
              <w:spacing w:after="0"/>
              <w:rPr>
                <w:sz w:val="20"/>
                <w:szCs w:val="20"/>
                <w:color w:val="auto"/>
              </w:rPr>
            </w:pPr>
            <w:r>
              <w:rPr>
                <w:rFonts w:ascii="Arial" w:cs="Arial" w:eastAsia="Arial" w:hAnsi="Arial"/>
                <w:sz w:val="18"/>
                <w:szCs w:val="18"/>
                <w:color w:val="auto"/>
              </w:rPr>
              <w:t>Basic and diluted net loss per share</w:t>
            </w:r>
          </w:p>
        </w:tc>
        <w:tc>
          <w:tcPr>
            <w:tcW w:w="30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value per share</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b w:val="1"/>
                <w:bCs w:val="1"/>
                <w:color w:val="auto"/>
              </w:rPr>
              <w:t>Combined Company Per Common Share Data:</w:t>
            </w: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net loss per share</w:t>
            </w:r>
          </w:p>
        </w:tc>
        <w:tc>
          <w:tcPr>
            <w:tcW w:w="30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Book value per share</w:t>
            </w:r>
          </w:p>
        </w:tc>
        <w:tc>
          <w:tcPr>
            <w:tcW w:w="30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4620" w:type="dxa"/>
            <w:vAlign w:val="bottom"/>
          </w:tcPr>
          <w:p>
            <w:pPr>
              <w:spacing w:after="0"/>
              <w:rPr>
                <w:sz w:val="24"/>
                <w:szCs w:val="24"/>
                <w:color w:val="auto"/>
              </w:rPr>
            </w:pPr>
          </w:p>
        </w:tc>
        <w:tc>
          <w:tcPr>
            <w:tcW w:w="2880" w:type="dxa"/>
            <w:vAlign w:val="bottom"/>
          </w:tcPr>
          <w:p>
            <w:pPr>
              <w:jc w:val="right"/>
              <w:ind w:right="161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62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8"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Aviragen common stock is listed on the Nasdaq Capital Market under the symbol “AVIR.” The following table presents, for the periods indicated, the range of high and low per share sales prices for Aviragen common stock as reported on the Nasdaq Capital Market for each of the periods set forth below. Vaxart is a private company and its common stock and preferred stock are not publicly traded. These per share sales prices do not give effect to the proposed reverse stock split of Aviragen common stock to be implemented, if approved by the Aviragen stockholders, prior to the closing of the merger.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Aviragen Common Stock</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9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 2018</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First Quarter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December 27, 2017)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5"/>
        </w:trPr>
        <w:tc>
          <w:tcPr>
            <w:tcW w:w="98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First quarter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Third quarter</w:t>
            </w:r>
          </w:p>
        </w:tc>
        <w:tc>
          <w:tcPr>
            <w:tcW w:w="1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5"/>
        </w:trPr>
        <w:tc>
          <w:tcPr>
            <w:tcW w:w="98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2016</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First quarter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Third quarter</w:t>
            </w:r>
          </w:p>
        </w:tc>
        <w:tc>
          <w:tcPr>
            <w:tcW w:w="1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9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2017, the last reported sale price of Aviragen common stock on the Nasdaq Capital Market was $0.57 per share.</w:t>
      </w:r>
    </w:p>
    <w:p>
      <w:pPr>
        <w:spacing w:after="0" w:line="224" w:lineRule="exact"/>
        <w:rPr>
          <w:sz w:val="20"/>
          <w:szCs w:val="20"/>
          <w:color w:val="auto"/>
        </w:rPr>
      </w:pPr>
    </w:p>
    <w:p>
      <w:pPr>
        <w:ind w:right="800"/>
        <w:spacing w:after="0" w:line="276" w:lineRule="auto"/>
        <w:rPr>
          <w:sz w:val="20"/>
          <w:szCs w:val="20"/>
          <w:color w:val="auto"/>
        </w:rPr>
      </w:pPr>
      <w:r>
        <w:rPr>
          <w:rFonts w:ascii="Arial" w:cs="Arial" w:eastAsia="Arial" w:hAnsi="Arial"/>
          <w:sz w:val="18"/>
          <w:szCs w:val="18"/>
          <w:color w:val="auto"/>
        </w:rPr>
        <w:t>Because the market price of Aviragen common stock is subject to fluctuation, the market value of the shares of Aviragen common stock that Vaxart stockholders will be entitled to receive in the Merger may increase or decrease.</w:t>
      </w:r>
    </w:p>
    <w:p>
      <w:pPr>
        <w:spacing w:after="0" w:line="170"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Assuming the successful application for initial listing with the Nasdaq Global Market, following the closing of the merger, Aviragen expects the combined company’s common stock will be listed on the Nasdaq Global Market and will trade under Aviragen’s new name, “Vaxart, Inc.” and trading symbol “VXRT.”</w:t>
      </w:r>
    </w:p>
    <w:p>
      <w:pPr>
        <w:sectPr>
          <w:pgSz w:w="11900" w:h="16838" w:orient="portrait"/>
          <w:cols w:equalWidth="0" w:num="1">
            <w:col w:w="11380"/>
          </w:cols>
          <w:pgMar w:left="240" w:top="118" w:right="27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 2018, there were approximately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and there were approximately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beneficial stockholders of Aviragen</w:t>
      </w:r>
    </w:p>
    <w:p>
      <w:pPr>
        <w:spacing w:after="0" w:line="46" w:lineRule="exact"/>
        <w:rPr>
          <w:sz w:val="20"/>
          <w:szCs w:val="20"/>
          <w:color w:val="auto"/>
        </w:rPr>
      </w:pPr>
    </w:p>
    <w:p>
      <w:pPr>
        <w:sectPr>
          <w:pgSz w:w="11900" w:h="16838" w:orient="portrait"/>
          <w:cols w:equalWidth="0" w:num="3">
            <w:col w:w="3820" w:space="720"/>
            <w:col w:w="3780" w:space="280"/>
            <w:col w:w="2780"/>
          </w:cols>
          <w:pgMar w:left="240" w:top="118" w:right="27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w:t>
      </w:r>
    </w:p>
    <w:p>
      <w:pPr>
        <w:sectPr>
          <w:pgSz w:w="11900" w:h="16838" w:orient="portrait"/>
          <w:cols w:equalWidth="0" w:num="1">
            <w:col w:w="11380"/>
          </w:cols>
          <w:pgMar w:left="240" w:top="118" w:right="27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Aviragen has never paid or declared, and does not anticipate declaring, or paying in the foreseeable future, any cash dividends on its common stock. Future determination as to the declaration and payment of dividends, if any, will be at the discretion of the Aviragen board of directors and will depend on then existing conditions, including its operating results, financial conditions, contractual restrictions, capital requirements, business prospects and other factors its board of directors may deem relevant.</w:t>
      </w:r>
    </w:p>
    <w:p>
      <w:pPr>
        <w:spacing w:after="0" w:line="1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Vaxart has never paid or declared any cash dividends on its common stock or preferred stock. If the merger does not occur, Vaxart does not anticipate paying any cash dividends on its common stock in the foreseeable future, and Vaxart intends to retain all available funds and any future earnings to fund the development and expansion of its business. Any future determination to pay dividends will be at the discretion of the Vaxart board of directors and will depend upon a number of factors, including its results of operations, financial condition, future prospects, contractual restrictions, restrictions imposed by applicable law and other factors the Vaxart board of directors deems relevant.</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of September 30, 2017, Vaxart had approximately $13.9 million of cumulative but unpaid accruing dividends to the holders of its Series B Preferred Stock and Series C Preferred Stock. Based on an assumed payment date of February 7, 2018, immediately prior to the closing of the merger, Vaxart expects to issue 22,358,292 shares of Vaxart common stock in payment of approximately $14.9 million of cumulative accrued dividends on its Series B Preferred Stock and Series C Preferred Stock.</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The combined company will be faced with a market environment that cannot be predicted and that involves significant risks, many of which will be beyond its control. In addition to the other information contained in this proxy statement/prospectus/information statement, you should carefully consider the material risks described below before deciding how to vote your shares of stock. In addition, you should read and consider the risks associated with the business of Aviragen because these risks may also affect the combined company. These risks can be found in Aviragen’s Annual Report on Form 10-K, as updated by subsequent Quarterly Reports on Form 10-Q, all of which are filed with the SEC. You should also read and consider the other information in this proxy statement/prospectus/information statement and the other documents incorporated by reference into this proxy statement/prospectus/information statement. Please see the section titled “Where You Can Find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2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Aviragen common stock so the merger consideration at the closing may have a greater or lesser value than at the time the Merger Agreement was signed.</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Merger Agreement has set the Exchange Ratio for the Vaxart common stock, and the Exchange Ratio is only adjustable upward or downward based on increases or decreases in the number of shares of Vaxart’s issued and outstanding capital stock and the number of shares of Vaxart capital stock issuable upon the exercise of all issued and outstanding equity awards, increases or decreases the number of Aviragen’s issued and outstanding common stock, if the cash balances at closing of either Aviragen or Vaxart fall outside a pre-determined range, and the proposed reverse stock split, prior to the closing of the merger as described in the section titled “The Merger—Merger Consideration.” The pre-reverse stock split Exchange Ratio is 0.3198, and the post-split Exchange Ratio will depend on the exact reverse stock split ratio that is ultimately mutually determined by Aviragen and Vaxart and certain changes in the capitalization of the two companies. Any changes in the market price of Aviragen common stock before the closing of the merger will not affect the number of shares Vaxart securityholders will be entitled to receive pursuant to the Merger Agreement. Therefore, if before the closing of the merger the market price of Aviragen common stock declines from the market price on the date of the Merger Agreement, then Vaxart stockholders could receive merger consideration with substantially lower value. Similarly, if before the closing of the merger the market price of Aviragen common stock increases from the market price on the date of the Merger Agreement, then Vaxart stockholders could receive merger consideration with substantially more value for their shares of Vaxart capital stock than the parties had negotiated for in the establishment of the Exchange Ratio. Because the Exchange Ratio does not adjust as a result of changes in the value of Aviragen common stock, for each one percentage point that the market value of Aviragen common stock rises or declines, there is a corresponding one percentage point rise or decline, respectively, in the value of the total merger consideration issued to Vaxart stockholders.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Failure to complete the merger may result in Aviragen paying a termination fee or expenses to Vaxart and could harm the common stock price of Aviragen and future business and operations of each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merger is not completed, Aviragen and Vaxart are subject to the following risks:</w:t>
      </w:r>
    </w:p>
    <w:p>
      <w:pPr>
        <w:spacing w:after="0" w:line="224" w:lineRule="exact"/>
        <w:rPr>
          <w:sz w:val="20"/>
          <w:szCs w:val="20"/>
          <w:color w:val="auto"/>
        </w:rPr>
      </w:pPr>
    </w:p>
    <w:p>
      <w:pPr>
        <w:ind w:left="660" w:right="260" w:hanging="329"/>
        <w:spacing w:after="0" w:line="27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Merger Agreement is terminated under certain circumstances and certain events occur, Aviragen will be required to pay Vaxart a termination fee of $1.95 million;</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of Aviragen stock may decline and remain volatile; and</w:t>
      </w:r>
    </w:p>
    <w:p>
      <w:pPr>
        <w:spacing w:after="0" w:line="223" w:lineRule="exact"/>
        <w:rPr>
          <w:rFonts w:ascii="Arial" w:cs="Arial" w:eastAsia="Arial" w:hAnsi="Arial"/>
          <w:sz w:val="18"/>
          <w:szCs w:val="18"/>
          <w:color w:val="auto"/>
        </w:rPr>
      </w:pPr>
    </w:p>
    <w:p>
      <w:pPr>
        <w:ind w:left="660" w:right="140" w:hanging="329"/>
        <w:spacing w:after="0" w:line="27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the merger, such as legal, accounting and investment banking fees which Aviragen and Vaxart estimate will total approximately $3.5 million, of which $1.2 million must be paid even if the merger is not completed, and $0.9 million, respectively.</w:t>
      </w:r>
    </w:p>
    <w:p>
      <w:pPr>
        <w:spacing w:after="0" w:line="170"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In addition, if the Merger Agreement is terminated and the Aviragen board of directors determines to seek another business combination, there can be no assurance that Aviragen or Vaxart will be able to find a partner willing to provide equivalent or more attractive consideration than the consideration to be provided by each party in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224"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Even if the proposals referred to herein are approved by the stockholders of Aviragen and Vaxart, specified other conditions must be satisfied or waived to complete the merger. These conditions are set forth in the Merger Agreement and described in the section titled “The Merger Agreement—Conditions to the Closing of the Merger.” Aviragen and Vaxart cannot assure you that all of the conditions will be satisfied or waived. If the conditions are not satisfied or waived, the merger may not occur or will be delayed, and Aviragen and Vaxart each may lose some or all of the intended benefits of the merger.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either Aviragen or Vaxart can refuse to complete the Merger if there is a material adverse change affecting the other party between October 27, 2017, the date of the Merger Agreement, and the closing. However, certain types of changes do not permit either party to refuse to complete the Merger, even if such change could be said to have a material adverse effect on Aviragen or Vaxart, including:</w:t>
      </w:r>
    </w:p>
    <w:p>
      <w:pPr>
        <w:spacing w:after="0" w:line="183" w:lineRule="exact"/>
        <w:rPr>
          <w:sz w:val="20"/>
          <w:szCs w:val="20"/>
          <w:color w:val="auto"/>
        </w:rPr>
      </w:pPr>
    </w:p>
    <w:p>
      <w:pPr>
        <w:ind w:left="660" w:right="80" w:hanging="329"/>
        <w:spacing w:after="0" w:line="27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effect, change, event, circumstance or development in general economic or political conditions generally affecting the industries in which Vaxart or Aviragen operate;</w:t>
      </w:r>
    </w:p>
    <w:p>
      <w:pPr>
        <w:spacing w:after="0" w:line="169" w:lineRule="exact"/>
        <w:rPr>
          <w:rFonts w:ascii="Arial" w:cs="Arial" w:eastAsia="Arial" w:hAnsi="Arial"/>
          <w:sz w:val="18"/>
          <w:szCs w:val="18"/>
          <w:color w:val="auto"/>
        </w:rPr>
      </w:pPr>
    </w:p>
    <w:p>
      <w:pPr>
        <w:ind w:left="660" w:right="60" w:hanging="329"/>
        <w:spacing w:after="0" w:line="34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act or threat of terrorism or war anywhere in the world, any armed hostilities or terrorist activities anywhere in the world, any threat or escalation of armed hostilities or terrorist activities anywhere in the world or any governmental or other response or reaction to any of the foregoing;</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changes in accounting requirements or principles or any change in applicable laws, rules or regulations or the interpretation thereof;</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effect resulting from the announcement or pendency of the merger or any related transactions;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Aviragen, any change in the stock price or trading volume of Aviragen common stock;</w:t>
      </w:r>
    </w:p>
    <w:p>
      <w:pPr>
        <w:spacing w:after="0" w:line="223" w:lineRule="exact"/>
        <w:rPr>
          <w:rFonts w:ascii="Arial" w:cs="Arial" w:eastAsia="Arial" w:hAnsi="Arial"/>
          <w:sz w:val="18"/>
          <w:szCs w:val="18"/>
          <w:color w:val="auto"/>
        </w:rPr>
      </w:pPr>
    </w:p>
    <w:p>
      <w:pPr>
        <w:ind w:left="660" w:right="660" w:hanging="329"/>
        <w:spacing w:after="0" w:line="27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Aviragen, the existence of actual litigation itself arising from allegations of a breach of a fiduciary duty relating to the Merger Agreement;</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Aviragen, the termination, sublease or assignment of Aviragen’s facility lease, or failure to do the foregoing;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with respect to Vaxart, any rejection by a governmental body of a registration or filing by Vaxart relating to certain Vaxart intellectual property rights.</w:t>
      </w:r>
    </w:p>
    <w:p>
      <w:pPr>
        <w:spacing w:after="0" w:line="24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If adverse changes occur and Aviragen and Vaxart still complete the merger, the combined company stock price may suffer. This in turn may reduce the value of the merger to the stockholders of Aviragen and Vaxart.</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auto"/>
        </w:rPr>
        <w:t>The combined company will need to raise additional capital by issuing securities or debt or through licensing arrangements, which may cause dilution to the combined company’s stockholders or restrict the combined company’s operations or proprietary rights.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combined company may be required to raise additional funds sooner than currently planned. Additional financing may not be available to the combined company when it needs it or may not be available on favorable terms. To the extent that the combined company raises additional capital by issuing equity securities, such an issuance may cause significant dilution to the combined company’s stockholders’ ownership and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166"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Certain Aviragen and Vaxart executive officers and directors have interests in the merger that are different from yours and that may influence them to support or approve the merger without regard to your interests.</w:t>
      </w:r>
    </w:p>
    <w:p>
      <w:pPr>
        <w:spacing w:after="0" w:line="170"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Certain officers and directors of Aviragen and Vaxart participate in arrangements that provide them with interests in the merger that are different from yours, including, among others, the continued service as directors, in the case of Aviragen, or directors and officers, in the case of Vaxart, of the combined company, severance and retention benefits, the acceleration of stock options and continued indemnification.</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example, Joseph M. Patti, Ph.D., Aviragen’s President and Chief Executive Officer, is expected to cease to serve as President and Chief Executive Officer, at which point Mr. Patti’s employment with Aviragen will end. Consistent with the terms of Dr. Patti’s existing employment agreement, upon the termination of Dr. Patti’s employment, assuming such termination occurrs on February 7, 2018, and in accordance with Dr. Patti’s employment agreement, Dr. Patti is expected to receive an aggregate of approximately $1,077,196 in cash severance benefits.</w:t>
      </w:r>
    </w:p>
    <w:p>
      <w:pPr>
        <w:spacing w:after="0" w:line="1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Mark P. Colonnese, Aviragen’s Executive Vice President and Chief Financial Officer, is expected to cease to serve as Executive Vice President and Chief Financial Officer upon the closing of the merger, at which point Mr. Colonnese’s employment with Aviragen will end. Consistent with the terms of Mr. Colonnese’s existing employment agreement, upon the termination of Mr. Colonnese’s employment, assuming such termination occurs on February 7, 2018, and in accordance with Mr. Colonnese’s employment agreement, Mr. Colonnese is expected to receive an aggregate of approximately $556,439 in cash severance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addition, all of Dr. Patti’s and Mr. Colonnese’s outstanding stock options will vest in full in connection with their separation from employment with the combined company in the merger, although they are currently out of the money based on the closing price of Aviragen common stock as of December 27, 2017. For more information, please see the section titled “The Merger—Interests of the Aviragen Directors and Executive Officers in the Merger.” Furthermore, in connection with the closing of the merger, any unvested equity awards held by the Aviragen board members will vest in full, including stock options for 96,666, 105,000 and 105,000 shares of Aviragen common stock held by Geoffrey F. Cox, Ph.D., John P. Richard and Anne M. VanLent, respectively, who are expected to remain on the combined company’s board of directors. The exercise price of all unvested stock option awards held by the Aviragen board members was above the trading price of Aviragen common stock as of December 27, 2017, other than options to purchase 140,000 shares of Aviragen common stock granted to non-employee directors in May 2017.</w:t>
      </w:r>
    </w:p>
    <w:p>
      <w:pPr>
        <w:spacing w:after="0" w:line="179"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Additionally, certain of Vaxart’s directors and executive officers are expected to become directors and executive officers of the combined company upon the closing of the merger. Specifically, Wouter W. Latour, M.D. and Sean N. Tucker, Ph.D., both of whom are currently executive officers of Vaxart, are expected to become executive officers of the combined company upon the closing of the merger, with Dr. Latour serving as the President and Chief Executive Officer and Dr. Tucker serving as the Chief Scientific Officer of the combined company. Additionally, Dr. Latour who is a current director of Vaxart, will be designated to serve on the combined company’s board of directors following the closing of the merger.</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certain of Vaxart's executive officers and directors and affiliates of Vaxart's directors currently hold shares of Vaxart common stock and preferred stock. Affiliates of certain Vaxart directors and certain executive officers of Vaxart will convert their unsecured subordinated convertible promissory notes into shares of Vaxart common stock prior to the closing of the merger pursuant to the note purchase agreement. For more information, please see the section titled "The Merger—Interests of the Vaxart Directors and Executive Officers in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following the merger may decline as a result of the merger.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the combined company’s common stock may decline as a result of the merger for a number of reasons including if:</w:t>
      </w:r>
    </w:p>
    <w:p>
      <w:pPr>
        <w:spacing w:after="0" w:line="224" w:lineRule="exact"/>
        <w:rPr>
          <w:sz w:val="20"/>
          <w:szCs w:val="20"/>
          <w:color w:val="auto"/>
        </w:rPr>
      </w:pPr>
    </w:p>
    <w:p>
      <w:pPr>
        <w:ind w:left="660" w:hanging="329"/>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investors react negatively to the prospects of the combined company’s business and prospects from the merger;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effect of the merger on the combined company’s business and prospects is not consistent with the expectations of financial or industry analysts; or</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combined company does not achieve the perceived benefits of the merger as rapidly or to the extent anticipated by financial or industry analysts.</w:t>
      </w:r>
    </w:p>
    <w:p>
      <w:pPr>
        <w:spacing w:after="0" w:line="24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Aviragen and Vaxart stockholders may not realize a benefit from the merger commensurate with the ownership dilution they will experience in connection with the merger.</w:t>
      </w:r>
    </w:p>
    <w:p>
      <w:pPr>
        <w:spacing w:after="0" w:line="170"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If the combined company is unable to realize the full strategic and financial benefits currently anticipated from the merger, Aviragen and Vaxart securityholders will have experienced substantial dilution of their ownership interests in their respective companies without receiving any commensurate benefit, or only receiving part of the commensurate benefit to the extent the combined company is able to realize only part of the strategic and financial benefits currently anticipated from the merger.</w:t>
      </w:r>
    </w:p>
    <w:p>
      <w:pPr>
        <w:spacing w:after="0" w:line="187"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b w:val="1"/>
          <w:bCs w:val="1"/>
          <w:i w:val="1"/>
          <w:iCs w:val="1"/>
          <w:color w:val="auto"/>
        </w:rPr>
        <w:t>During the pendency of the merger, Aviragen and Vaxart may not be able to enter into a business combination with another party at a favorable price because of restrictions in the Merger Agreement, which could adversely affect their respective businesses.</w:t>
      </w:r>
    </w:p>
    <w:p>
      <w:pPr>
        <w:spacing w:after="0" w:line="14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Covenants in the Merger Agreement impede the ability of Aviragen and Vaxart to make acquisitions, subject, in the case of Aviragen, to certain exceptions relating to fiduciary duties, or complete other transactions that are not in the ordinary course of business pending the closing of the merger. As a result, if the merger is not completed, the parties may be at a disadvantage to their competitors during that period. In addition, while the Merger Agreement is in effect, each party is generally prohibited from soliciting, initiating, encouraging or entering into certain extraordinary transactions, such as a merger, sale of assets or other business combination outside the ordinary course of business, with any third-party, subject to, in the case of Aviragen, certain exceptions. Any such transactions could be favorable to such party’s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terms of the Merger Agreement prohibit each of Aviragen and Vaxart from soliciting alternative takeover proposals or cooperating with persons making unsolicited takeover proposals, except, with respect to Aviragen, in certain circumstances where the Aviragen board of directors determines in good faith, after consultation with its financial advisor and outside legal counsel, that an unsolicited alternative takeover proposal constitutes or is reasonably likely to result in a superior takeover proposal. In addition, if Aviragen or Vaxart terminate the Merger Agreement under certain circumstances, including terminating because of a decision of a board of directors to recommend an alternative proposal, Aviragen would be required to pay a termination fee of $1.95 million to the other party. These termination fees and reimbursement obligations may Merger Agreement described above may discourage third parties from submitting alternative takeover proposals to Aviragen and its stockholders, and may cause the Aviragen board of directors to be less inclined to recommend an alternative proposal.</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The lack of a public market for Vaxart shares makes it difficult to determine the fair market value of the Vaxart shares, and Vaxart stockholders may receive consideration in the merger that is less than the fair market value of the Vaxart shares and/or Aviragen may pay more than the fair market value of the Vaxart shares.</w:t>
      </w:r>
    </w:p>
    <w:p>
      <w:pPr>
        <w:spacing w:after="0" w:line="18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Vaxart is privately held and its capital stock is not traded in any public market. The lack of a public market makes it extremely difficult to determine Vaxart’s fair market value. Because the percentage of Aviragen equity to be issued to Vaxart stockholders was determined based on negotiations between the parties, it is possible that the value of the Aviragen common stock to be received by Vaxart stockholders will be less than the fair market value of Vaxart, or Aviragen may pay more than the aggregate fair market value for Vaxart.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Aviragen</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Investing in Aviragen common stock involves a high degree of risk. You should consider carefully the risks and uncertainties described below, together with all of the other information contained in this proxy statement/prospectus/information statement and in the other periodic and current reports and other documents it files with the SEC, before deciding to invest in its common stock. If any of the following risks materialize, Aviragen’s business, financial condition, results of operation and future prospects will likely be materially and adversely affected. In that event, the market price of its common stock could decline and you could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 Risks Related to the Merger</w:t>
      </w:r>
    </w:p>
    <w:p>
      <w:pPr>
        <w:spacing w:after="0" w:line="228"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b w:val="1"/>
          <w:bCs w:val="1"/>
          <w:i w:val="1"/>
          <w:iCs w:val="1"/>
          <w:color w:val="auto"/>
        </w:rPr>
        <w:t>If the merger is not completed, Aviragen may be unsuccessful in completing an alternative transaction on terms that are as favorable as the terms of the proposed transaction with Vaxart, or at all, and Aviragen may be unable to reestablish an operating business. The Aviragen board of directors may decide to pursue a dissolution and liquidation of Aviragen. In such an event, the amount of cash available for distribution to Aviragen’s stockholders will depend heavily on the timing of such liquidation as well as the amount of cash that will need to be reserved for commitments and contingent liabilities.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To date, Aviragen’s current assets consist primarily of cash, cash equivalents and marketable securities, Aviragen’s clinical assets, potential royalty streams from Relenza</w:t>
      </w:r>
      <w:r>
        <w:rPr>
          <w:rFonts w:ascii="Arial" w:cs="Arial" w:eastAsia="Arial" w:hAnsi="Arial"/>
          <w:sz w:val="28"/>
          <w:szCs w:val="28"/>
          <w:b w:val="1"/>
          <w:bCs w:val="1"/>
          <w:i w:val="1"/>
          <w:iCs w:val="1"/>
          <w:color w:val="auto"/>
          <w:vertAlign w:val="superscript"/>
        </w:rPr>
        <w:t>®</w:t>
      </w:r>
      <w:r>
        <w:rPr>
          <w:rFonts w:ascii="Arial" w:cs="Arial" w:eastAsia="Arial" w:hAnsi="Arial"/>
          <w:sz w:val="17"/>
          <w:szCs w:val="17"/>
          <w:color w:val="auto"/>
        </w:rPr>
        <w:t xml:space="preserve"> and Inavir</w:t>
      </w:r>
      <w:r>
        <w:rPr>
          <w:rFonts w:ascii="Arial" w:cs="Arial" w:eastAsia="Arial" w:hAnsi="Arial"/>
          <w:sz w:val="28"/>
          <w:szCs w:val="28"/>
          <w:b w:val="1"/>
          <w:bCs w:val="1"/>
          <w:i w:val="1"/>
          <w:iCs w:val="1"/>
          <w:color w:val="auto"/>
          <w:vertAlign w:val="superscript"/>
        </w:rPr>
        <w:t>®</w:t>
      </w:r>
      <w:r>
        <w:rPr>
          <w:rFonts w:ascii="Arial" w:cs="Arial" w:eastAsia="Arial" w:hAnsi="Arial"/>
          <w:sz w:val="17"/>
          <w:szCs w:val="17"/>
          <w:color w:val="auto"/>
        </w:rPr>
        <w:t>, Aviragen’s listing on the Nasdaq Capital Market and the Merger Agreement with Vaxart. While Aviragen has entered into the Merger Agreement with Vaxart, the closing of the merger with Vaxart may be delayed or may not occur at all and there can be no assurance that the merger will deliver the anticipated benefits Aviragen expects or enhance shareholder value. If Aviragen is unable to consummate the merger with Vaxart, the Aviragen board of directors may elect to pursue an alternative strategy, one of which may be a strategic transaction similar to the proposed merger with Vaxart. Attempting to complete an alternative transaction will be costly and time consuming, and Aviragen can make no assurances that such an alternative transaction would occur at all. Alternatively, the Aviragen board of directors may elect to continue operations to complete Aviragen’s Phase 2 clinical trial of BTA074 or decide to pursue a dissolution and liquidation of the company. In such an event, the amount of cash available for distribution to Aviragen’s stockholders will depend heavily on the timing of such decision, as with the passage of time the amount of cash available for distribution will be reduced as Aviragen continues to fund its operations. In addition, if the Aviragen board of directors was to approve and recommend, and Aviragen’s stockholders were to approve, a dissolution and liquidation of the company, Aviragen would be required under Delaware corporate law to pay its outstanding obligations, as well as to make reasonable provision for contingent and unknown obligations, prior to making any distributions in liquidation to Aviragen’s stockholders. Aviragen’s commitments and contingent liabilities may include severance obligations, regulatory and clinical obligations remaining under Aviragen’s clinical trials and fees and expenses related to the merger. As a result of this requirement, a portion of Aviragen’s assets may need to be reserved pending the resolution of such obligations. In addition, Aviragen may be subject to litigation or other claims related to a dissolution and liquidation. If a dissolution and liquidation were pursued, the Aviragen board of directors, in consultation with its advisors, would need to evaluate these matters and make a determination about a reasonable amount to reserve. Accordingly, holders of Aviragen common stock could lose all or a significant portion of their investment in the event of a liquidation, dissolution or winding up of the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Failure to obtain stockholder approval for the proposed reverse stock split may result in the combined company being unable to obtain compliance with minimum bid price requirements for an initial listing on the Nasdaq Global Market and may result in Aviragen common stock being delisted from the Nasdaq Capital Market.</w:t>
      </w:r>
    </w:p>
    <w:p>
      <w:pPr>
        <w:spacing w:after="0" w:line="183"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Aviragen is required pursuant to the terms of the Merger Agreement to submit to its stockholders a proposal to approve an amendment to its certificate of incorporation to authorize the Aviragen board of directors to effect a reverse stock split of all outstanding shares of its common stock. If the Reverse Stock Split Proposal is not approved by Aviragen’s stockholders, the combined company will likely not be able to obtain compliance with the minimum bid price requirement for an initial listing on Nasdaq Global Market and, as a consequence, Nasdaq will immediately provide the combined company with written notification that the combined company’s common stock will be delisted.</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Upon receipt of such delisting letter, the combined company will appeal the determination to the Nasdaq hearings panel, or the Hearing Panel. In addition, the board of directors of the combined company will immediately call for a second special meeting of the stockholders following the closing of the merger and request the stockholders of the combined company to approve a reverse stock split that will allow the combined company to remain in compliance with Nasdaq listing requirements. If the second special meeting has not been held before the occurrence of a hearing before the Hearing Panel, the combined company will be required to provide a plan to attain compliance. If the combined company has not regained compliance with Nasdaq listing requirements prior to such hearing, and the Hearing Panel decides to continue with delisting of the combined company, the Hearing Panel’s decision may be appealed to the Nasdaq Listing and Hearing Review Council but such appeal would not stay the delisting process.</w:t>
      </w:r>
    </w:p>
    <w:p>
      <w:pPr>
        <w:spacing w:after="0" w:line="178"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b w:val="1"/>
          <w:bCs w:val="1"/>
          <w:i w:val="1"/>
          <w:iCs w:val="1"/>
          <w:color w:val="auto"/>
        </w:rPr>
        <w:t>The issuance of shares of Aviragen common stock to Vaxart stockholders in the merger will dilute substantially the voting power of Aviragen’s current stockholders.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merger is completed, each outstanding share of Vaxart common stock will be converted into the right to receive a number of shares of Aviragen common stock equal to the Exchange Ratio determined pursuant to the Merger Agreement. Immediately following the merger, Aviragen securityholders are expected to own approximately 40% of the outstanding capital stock of the combined company on a fully diluted basis, and Vaxart securityholders are expected to own approximately 60% of the outstanding capital stock of the combined company on a fully diluted basis. Accordingly, the issuance of shares of Aviragen common stock to Vaxart stockholders in the merger will reduce significantly the relative voting power of each share of Aviragen common stock held by Aviragen’s current securityholders. Consequently, Aviragen securityholders as a group will have significantly less influence over the management and policies of the combined company after the merger than prior to the merger.</w:t>
      </w:r>
    </w:p>
    <w:p>
      <w:pPr>
        <w:spacing w:after="0" w:line="17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If the combined company after the merger is unable to realize the strategic and financial benefits currently anticipated from the merger, the Aviragen stockholders and the Vaxart stockholders will have experienced substantial dilution of their ownership interests in their respective companies without receiving the expected commensurate benefit, or receiving only part of the commensurate benefit to the extent the combined company is able to realize only part of the expected strategic and financial benefits currently anticipated from the merger.</w:t>
      </w:r>
    </w:p>
    <w:p>
      <w:pPr>
        <w:spacing w:after="0" w:line="187"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The pendency of the merger could have an adverse effect on the trading price of Aviragen common stock and Aviragen’s business, financial condition, results of operations or business prospects.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While there have been no significant adverse effects to date, the pendency of the merger could disrupt Aviragen’s businesses in the following ways, including:</w:t>
      </w:r>
    </w:p>
    <w:p>
      <w:pPr>
        <w:spacing w:after="0" w:line="247" w:lineRule="exact"/>
        <w:rPr>
          <w:sz w:val="20"/>
          <w:szCs w:val="20"/>
          <w:color w:val="auto"/>
        </w:rPr>
      </w:pPr>
    </w:p>
    <w:p>
      <w:pPr>
        <w:ind w:left="660" w:right="180" w:hanging="329"/>
        <w:spacing w:after="0" w:line="27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attention of Aviragen’s management may be directed toward the closing of the merger and related matters and may be diverted from the day-to-day business operations; and</w:t>
      </w:r>
    </w:p>
    <w:p>
      <w:pPr>
        <w:spacing w:after="0" w:line="169" w:lineRule="exact"/>
        <w:rPr>
          <w:rFonts w:ascii="Arial" w:cs="Arial" w:eastAsia="Arial" w:hAnsi="Arial"/>
          <w:sz w:val="18"/>
          <w:szCs w:val="18"/>
          <w:color w:val="auto"/>
        </w:rPr>
      </w:pPr>
    </w:p>
    <w:p>
      <w:pPr>
        <w:ind w:left="660" w:right="280" w:hanging="329"/>
        <w:spacing w:after="0" w:line="27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third parties may seek to terminate or renegotiate their relationships with Aviragen as a result of the merger, whether pursuant to the terms of their existing agreements with Aviragen or otherwise.</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Should they occur, any of these matters could adversely affect the trading price of Aviragen common stock or harm Aviragen’s financial condition, results of operations or business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is substantially dependent on Aviragen’s remaining employees to facilitate the consummation of a strategic transaction.</w:t>
      </w:r>
    </w:p>
    <w:p>
      <w:pPr>
        <w:spacing w:after="0" w:line="224"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On October 27, 2017, Aviragen reduced its workforce by six to a total of 10 full-time employees. Aviragen’s ability to successfully complete a strategic transaction depends in large part on Aviragen’s ability to retain certain of its remaining personnel. Despite Aviragen’s efforts to retain these employees, one or more may terminate their employment with Aviragen on short notice. The loss of the services of any of these employees could potentially harm Aviragen’s ability to consummate the merger, to run Aviragen’s day-to-day operations, as well as fulfill Aviragen’s reporting obligations as a public company.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b w:val="1"/>
          <w:bCs w:val="1"/>
          <w:i w:val="1"/>
          <w:iCs w:val="1"/>
          <w:color w:val="auto"/>
        </w:rPr>
        <w:t>There is no assurance that the proposed merger will be completed in a timely manner or at all. If the merger is not consummated, Aviragen’s business could suffer materially and its stock price could decline.</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closing of the proposed merger is subject to a number of closing conditions, including the approval by Aviragen’s stockholders of the issuance of shares of Aviragen common stock pursuant to the Merger Agreement and other customary closing conditions. If the conditions are not satisfied or waived, the merger will not occur or will be delayed.</w:t>
      </w:r>
    </w:p>
    <w:p>
      <w:pPr>
        <w:spacing w:after="0" w:line="183"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color w:val="auto"/>
        </w:rPr>
        <w:t>If the proposed merger is not consummated, Aviragen may be subject to a number of material risks, and Aviragen’s business and stock price could be adversely affected, as follows:</w:t>
      </w:r>
    </w:p>
    <w:p>
      <w:pPr>
        <w:spacing w:after="0" w:line="170" w:lineRule="exact"/>
        <w:rPr>
          <w:sz w:val="20"/>
          <w:szCs w:val="20"/>
          <w:color w:val="auto"/>
        </w:rPr>
      </w:pPr>
    </w:p>
    <w:p>
      <w:pPr>
        <w:ind w:left="660" w:hanging="329"/>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Aviragen has incurred and expects to continue to incur significant expenses related to the proposed merger even if the merger is not consummated;</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Aviragen could be obligated to pay Vaxart a termination fee of up to $1.95 million under certain circumstances pursuant to the Merger Agreement;</w:t>
      </w:r>
    </w:p>
    <w:p>
      <w:pPr>
        <w:spacing w:after="0" w:line="246" w:lineRule="exact"/>
        <w:rPr>
          <w:rFonts w:ascii="Arial" w:cs="Arial" w:eastAsia="Arial" w:hAnsi="Arial"/>
          <w:sz w:val="16"/>
          <w:szCs w:val="16"/>
          <w:color w:val="auto"/>
        </w:rPr>
      </w:pPr>
    </w:p>
    <w:p>
      <w:pPr>
        <w:ind w:left="660" w:right="300" w:hanging="329"/>
        <w:spacing w:after="0" w:line="27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 price of Aviragen common stock may decline to the extent that the current market price reflects a market assumption that the proposed merger will be completed;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Aviragen may not be able to pursue an alternate merger transaction if the proposed merger with Vaxart is not completed.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Aviragen’s Business</w:t>
      </w:r>
    </w:p>
    <w:p>
      <w:pPr>
        <w:spacing w:after="0" w:line="228"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b w:val="1"/>
          <w:bCs w:val="1"/>
          <w:i w:val="1"/>
          <w:iCs w:val="1"/>
          <w:color w:val="auto"/>
        </w:rPr>
        <w:t>Aviragen’s success depends largely upon Aviragen’s ability to advance its product candidates through the various stages of drug development. If Aviragen is unable to successfully advance or develop its product candidates, its business will be materially harmed.</w:t>
      </w:r>
    </w:p>
    <w:p>
      <w:pPr>
        <w:spacing w:after="0" w:line="14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Even though Aviragen generates royalty revenue from its two commercialized influenza products, all of its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Aviragen’s product candidates may have a material adverse effect on Aviragen’s business. The long-term success of Aviragen’s business ultimately depends upon Aviragen’s ability to advance the development of its product candidates through preclinical studies and clinical trials, appropriately formulate and consistently manufacture them in accordance with strict specifications and regulations, obtain approval of Aviragen’s product candidates for sale by the U.S. Food and Drug Administration, or the FDA, or similar regulatory authorities in other countries, and ultimately have its product candidates successfully commercialized by Aviragen or a strategic partner or licensee. Aviragen cannot assure you that the results of its ongoing or future research, preclinical studies or clinical trials will support or justify the continued development of Aviragen’s product candidates, or that Aviragen will ultimately receive approval from the FDA, or similar regulatory authorities in other countries, to advance the development of its product candidates</w:t>
      </w:r>
      <w:r>
        <w:rPr>
          <w:rFonts w:ascii="Arial" w:cs="Arial" w:eastAsia="Arial" w:hAnsi="Arial"/>
          <w:sz w:val="16"/>
          <w:szCs w:val="16"/>
          <w:i w:val="1"/>
          <w:iCs w:val="1"/>
          <w:color w:val="auto"/>
        </w:rPr>
        <w:t>.</w:t>
      </w:r>
    </w:p>
    <w:p>
      <w:pPr>
        <w:spacing w:after="0" w:line="16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Aviragen’s product candidates must satisfy rigorous regulatory standards of safety, efficacy and manufacturing before Aviragen can advance or complete their development and before they can be approved for sale by the FDA or similar regulatory authorities in other countries. To satisfy these standards, Aviragen must engage in expensive and lengthy studies and clinical trials, develop acceptable and cost effective manufacturing processes, and obtain regulatory approval of Aviragen’s product candidates. Despite these efforts, Aviragen’s product candidates may not:</w:t>
      </w:r>
    </w:p>
    <w:p>
      <w:pPr>
        <w:spacing w:after="0" w:line="171" w:lineRule="exact"/>
        <w:rPr>
          <w:sz w:val="20"/>
          <w:szCs w:val="20"/>
          <w:color w:val="auto"/>
        </w:rPr>
      </w:pPr>
    </w:p>
    <w:p>
      <w:pPr>
        <w:ind w:left="660" w:right="380" w:hanging="329"/>
        <w:spacing w:after="0" w:line="27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demonstrate clinically meaningful therapeutic or other medical benefits as compared to a patient receiving no treatment or over existing drugs or other product candidates in development to treat the same patient population;</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 shown to be safe and effective in future preclinical studies or clinical trials;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the desired therapeutic or medical effects;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 tolerable or free from undesirable or unexpected side effects;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 applicable regulatory standards;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be capable of being appropriately formulated and manufactured in commercially suitable quantities or scale and at an acceptable cost; or</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 successfully commercialized by Aviragen or by its licensees or collaborators.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Even if Aviragen demonstrates favorable results in preclinical studies and early-stage clinical trials, it cannot assure you that the results of late-stage clinical trials will be sufficient to support the continued development of Aviragen’s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Aviragen’s product candidates may not be predictive of the results Aviragen may obtain in future late-stage trials. Furthermore, even if the data collected from preclinical studies and clinical trials involving any of Aviragen’s product candidates demonstrate a satisfactory safety, tolerability and efficacy profile, such results may not be sufficient to obtain regulatory approval from the FDA in the United States, or other similar regulatory agencies in other jurisdictions, which is required to market and sell the product.</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Clinical trials are risky, lengthy and expensive. Aviragen incurs substantial expense for, and devotes significant time and resources to, preclinical testing and clinical trials, yet cannot be certain that these tests and trials will demonstrate that a product candidate is effective and well-tolerated, or will ever support its approval and commercial sale. For example, clinical trials require adequate supplies of clinical trial material and sufficient patient enrollment to power the study. Delays in patient enrollment can result in increased costs and longer development times. Even if Aviragen, or a licensee or collaborator, if applicable, successfully complete clinical trials for Aviragen’s product candidates, Aviragen or they might not file the required regulatory submissions in a timely manner and may not receive marketing approval for the product candidate. Aviragen cannot assure you that any of its product candidates will successfully progress further through the drug development process, or ultimately will result in an approved and commercially viable product.</w:t>
      </w:r>
    </w:p>
    <w:p>
      <w:pPr>
        <w:spacing w:after="0" w:line="166"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i w:val="1"/>
          <w:iCs w:val="1"/>
          <w:color w:val="auto"/>
        </w:rPr>
        <w:t>If the actual or perceived therapeutic benefits, or the safety or tolerability profile of any of Aviragen’s product candidates are not equal to or superior to other competing treatments approved for sale or in clinical development, Aviragen may terminate the development of any of its product candidates at any time, and Aviragen’s business prospects and potential profitability could be harmed.</w:t>
      </w:r>
    </w:p>
    <w:p>
      <w:pPr>
        <w:spacing w:after="0" w:line="16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Aviragen is aware of a number of companies marketing or developing various classes of anti-infective product candidates or products for the treatment of patients infected with human papillomavirus, or HPV, human rhinovirus, or HRV, and respiratory syncytial virus, or RSV that are either approved for sale or further advanced in clinical development than Aviragen’s, such that their time to approval and commercialization may be shorter than that for Aviragen’s product candidates.</w:t>
      </w:r>
    </w:p>
    <w:p>
      <w:pPr>
        <w:spacing w:after="0" w:line="18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Currently, there no approved HPV-specific direct acting anti-viral drugs to treat genital warts. Treatments for genital warts can be divided broadly into two categories: provider-administered ablative/cytodestructive therapies (including cryotherapy, laser ablation, and trichloroacetic acid) and patient-administered topical therapies such as podophyllotoxin (Condylox</w:t>
      </w:r>
      <w:r>
        <w:rPr>
          <w:rFonts w:ascii="Arial" w:cs="Arial" w:eastAsia="Arial" w:hAnsi="Arial"/>
          <w:sz w:val="26"/>
          <w:szCs w:val="26"/>
          <w:color w:val="auto"/>
          <w:vertAlign w:val="superscript"/>
        </w:rPr>
        <w:t>®</w:t>
      </w:r>
      <w:r>
        <w:rPr>
          <w:rFonts w:ascii="Arial" w:cs="Arial" w:eastAsia="Arial" w:hAnsi="Arial"/>
          <w:sz w:val="16"/>
          <w:szCs w:val="16"/>
          <w:color w:val="auto"/>
        </w:rPr>
        <w:t>; Actavis), sinecatechins (Veregen</w:t>
      </w:r>
      <w:r>
        <w:rPr>
          <w:rFonts w:ascii="Arial" w:cs="Arial" w:eastAsia="Arial" w:hAnsi="Arial"/>
          <w:sz w:val="26"/>
          <w:szCs w:val="26"/>
          <w:color w:val="auto"/>
          <w:vertAlign w:val="superscript"/>
        </w:rPr>
        <w:t>®</w:t>
      </w:r>
      <w:r>
        <w:rPr>
          <w:rFonts w:ascii="Arial" w:cs="Arial" w:eastAsia="Arial" w:hAnsi="Arial"/>
          <w:sz w:val="16"/>
          <w:szCs w:val="16"/>
          <w:color w:val="auto"/>
        </w:rPr>
        <w:t>; Fougera Pharmaceuticals, Inc.), and imiquimod (Zyclara</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Aldara</w:t>
      </w:r>
      <w:r>
        <w:rPr>
          <w:rFonts w:ascii="Arial" w:cs="Arial" w:eastAsia="Arial" w:hAnsi="Arial"/>
          <w:sz w:val="26"/>
          <w:szCs w:val="26"/>
          <w:color w:val="auto"/>
          <w:vertAlign w:val="superscript"/>
        </w:rPr>
        <w:t>®</w:t>
      </w:r>
      <w:r>
        <w:rPr>
          <w:rFonts w:ascii="Arial" w:cs="Arial" w:eastAsia="Arial" w:hAnsi="Arial"/>
          <w:sz w:val="16"/>
          <w:szCs w:val="16"/>
          <w:color w:val="auto"/>
        </w:rPr>
        <w:t>; Valeant). Aviragen is aware that there are compounds under clinical development to treat genital warts, including Novan’s SB206 and Cassiopea’s CB-06-02. Aviragen anticipates that BTA074, if successfully developed, would directly compete with the patient-applied topical treatments for genital warts. Aviragen believes that key differentiating features of BTA074 could be its mechanism of action, favorable local skin tolerability, efficacy, and lower reoccurrence rate. Three prophylactic vaccines, primarily designed to prevent cervical, vulvar, vaginal, and anal cancers, are currently marketed: a bivalent HPV16/18 vaccine (Cervarix</w:t>
      </w:r>
      <w:r>
        <w:rPr>
          <w:rFonts w:ascii="Arial" w:cs="Arial" w:eastAsia="Arial" w:hAnsi="Arial"/>
          <w:sz w:val="26"/>
          <w:szCs w:val="26"/>
          <w:color w:val="auto"/>
          <w:vertAlign w:val="superscript"/>
        </w:rPr>
        <w:t>®</w:t>
      </w:r>
      <w:r>
        <w:rPr>
          <w:rFonts w:ascii="Arial" w:cs="Arial" w:eastAsia="Arial" w:hAnsi="Arial"/>
          <w:sz w:val="16"/>
          <w:szCs w:val="16"/>
          <w:color w:val="auto"/>
        </w:rPr>
        <w:t>; GSK), quadrivalent HPV16/18/6/11 (Gardasil</w:t>
      </w:r>
      <w:r>
        <w:rPr>
          <w:rFonts w:ascii="Arial" w:cs="Arial" w:eastAsia="Arial" w:hAnsi="Arial"/>
          <w:sz w:val="26"/>
          <w:szCs w:val="26"/>
          <w:color w:val="auto"/>
          <w:vertAlign w:val="superscript"/>
        </w:rPr>
        <w:t>®</w:t>
      </w:r>
      <w:r>
        <w:rPr>
          <w:rFonts w:ascii="Arial" w:cs="Arial" w:eastAsia="Arial" w:hAnsi="Arial"/>
          <w:sz w:val="16"/>
          <w:szCs w:val="16"/>
          <w:color w:val="auto"/>
        </w:rPr>
        <w:t>; Merck) and the 9-valent HPV 6/11/16/18/33/52/58 (Gardasil</w:t>
      </w:r>
      <w:r>
        <w:rPr>
          <w:rFonts w:ascii="Arial" w:cs="Arial" w:eastAsia="Arial" w:hAnsi="Arial"/>
          <w:sz w:val="26"/>
          <w:szCs w:val="26"/>
          <w:color w:val="auto"/>
          <w:vertAlign w:val="superscript"/>
        </w:rPr>
        <w:t>®</w:t>
      </w:r>
      <w:r>
        <w:rPr>
          <w:rFonts w:ascii="Arial" w:cs="Arial" w:eastAsia="Arial" w:hAnsi="Arial"/>
          <w:sz w:val="16"/>
          <w:szCs w:val="16"/>
          <w:color w:val="auto"/>
        </w:rPr>
        <w:t>9; Merck).</w:t>
      </w:r>
    </w:p>
    <w:p>
      <w:pPr>
        <w:spacing w:after="0" w:line="205" w:lineRule="auto"/>
        <w:rPr>
          <w:sz w:val="20"/>
          <w:szCs w:val="20"/>
          <w:color w:val="auto"/>
        </w:rPr>
      </w:pPr>
      <w:r>
        <w:rPr>
          <w:rFonts w:ascii="Arial" w:cs="Arial" w:eastAsia="Arial" w:hAnsi="Arial"/>
          <w:sz w:val="16"/>
          <w:szCs w:val="16"/>
          <w:color w:val="auto"/>
        </w:rPr>
        <w:t>Gardasil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9 is indicated for females aged 9 through 26 and males aged 9 through 15, to prevent various HPV related cancers and genital warts in both sexes.</w:t>
      </w:r>
    </w:p>
    <w:p>
      <w:pPr>
        <w:spacing w:after="0" w:line="198" w:lineRule="auto"/>
        <w:rPr>
          <w:sz w:val="20"/>
          <w:szCs w:val="20"/>
          <w:color w:val="auto"/>
        </w:rPr>
      </w:pPr>
      <w:r>
        <w:rPr>
          <w:rFonts w:ascii="Arial" w:cs="Arial" w:eastAsia="Arial" w:hAnsi="Arial"/>
          <w:sz w:val="18"/>
          <w:szCs w:val="18"/>
          <w:color w:val="auto"/>
        </w:rPr>
        <w:t>Gardasil</w:t>
      </w:r>
      <w:r>
        <w:rPr>
          <w:rFonts w:ascii="Arial" w:cs="Arial" w:eastAsia="Arial" w:hAnsi="Arial"/>
          <w:sz w:val="29"/>
          <w:szCs w:val="29"/>
          <w:color w:val="auto"/>
          <w:vertAlign w:val="superscript"/>
        </w:rPr>
        <w:t>®</w:t>
      </w:r>
      <w:r>
        <w:rPr>
          <w:rFonts w:ascii="Arial" w:cs="Arial" w:eastAsia="Arial" w:hAnsi="Arial"/>
          <w:sz w:val="18"/>
          <w:szCs w:val="18"/>
          <w:color w:val="auto"/>
        </w:rPr>
        <w:t>, Gardasil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9, and Cervarix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are not known to exhibit a therapeutic effect on existing HPV lesions.</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Currently, there are no approved direct-acting antiviral drugs to treat HRV infections. However, if ever approved, Aviragen’s vapendavir product candidate would indirectly compete with drugs approved to reduce the incidence of exacerbations or improve lung function in patients with asthma and COPD, such as</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fluticasone propionate (Advair</w:t>
      </w:r>
      <w:r>
        <w:rPr>
          <w:rFonts w:ascii="Arial" w:cs="Arial" w:eastAsia="Arial" w:hAnsi="Arial"/>
          <w:sz w:val="29"/>
          <w:szCs w:val="29"/>
          <w:color w:val="auto"/>
          <w:vertAlign w:val="superscript"/>
        </w:rPr>
        <w:t>®</w:t>
      </w:r>
      <w:r>
        <w:rPr>
          <w:rFonts w:ascii="Arial" w:cs="Arial" w:eastAsia="Arial" w:hAnsi="Arial"/>
          <w:sz w:val="18"/>
          <w:szCs w:val="18"/>
          <w:color w:val="auto"/>
        </w:rPr>
        <w:t>), tiotoprium bromide (Spiriva</w:t>
      </w:r>
      <w:r>
        <w:rPr>
          <w:rFonts w:ascii="Arial" w:cs="Arial" w:eastAsia="Arial" w:hAnsi="Arial"/>
          <w:sz w:val="29"/>
          <w:szCs w:val="29"/>
          <w:color w:val="auto"/>
          <w:vertAlign w:val="superscript"/>
        </w:rPr>
        <w:t>®</w:t>
      </w:r>
      <w:r>
        <w:rPr>
          <w:rFonts w:ascii="Arial" w:cs="Arial" w:eastAsia="Arial" w:hAnsi="Arial"/>
          <w:sz w:val="18"/>
          <w:szCs w:val="18"/>
          <w:color w:val="auto"/>
        </w:rPr>
        <w:t>), fluticasone furoate/vilanterol (Breo Ellipta</w:t>
      </w:r>
      <w:r>
        <w:rPr>
          <w:rFonts w:ascii="Arial" w:cs="Arial" w:eastAsia="Arial" w:hAnsi="Arial"/>
          <w:sz w:val="29"/>
          <w:szCs w:val="29"/>
          <w:color w:val="auto"/>
          <w:vertAlign w:val="superscript"/>
        </w:rPr>
        <w:t>®</w:t>
      </w:r>
      <w:r>
        <w:rPr>
          <w:rFonts w:ascii="Arial" w:cs="Arial" w:eastAsia="Arial" w:hAnsi="Arial"/>
          <w:sz w:val="18"/>
          <w:szCs w:val="18"/>
          <w:color w:val="auto"/>
        </w:rPr>
        <w:t>), and roflumilast (Daliresp</w:t>
      </w:r>
      <w:r>
        <w:rPr>
          <w:rFonts w:ascii="Arial" w:cs="Arial" w:eastAsia="Arial" w:hAnsi="Arial"/>
          <w:sz w:val="29"/>
          <w:szCs w:val="29"/>
          <w:color w:val="auto"/>
          <w:vertAlign w:val="superscript"/>
        </w:rPr>
        <w:t>®</w:t>
      </w:r>
      <w:r>
        <w:rPr>
          <w:rFonts w:ascii="Arial" w:cs="Arial" w:eastAsia="Arial" w:hAnsi="Arial"/>
          <w:sz w:val="18"/>
          <w:szCs w:val="18"/>
          <w:color w:val="auto"/>
        </w:rPr>
        <w:t>). In addition to these approved drugs, there are compounds at the clinical development stage that if successfully developed for the treatment of HRV infections could compete with vapendavir in the future.</w:t>
      </w:r>
    </w:p>
    <w:p>
      <w:pPr>
        <w:spacing w:after="0" w:line="206"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Effective treatments of RSV infections in pediatrics, the elderly, and the immunocompromised are very limited. Currently, only Virazole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(ribavirin) is indicated for the treatment of hospitalized infants and young children with severe lower respiratory tract infections due to RSV. Aviragen is aware that the following compounds are under development to treat RSV infections: Gilead’s presatovir, Johnson &amp; Johnson’s JJ-53718678 (ALS-8176), Ablynx’s ALX-0171 and Ark Biosciences’ AK0529. The only approved drug for the prevention of RSV infections in high risk infants is MedImmune’s palivizumab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(Synagis</w:t>
      </w:r>
      <w:r>
        <w:rPr>
          <w:rFonts w:ascii="Arial" w:cs="Arial" w:eastAsia="Arial" w:hAnsi="Arial"/>
          <w:sz w:val="28"/>
          <w:szCs w:val="28"/>
          <w:color w:val="auto"/>
          <w:vertAlign w:val="superscript"/>
        </w:rPr>
        <w:t>®</w:t>
      </w:r>
      <w:r>
        <w:rPr>
          <w:rFonts w:ascii="Arial" w:cs="Arial" w:eastAsia="Arial" w:hAnsi="Arial"/>
          <w:sz w:val="17"/>
          <w:szCs w:val="17"/>
          <w:color w:val="auto"/>
        </w:rPr>
        <w:t>), a monoclonal antibody. There are several vaccines and antibody products designed to prevent RSV infections in clinical development. Among the clinical stage product candidates in development are Novavax’s RSV F vaccine, GSK’s GSK3003898A vaccine, GSK’s GSK3389245A vaccine, Bavarian Nordic’s BN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RSV vaccine, MedImmune’s MEDI ÄM2-2 vaccine and MedImmune’s monoclonal antibody MEDI8897.</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at any time Aviragen believes that any of Aviragen’s product candidates may not provide meaningful or differentiated therapeutic benefits, perceived or real, equal to or better than its competitor’s products or product candidates, or Aviragen believes that its product candidates may not have as favorable a safety or tolerability profile as potentially competitive compounds, Aviragen may delay or terminate the future development of any of its product candidates. Aviragen cannot provide any assurance that the future development of any of Aviragen’s product candidates will demonstrate any meaningful therapeutic benefits over potentially competitive compounds currently approved for sale or in development, or an acceptable safety or tolerability profile sufficient to justify its continued development.</w:t>
      </w:r>
    </w:p>
    <w:p>
      <w:pPr>
        <w:sectPr>
          <w:pgSz w:w="11900" w:h="16838" w:orient="portrait"/>
          <w:cols w:equalWidth="0" w:num="1">
            <w:col w:w="11400"/>
          </w:cols>
          <w:pgMar w:left="240" w:top="118" w:right="25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41" w:name="page42"/>
    <w:bookmarkEnd w:id="4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b w:val="1"/>
          <w:bCs w:val="1"/>
          <w:i w:val="1"/>
          <w:iCs w:val="1"/>
          <w:color w:val="auto"/>
        </w:rPr>
        <w:t>Aviragen’s product candidates may exhibit undesirable side effects when used alone or in combination with other approved pharmaceutical products, which may delay or preclude their development or regulatory approval, or limit their use if ever approved.</w:t>
      </w:r>
    </w:p>
    <w:p>
      <w:pPr>
        <w:spacing w:after="0" w:line="14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Throughout the drug development process, Aviragen must continually demonstrate the activity, safety and tolerability of its product candidates in order to obtain regulatory approval to further advance their clinical development, or to eventually market them. Even if Aviragen’s product candidates demonstrate adequate biologic activity and clear clinical benefit, any unacceptable side effects or adverse events, when administered alone or in the presence of other pharmaceutical products, may outweigh these potential benefits. Aviragen may observe adverse or serious adverse events or drug-drug interactions in preclinical studies or clinical trials of Aviragen’s product candidates, which could result in the delay or termination of their development, prevent regulatory approval, or limit their market acceptance if they are ultimately approved.</w:t>
      </w:r>
    </w:p>
    <w:p>
      <w:pPr>
        <w:spacing w:after="0" w:line="17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b w:val="1"/>
          <w:bCs w:val="1"/>
          <w:i w:val="1"/>
          <w:iCs w:val="1"/>
          <w:color w:val="auto"/>
        </w:rPr>
        <w:t>If the results from preclinical studies or clinical trials of Aviragen’s product candidates, including those that are subject to existing or future license or collaboration agreements, are unfavorable, Aviragen could be delayed or precluded from the further development or commercialization of its product candidates, which could materially harm Aviragen’s business.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further advance the development of, and ultimately receive marketing approval to sell Aviragen’s product candidates, Aviragen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Aviragen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Aviragen may experience numerous unforeseen events during, or as a result of, preclinical studies and the clinical trial process, which could delay or impede Aviragen’s ability to advance the development of, receive marketing approval for, or commercialize its product candidates, including, but not limited to:</w:t>
      </w:r>
    </w:p>
    <w:p>
      <w:pPr>
        <w:spacing w:after="0" w:line="183" w:lineRule="exact"/>
        <w:rPr>
          <w:sz w:val="20"/>
          <w:szCs w:val="20"/>
          <w:color w:val="auto"/>
        </w:rPr>
      </w:pPr>
    </w:p>
    <w:p>
      <w:pPr>
        <w:ind w:left="660" w:right="80" w:hanging="329"/>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p>
      <w:pPr>
        <w:spacing w:after="0" w:line="183"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authorities or institutional review boards, or IRBs, not authorizing Aviragen to commence or conduct a clinical trial at a prospective trial site;</w:t>
      </w:r>
    </w:p>
    <w:p>
      <w:pPr>
        <w:spacing w:after="0" w:line="169" w:lineRule="exact"/>
        <w:rPr>
          <w:rFonts w:ascii="Arial" w:cs="Arial" w:eastAsia="Arial" w:hAnsi="Arial"/>
          <w:sz w:val="18"/>
          <w:szCs w:val="18"/>
          <w:color w:val="auto"/>
        </w:rPr>
      </w:pPr>
    </w:p>
    <w:p>
      <w:pPr>
        <w:ind w:left="660" w:right="580" w:hanging="329"/>
        <w:spacing w:after="0" w:line="27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enrollment in Aviragen’s clinical trials being delayed, or proceeding at a slower pace than Aviragen expected, because Aviragen has difficulty recruiting participants or participants drop out of Aviragen’s clinical trials at a higher rate than Aviragen anticipated;</w:t>
      </w:r>
    </w:p>
    <w:p>
      <w:pPr>
        <w:spacing w:after="0" w:line="169" w:lineRule="exact"/>
        <w:rPr>
          <w:rFonts w:ascii="Arial" w:cs="Arial" w:eastAsia="Arial" w:hAnsi="Arial"/>
          <w:sz w:val="18"/>
          <w:szCs w:val="18"/>
          <w:color w:val="auto"/>
        </w:rPr>
      </w:pPr>
    </w:p>
    <w:p>
      <w:pPr>
        <w:ind w:left="660" w:right="420" w:hanging="329"/>
        <w:spacing w:after="0" w:line="340"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Aviragen’s third-party contractors, upon whom Aviragen relies to conduct preclinical studies, clinical trials and the manufacturing of Aviragen’s clinical trial materials, failing to comply with regulatory requirements or meet their contractual obligations to Aviragen in a timely manner;</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having to suspend or ultimately terminate a clinical trial if participants are being exposed to unacceptable health or safety risks;</w:t>
      </w:r>
    </w:p>
    <w:p>
      <w:pPr>
        <w:spacing w:after="0" w:line="223" w:lineRule="exact"/>
        <w:rPr>
          <w:rFonts w:ascii="Arial" w:cs="Arial" w:eastAsia="Arial" w:hAnsi="Arial"/>
          <w:sz w:val="18"/>
          <w:szCs w:val="18"/>
          <w:color w:val="auto"/>
        </w:rPr>
      </w:pPr>
    </w:p>
    <w:p>
      <w:pPr>
        <w:ind w:left="660" w:right="640" w:hanging="329"/>
        <w:spacing w:after="0" w:line="27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authorities or IRBs requiring that Aviragen hold, suspend or terminate its preclinical studies and clinical trials for various reasons, including non-compliance with regulatory requirements;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supply or quality of material necessary to conduct Aviragen’s preclinical studies or clinical trials being insufficient, inadequate or unavailable.</w:t>
      </w:r>
    </w:p>
    <w:p>
      <w:pPr>
        <w:spacing w:after="0" w:line="247"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color w:val="auto"/>
        </w:rPr>
        <w:t>Even if the data collected from preclinical studies or clinical trials involving Aviragen’s product candidates demonstrate a satisfactory tolerability, safety and efficacy profile, such results may not be sufficient to support the submission of an NDA to obtain regulatory approval from the FDA in the United States, or other similar regulatory authorities in other foreign jurisdictions, which is required for Aviragen to market and sell its product candidates.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FDA does not agree to lift the clinical hold on BTA585, it is unlikely that Aviragen will be able to continue its development.</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May 2016, during the conduct of the Phase 2a RSV challenge trial, Aviragen announced a voluntary delay in enrollment due to the receipt of a lab result from one subject showing an increase of a cardiac enzyme level coupled with transient ECG changes, which led to a hospitalization of less than 24 hours for observation and assessment. The subject's ECGs normalized in the clinic prior to hospitalization and the cardiac enzyme levels returned to baseline shortly thereafter. Furthermore, a cardiac MRI was normal with no evidence of functional deficit or ongoing cardiac condition. After a review of the subject’s data, the Medicines and Healthcare Products Regulatory Agency of the United Kingdom, or the MHRA, agreed to allow enrollment to resume in order to complete the higher dose level cohort. Aviragen also reported that subsequent to the submission of the requisite safety report of this event to the FDA, Aviragen received communication from the FDA that the investigational new drug application, or IND, for BTA585 has been placed on clinical hold for future studies conducted in the United States under the IND. In the first half of 2017, Aviragen completed the requested non-clinical studies requested by the FDA to support a response to the clinical hold, but has subsequently put all activities related to the BTA585 program on hold during the pendency of Aviragen’s review of strategic alternatives. If the FDA does not agree to lift the clinical hold on BTA585, the viability of BTA585 as a commercial product is subject to doubt, and it would be unlikely that Aviragen would continue the development of BTA585.</w:t>
      </w:r>
    </w:p>
    <w:p>
      <w:pPr>
        <w:spacing w:after="0" w:line="18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i w:val="1"/>
          <w:iCs w:val="1"/>
          <w:color w:val="auto"/>
        </w:rPr>
        <w:t>If third-party contract manufacturers, upon whom Aviragen relies to formulate and manufacture Aviragen’s product candidates, do not perform, fail to manufacture according to Aviragen’s specifications, or fail to comply with strict government regulations, Aviragen’s preclinical studies or clinical trials could be adversely affected and the development of Aviragen’s product candidates could be delayed or terminated, or Aviragen could incur significant additional expenses.</w:t>
      </w:r>
    </w:p>
    <w:p>
      <w:pPr>
        <w:spacing w:after="0" w:line="18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Aviragen does not currently own any manufacturing facilities. Aviragen has historically used third-party contract manufacturers and Aviragen intends to continue to rely on third-party contractors for the foreseeable future to formulate, manufacture, fill and package Aviragen’s product candidates. Aviragen’s reliance on these third-party contract manufacturers, which in some cases are sole sourced, exposes Aviragen to a number of risks, any of which could delay or prevent the completion of Aviragen’s preclinical studies or clinical trials, or the regulatory approval or commercialization of Aviragen’s product candidates, result in higher costs or deprive Aviragen of potential product revenues in the future. Some of these risks include, but are not limited to:</w:t>
      </w:r>
    </w:p>
    <w:p>
      <w:pPr>
        <w:spacing w:after="0" w:line="161" w:lineRule="exact"/>
        <w:rPr>
          <w:sz w:val="20"/>
          <w:szCs w:val="20"/>
          <w:color w:val="auto"/>
        </w:rPr>
      </w:pPr>
    </w:p>
    <w:p>
      <w:pPr>
        <w:ind w:left="660" w:right="240" w:hanging="329"/>
        <w:spacing w:after="0" w:line="27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Aviragen’s contract manufacturers failing to develop an acceptable formulation to support late-stage clinical trials for, or the commercialization of, Aviragen’s product candidates;</w:t>
      </w:r>
    </w:p>
    <w:p>
      <w:pPr>
        <w:spacing w:after="0" w:line="169" w:lineRule="exact"/>
        <w:rPr>
          <w:rFonts w:ascii="Arial" w:cs="Arial" w:eastAsia="Arial" w:hAnsi="Arial"/>
          <w:sz w:val="18"/>
          <w:szCs w:val="18"/>
          <w:color w:val="auto"/>
        </w:rPr>
      </w:pPr>
    </w:p>
    <w:p>
      <w:pPr>
        <w:jc w:val="both"/>
        <w:ind w:left="660" w:right="160" w:hanging="329"/>
        <w:spacing w:after="0" w:line="26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Aviragen’s contract manufacturers failing to manufacture its product candidates according to their own standards, Aviragen’s specifications, current good manufacturing practices, or cGMP, or regulatory guidelines, or otherwise manufacturing material that Aviragen or regulatory authorities deem to be unsuitable for Aviragen’s clinical trials or commercial use;</w:t>
      </w:r>
    </w:p>
    <w:p>
      <w:pPr>
        <w:spacing w:after="0" w:line="183" w:lineRule="exact"/>
        <w:rPr>
          <w:rFonts w:ascii="Arial" w:cs="Arial" w:eastAsia="Arial" w:hAnsi="Arial"/>
          <w:sz w:val="18"/>
          <w:szCs w:val="18"/>
          <w:color w:val="auto"/>
        </w:rPr>
      </w:pPr>
    </w:p>
    <w:p>
      <w:pPr>
        <w:ind w:left="660" w:hanging="329"/>
        <w:spacing w:after="0" w:line="27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Aviragen’s contract manufacturers being unable to increase the scale of or the capacity for, or reformulate the form of Aviragen’s product candidates, which may cause Aviragen to experience a shortage in supply, or cause the cost to manufacture Aviragen’s product candidates to increase. Aviragen cannot assure you that Aviragen’s contract manufacturers will be able to manufacture Aviragen’s product candidates at a suitable commercial scale, or that Aviragen will be able to find alternative manufacturers acceptable to Aviragen that can do so;</w:t>
      </w:r>
    </w:p>
    <w:p>
      <w:pPr>
        <w:spacing w:after="0" w:line="170" w:lineRule="exact"/>
        <w:rPr>
          <w:rFonts w:ascii="Arial" w:cs="Arial" w:eastAsia="Arial" w:hAnsi="Arial"/>
          <w:sz w:val="17"/>
          <w:szCs w:val="17"/>
          <w:color w:val="auto"/>
        </w:rPr>
      </w:pPr>
    </w:p>
    <w:p>
      <w:pPr>
        <w:ind w:left="660" w:hanging="329"/>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Aviragen’s contract manufacturers placing a priority on the manufacture of other customers’ or their own products, rather than Aviragen’s products;</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Aviragen’s contract manufacturers failing to perform as agreed or exiting from the contract manufacturing business;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Aviragen’s contract manufacturers’ plants being closed as a result of regulatory sanctions or a natural disaster.</w:t>
      </w:r>
    </w:p>
    <w:p>
      <w:pPr>
        <w:spacing w:after="0" w:line="22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Manufacturers of pharmaceutical drug products are subject to ongoing periodic inspections by the FDA, the U.S. Drug Enforcement Administration, or DEA, and corresponding state and other foreign agencies to ensure strict compliance with FDA-mandated cGMPs, other government regulations and corresponding foreign standards. Aviragen does not have control over Aviragen’s third-party contract manufacturers’ compliance with these regulations and standards and accordingly, failure by Aviragen’s third-party manufacturers, or Aviragen, to comply with applicable regulations could result in sanctions being imposed on Aviragen or the manufacturers, which could significantly and adversely affect Aviragen’s business.</w:t>
      </w:r>
    </w:p>
    <w:p>
      <w:pPr>
        <w:spacing w:after="0" w:line="176"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i w:val="1"/>
          <w:iCs w:val="1"/>
          <w:color w:val="auto"/>
        </w:rPr>
        <w:t>In the event that Aviragen needs to change its third-party contract manufacturers, its preclinical studies or its clinical trials, the commercialization of its product candidates could be delayed, adversely affected or terminated, or such a change may result in the need for Aviragen to incur significantly higher costs, which could materially harm Aviragen’s business.</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various regulatory restrictions in the United States and many other countries, as well as potential capacity constraints on manufacturing that occur from time-to-time in Aviragen’s industry, various steps in the manufacture of Aviragen’s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Aviragen’s current or future contract manufacturers may be difficult, if not impossible for Aviragen, and could be extremely costly if Aviragen does make such a change, which could result in Aviragen’s inability to manufacture its product candidates for an extended period of time and a delay in the development of its product candidates. Further, in order to maintain its development timelines in the event of a change in a third-party contract manufacturer, Aviragen may incur significantly higher costs to manufacture its product candidates.</w:t>
      </w:r>
    </w:p>
    <w:p>
      <w:pPr>
        <w:sectPr>
          <w:pgSz w:w="11900" w:h="16838" w:orient="portrait"/>
          <w:cols w:equalWidth="0" w:num="1">
            <w:col w:w="11420"/>
          </w:cols>
          <w:pgMar w:left="240" w:top="118"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If third-party vendors, upon whom Aviragen relies to conduct its preclinical studies or clinical trials, do not perform or fail to comply with strict regulations, these studies or trials may be delayed, terminated, or fail, or Aviragen could incur significant additional expenses, which could materially harm its business.</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Aviragen has limited resources dedicated to designing, conducting and managing Aviragen’s preclinical studies and clinical trials. Aviragen has historically relied on, and intends to continue to rely on, third parties, including clinical research organizations, consultants and principal investigators, to assist it in designing, managing, conducting, monitoring and analyzing the data from its preclinical studies and clinical trials. Aviragen relies on these vendors and individuals to perform many facets of the clinical development process on its behalf, including conducting preclinical studies, the recruitment of sites and patients for participation in Aviragen’s clinical trials, maintenance of good relations with the clinical sites, and ensuring that these sites are conducting Aviragen’s trials in compliance with the trial protocol and applicable regulations. If these third parties fail to perform satisfactorily, or do not adequately fulfill their obligations under the terms of Aviragen’s agreements with them, Aviragen may not be able to enter into alternative arrangements without undue delay or additional expenditures, and therefore the preclinical studies and clinical trials of Aviragen’s product candidates may be delayed or prove unsuccessful.</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 the FDA, or similar regulatory authorities in other countries, may inspect some of the clinical sites participating in Aviragen’s clinical trials or Aviragen’s third-party vendors’ sites to determine if Aviragen’s clinical trials are being conducted according to the FDA’s good clinical practices, or GCPs, or similar regulations. If Aviragen or a regulatory authority determine that Aviragen’s third-party vendors are not in compliance with, or have not conducted Aviragen’s clinical trials according to applicable regulations, Aviragen may be forced to exclude certain data from the results of the trial, or delay, repeat or terminate such clinical trials.</w:t>
      </w:r>
    </w:p>
    <w:p>
      <w:pPr>
        <w:spacing w:after="0" w:line="188"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b w:val="1"/>
          <w:bCs w:val="1"/>
          <w:i w:val="1"/>
          <w:iCs w:val="1"/>
          <w:color w:val="auto"/>
        </w:rPr>
        <w:t>Aviragen has a limited capacity for managing clinical trials, which could delay or impair Aviragen’s ability to initiate or complete clinical trials of Aviragen’s product candidates on a timely basis and materially harm Aviragen’s business.</w:t>
      </w:r>
    </w:p>
    <w:p>
      <w:pPr>
        <w:spacing w:after="0" w:line="17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Aviragen has a limited capacity to recruit and manage all of the clinical trials necessary to obtain approval for Aviragen’s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Aviragen is attempting to recruit for its clinical trials. As a result, Aviragen may be at a competitive disadvantage that could delay the initiation, recruitment, timing and completion of Aviragen’s clinical trials and obtaining of marketing approvals, if achieved at all, for Aviragen’s product candidates.</w:t>
      </w:r>
    </w:p>
    <w:p>
      <w:pPr>
        <w:spacing w:after="0" w:line="16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If Aviragen is unable to attract or retain key employees, advisors or consultants, Aviragen may be unable to successfully develop its product candidates in a timely manner, if at all, or otherwise manage its business effectively.</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Aviragen has increasingly adopted an operating model that relies on the outsourcing of a number of key responsibilities and activities to third-party vendors, such as contract research and manufacturing organizations, in order to advance the development of Aviragen’s product candidates. Therefore, Aviragen’s success depends in part on its ability to retain highly qualified key management, personnel to develop, implement and execute its business strategy and operations, and oversee the activities of its vendors, as well as any academic and corporate advisors or consultants that may assist it in this regard. Aviragen is currently highly dependent upon the efforts of its small management team to accomplish this. In order to advance the development of Aviragen’s product candidates, Aviragen needs to retain and be able to recruit certain key personnel, consultants or advisors with experience in a number of disciplines, including but not limited to, research and development, product development, clinical trials, medical affairs, government regulation approval of pharmaceutical products, quality control and assurance, formulation and manufacturing, business development, accounting, finance, human resources and information systems. Aviragen may not be able to continue to do so in the future on acceptable terms, if at all. If Aviragen loses any key personnel, or is unable to retain qualified key personnel, directors, advisors or consultants, the development of Aviragen’s product candidates could be delayed or terminated and Aviragen’s business may be harmed.</w:t>
      </w:r>
    </w:p>
    <w:p>
      <w:pPr>
        <w:spacing w:after="0" w:line="183"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b w:val="1"/>
          <w:bCs w:val="1"/>
          <w:i w:val="1"/>
          <w:iCs w:val="1"/>
          <w:color w:val="auto"/>
        </w:rPr>
        <w:t>Aviragen’s industry is highly competitive and subject to rapid technological changes. As a result, Aviragen may be unable to compete successfully or develop innovative or differentiated products, which could harm its business.</w:t>
      </w:r>
    </w:p>
    <w:p>
      <w:pPr>
        <w:spacing w:after="0" w:line="17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Aviragen’s industry is highly competitive and characterized by rapid technological change. Key competitive factors in Aviragen’s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Aviragen’s product candidates; relative manufacturing costs; establishing, maintaining and protecting Aviragen’s intellectual property and patent rights; and sales and marketing capabilities.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Aviragen’s product candidates, have substantially more resources than Aviragen has, as well as much greater capabilities and experience than Aviragen has in research and discovery, designing and conducting preclinical studies and clinical trials, operating in a highly regulated environment, formulating and manufacturing drug substances, products and devices, and marketing and sales. Aviragen’s competitors may be more successful than Aviragen is in obtaining regulatory approvals for their product candidates and achieving broad market acceptance once they are approved. Aviragen’s competitors’ products or product candidates may be more effective, have fewer adverse effects, be more convenient to administer, have a more favorable resistance profile, or be more effectively marketed and sold than any product Aviragen, or Aviragen’s potential future licensees or collaborators, may develop or commercialize. New drugs or classes of drugs from competitors may render Aviragen’s product candidates obsolete or non-competitive before Aviragen is able to successfully develop them or, if approved, before Aviragen can recover the expenses of developing and commercializing them. Aviragen anticipates that it or its potential future licensees or collaborators will face intense and increasing competition as new drugs and drug classes enter the market and advanced technologies or new drug targets become available. If Aviragen’s product candidates do not demonstrate any meaningful competitive advantages over existing products, or new products or product candidates, Aviragen may terminate the development or commercialization of its product candidates at any time.</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competitors, either alone or with their collaborators, may succeed in developing product candidates or products that are more effective, safer, less expensive or easier to administer than Aviragen’s. Accordingly, Aviragen’s competitors may succeed in obtaining regulatory approval for their product candidates more rapidly than Aviragen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Aviragen also faces, and expects that it will continue to face, intense competition from other companies in a number of other areas, including (i) attracting larger pharmaceutical and biopharmaceutical companies to enter into collaborative arrangements with Aviragen to acquire, license or co-develop Aviragen’s product candidates, (ii) identifying and obtaining additional clinical-stage development programs to bolster its pipeline, (iii) attracting investigators and clinical sites capable of conducting its clinical trials, and (iv) recruiting patients to participate in its clinical trials. Aviragen cannot assure you that product candidates resulting from Aviragen’s research and development efforts, or from joint efforts with Aviragen’s potential future licensees or collaborators, will be able to compete successfully with Aviragen’s competitors’ existing products or product candidates in development.</w:t>
      </w:r>
    </w:p>
    <w:p>
      <w:pPr>
        <w:spacing w:after="0" w:line="178"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b w:val="1"/>
          <w:bCs w:val="1"/>
          <w:i w:val="1"/>
          <w:iCs w:val="1"/>
          <w:color w:val="auto"/>
        </w:rPr>
        <w:t>Aviragen may be unable to successfully develop a product candidate that is the subject of an existing or future license agreement or collaboration if Aviragen’s licensee or collaborator does not perform or fulfill its contractual obligations, delays the development of Aviragen’s product candidate, or terminates the agreement.</w:t>
      </w:r>
    </w:p>
    <w:p>
      <w:pPr>
        <w:spacing w:after="0" w:line="183"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Aviragen expects to continue to enter into and rely on license and collaboration agreements in the future, or other similar business arrangements with third parties, to further develop and/or commercialize some or all of Aviragen’s existing and future product candidates. Such licensees or collaborators may not perform as agreed upon or anticipated, may fail to comply with strict regulations, or may elect to delay or terminate their efforts in developing or commercializing Aviragen’s product candidates even though Aviragen has not met its obligations under the arrangement.</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majority of the potential revenue from existing and any future licenses and collaborations Aviragen may enter into will likely consist of contingent milestone payments, such as payments received for achieving development or regulatory milestones, and royalties payable on the sales of approved products. Milestone and royalty revenues that Aviragen may receive under these licenses and collaborations will depend primarily upon Aviragen’s licensee’s or collaborator’s ability to successfully develop and commercialize Aviragen’s product candidates. In addition, Aviragen’s licensees or collaborators may decide to enter into arrangements with third parties to commercialize products developed under Aviragen’s existing or future collaborations using Aviragen’s technologies, which could reduce the milestone and royalty revenue that Aviragen may receive, if any. In many cases, Aviragen will not be directly or closely involved in the development or commercialization of Aviragen’s product candidates that are subject to licenses or collaborations and, accordingly, Aviragen will depend largely on its licensees or collaborators to develop or commercialize its product candidates. Aviragen’s licensees may encounter competition from new products entering the market, which could adversely affect Aviragen’s royalty income. Aviragen’s licensees or collaborators may fail to develop or effectively commercialize Aviragen’s product candidates because they: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660" w:right="360" w:hanging="329"/>
        <w:spacing w:after="0" w:line="26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p>
      <w:pPr>
        <w:spacing w:after="0" w:line="183" w:lineRule="exact"/>
        <w:rPr>
          <w:rFonts w:ascii="Arial" w:cs="Arial" w:eastAsia="Arial" w:hAnsi="Arial"/>
          <w:sz w:val="18"/>
          <w:szCs w:val="18"/>
          <w:color w:val="auto"/>
        </w:rPr>
      </w:pPr>
    </w:p>
    <w:p>
      <w:pPr>
        <w:ind w:left="660" w:right="1060" w:hanging="329"/>
        <w:spacing w:after="0" w:line="27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do not have sufficient resources necessary to fully support the product candidate through clinical development, regulatory approval and commercialization;</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are unable to obtain the necessary regulatory approvals; or</w:t>
      </w:r>
    </w:p>
    <w:p>
      <w:pPr>
        <w:spacing w:after="0" w:line="223" w:lineRule="exact"/>
        <w:rPr>
          <w:rFonts w:ascii="Arial" w:cs="Arial" w:eastAsia="Arial" w:hAnsi="Arial"/>
          <w:sz w:val="18"/>
          <w:szCs w:val="18"/>
          <w:color w:val="auto"/>
        </w:rPr>
      </w:pPr>
    </w:p>
    <w:p>
      <w:pPr>
        <w:ind w:left="660" w:right="500" w:hanging="329"/>
        <w:spacing w:after="0" w:line="27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prioritize other programs or otherwise diminish their support for developing and/or marketing Aviragen’s product candidate or product due to a change in management, business operations or strategy.</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Should any of these events occur, Aviragen may not realize the full potential or intended benefit of its license or collaboration arrangements, and Aviragen’s results of operations may be adversely affected. In addition, a licensee or collaborator may decide to pursue the development of a competitive product candidate developed outside of Aviragen’s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Aviragen’s product candidates for any of these reasons, Aviragen may not be able to replace them with another third-party willing to develop and commercialize Aviragen’s product candidates under similar terms, if at all. Similarly, Aviragen may disagree with a licensee or collaborator as to which party owns newly or jointly-developed intellectual property. Should an agreement be revised or terminated as a result of a dispute and before Aviragen has realized the anticipated benefits of the arrangement, Aviragen may not be able to obtain certain development support or revenues that Aviragen anticipated receiving. Aviragen may also be unable to obtain, on terms acceptable to it, a license from such collaboration partner to any of its intellectual property that may be necessary or useful for Aviragen to continue to develop and commercialize the product candidate. Aviragen cannot assure you that any product candidates will emerge from any existing or future license or collaboration agreements Aviragen may enter into for any of its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 Matters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has a history of incurring net losses and it may never achieve profitability.</w:t>
      </w:r>
    </w:p>
    <w:p>
      <w:pPr>
        <w:spacing w:after="0" w:line="224"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Aviragen has a history of incurring net losses, some of which have been significant. Aviragen expects to incur additional net losses in the near-term, and these losses would likely increase as Aviragen’s research and development efforts progress to later stage activities. To become profitable, Aviragen, or its licensees or collaborators if applicable, must successfully manufacture and develop product candidates, receive regulatory approval, successfully commercialize and/or enter into profitable agreements with other parties and maintain existing and/or obtain additional intellectual property rights. It could be several years, if ever, before Aviragen receives significant revenues from any future license agreements or revenues directly from the sale of any of Aviragen’s product candidates.</w:t>
      </w:r>
    </w:p>
    <w:p>
      <w:pPr>
        <w:spacing w:after="0" w:line="165" w:lineRule="exact"/>
        <w:rPr>
          <w:sz w:val="20"/>
          <w:szCs w:val="20"/>
          <w:color w:val="auto"/>
        </w:rPr>
      </w:pPr>
    </w:p>
    <w:p>
      <w:pPr>
        <w:ind w:right="360"/>
        <w:spacing w:after="0" w:line="213" w:lineRule="auto"/>
        <w:rPr>
          <w:sz w:val="20"/>
          <w:szCs w:val="20"/>
          <w:color w:val="auto"/>
        </w:rPr>
      </w:pPr>
      <w:r>
        <w:rPr>
          <w:rFonts w:ascii="Arial" w:cs="Arial" w:eastAsia="Arial" w:hAnsi="Arial"/>
          <w:sz w:val="18"/>
          <w:szCs w:val="18"/>
          <w:b w:val="1"/>
          <w:bCs w:val="1"/>
          <w:i w:val="1"/>
          <w:iCs w:val="1"/>
          <w:color w:val="auto"/>
        </w:rPr>
        <w:t>Royalty revenues from Relenza</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and Inavir</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are unpredictable and subject to the seasonal incidence and severity of influenza, which could adversely affect Aviragen’s results of operations and financial condition.</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Aviragen currently earns royalty revenue from the net sales of Relenza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Inavir</w:t>
      </w:r>
      <w:r>
        <w:rPr>
          <w:rFonts w:ascii="Arial" w:cs="Arial" w:eastAsia="Arial" w:hAnsi="Arial"/>
          <w:sz w:val="26"/>
          <w:szCs w:val="26"/>
          <w:color w:val="auto"/>
          <w:vertAlign w:val="superscript"/>
        </w:rPr>
        <w:t>®</w:t>
      </w:r>
      <w:r>
        <w:rPr>
          <w:rFonts w:ascii="Arial" w:cs="Arial" w:eastAsia="Arial" w:hAnsi="Arial"/>
          <w:sz w:val="16"/>
          <w:szCs w:val="16"/>
          <w:color w:val="auto"/>
        </w:rPr>
        <w:t>, which are marketed by its licensees. Although the royalty rates paid to Aviragen by its licensees are fixed at a proportion of the licensees’ net sales of these products, Aviragen’s periodic and annual revenues from these royalties have historically been variable and subject to fluctuation based on the seasonal incidence and severity of influenza. In addition, returns of products to Aviragen’s licensees that were sold in prior years are taken into account in the calculation of net sales for purposes of determining the royalty revenue Aviragen receives and the amount of such returns are generally unpredictable. Aviragen’s licensees may encounter competition from new products entering the</w:t>
      </w:r>
    </w:p>
    <w:p>
      <w:pPr>
        <w:spacing w:after="0" w:line="2" w:lineRule="exact"/>
        <w:rPr>
          <w:sz w:val="20"/>
          <w:szCs w:val="20"/>
          <w:color w:val="auto"/>
        </w:rPr>
      </w:pPr>
    </w:p>
    <w:p>
      <w:pPr>
        <w:ind w:right="300"/>
        <w:spacing w:after="0" w:line="205" w:lineRule="auto"/>
        <w:rPr>
          <w:sz w:val="20"/>
          <w:szCs w:val="20"/>
          <w:color w:val="auto"/>
        </w:rPr>
      </w:pPr>
      <w:r>
        <w:rPr>
          <w:rFonts w:ascii="Arial" w:cs="Arial" w:eastAsia="Arial" w:hAnsi="Arial"/>
          <w:sz w:val="16"/>
          <w:szCs w:val="16"/>
          <w:color w:val="auto"/>
        </w:rPr>
        <w:t>market, which could adversely affect Aviragen’s royalty income. In addition, most of Aviragen’s Relenza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patents have expired and the only substantial remaining intellectual property related to the Relenza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patent portfolio is scheduled to expire in July 2019 in Japan. Further, Aviragen sold a portion of its</w:t>
      </w:r>
    </w:p>
    <w:p>
      <w:pPr>
        <w:spacing w:after="0" w:line="2" w:lineRule="exact"/>
        <w:rPr>
          <w:sz w:val="20"/>
          <w:szCs w:val="20"/>
          <w:color w:val="auto"/>
        </w:rPr>
      </w:pPr>
    </w:p>
    <w:p>
      <w:pPr>
        <w:ind w:right="240"/>
        <w:spacing w:after="0" w:line="208" w:lineRule="auto"/>
        <w:rPr>
          <w:sz w:val="20"/>
          <w:szCs w:val="20"/>
          <w:color w:val="auto"/>
        </w:rPr>
      </w:pPr>
      <w:r>
        <w:rPr>
          <w:rFonts w:ascii="Arial" w:cs="Arial" w:eastAsia="Arial" w:hAnsi="Arial"/>
          <w:sz w:val="18"/>
          <w:szCs w:val="18"/>
          <w:color w:val="auto"/>
        </w:rPr>
        <w:t>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royalties to HealthCare Royalty Partners III, L.P., or HCRP, in April 2016. Aviragen cannot predict with any certainty what its royalty revenues are likely to be in any given year.</w:t>
      </w:r>
    </w:p>
    <w:p>
      <w:pPr>
        <w:spacing w:after="0" w:line="206" w:lineRule="exact"/>
        <w:rPr>
          <w:sz w:val="20"/>
          <w:szCs w:val="20"/>
          <w:color w:val="auto"/>
        </w:rPr>
      </w:pPr>
    </w:p>
    <w:p>
      <w:pPr>
        <w:ind w:right="320"/>
        <w:spacing w:after="0" w:line="213" w:lineRule="auto"/>
        <w:rPr>
          <w:sz w:val="20"/>
          <w:szCs w:val="20"/>
          <w:color w:val="auto"/>
        </w:rPr>
      </w:pPr>
      <w:r>
        <w:rPr>
          <w:rFonts w:ascii="Arial" w:cs="Arial" w:eastAsia="Arial" w:hAnsi="Arial"/>
          <w:sz w:val="18"/>
          <w:szCs w:val="18"/>
          <w:b w:val="1"/>
          <w:bCs w:val="1"/>
          <w:i w:val="1"/>
          <w:iCs w:val="1"/>
          <w:color w:val="auto"/>
        </w:rPr>
        <w:t>If safety, tolerability, resistance, drug-drug interactions, or efficacy concerns should arise with Relenza</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xml:space="preserve"> or Inavir</w:t>
      </w:r>
      <w:r>
        <w:rPr>
          <w:rFonts w:ascii="Arial" w:cs="Arial" w:eastAsia="Arial" w:hAnsi="Arial"/>
          <w:sz w:val="29"/>
          <w:szCs w:val="29"/>
          <w:b w:val="1"/>
          <w:bCs w:val="1"/>
          <w:i w:val="1"/>
          <w:iCs w:val="1"/>
          <w:color w:val="auto"/>
          <w:vertAlign w:val="superscript"/>
        </w:rPr>
        <w:t>®</w:t>
      </w:r>
      <w:r>
        <w:rPr>
          <w:rFonts w:ascii="Arial" w:cs="Arial" w:eastAsia="Arial" w:hAnsi="Arial"/>
          <w:sz w:val="18"/>
          <w:szCs w:val="18"/>
          <w:b w:val="1"/>
          <w:bCs w:val="1"/>
          <w:i w:val="1"/>
          <w:iCs w:val="1"/>
          <w:color w:val="auto"/>
        </w:rPr>
        <w:t>, Aviragen’s future royalty revenue may be reduced, which would adversely affect Aviragen’s financial condition and business.</w:t>
      </w:r>
    </w:p>
    <w:p>
      <w:pPr>
        <w:spacing w:after="0" w:line="20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Aviragen currently earns royalty revenue from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Inavir</w:t>
      </w:r>
      <w:r>
        <w:rPr>
          <w:rFonts w:ascii="Arial" w:cs="Arial" w:eastAsia="Arial" w:hAnsi="Arial"/>
          <w:sz w:val="29"/>
          <w:szCs w:val="29"/>
          <w:color w:val="auto"/>
          <w:vertAlign w:val="superscript"/>
        </w:rPr>
        <w:t>®</w:t>
      </w:r>
      <w:r>
        <w:rPr>
          <w:rFonts w:ascii="Arial" w:cs="Arial" w:eastAsia="Arial" w:hAnsi="Arial"/>
          <w:sz w:val="18"/>
          <w:szCs w:val="18"/>
          <w:color w:val="auto"/>
        </w:rPr>
        <w:t>, which are marketed by its licensees. Data supporting the marketing approvals and forming the basis for the safety warnings in the product labels for these products were obtained in controlled clinical trials of limited duration in limited patient populations and, in some cases, from post-approval use. As these marketed products are used over longer periods of time and by more patients, some with underlying health problems or taking other medicines, new issues such as safety, tolerability, resistance or drug-drug interaction issues could arise, which may require Aviragen’s licensees to provide additional warnings or contraindications on their product labels, or otherwise narrow the approved indications. Further, additional information from ongoing research or clinical trials of these products that raise any doubts or concerns about their efficacy may arise. If serious safety, tolerability, resistance, drug-drug interaction, efficacy, or any other concerns or issues arise with respect to these marketed products, sales of these products could be impaired, limited or abandoned by Aviragen’s licensees or by regulatory authorities, in which case Aviragen’s royalty revenue would decrease.</w:t>
      </w:r>
    </w:p>
    <w:p>
      <w:pPr>
        <w:sectPr>
          <w:pgSz w:w="11900" w:h="16838" w:orient="portrait"/>
          <w:cols w:equalWidth="0" w:num="1">
            <w:col w:w="11420"/>
          </w:cols>
          <w:pgMar w:left="240" w:top="118"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If government and third-party payers fail to provide adequate reimbursement or coverage for Aviragen’s products or those that are developed through licenses or collaborations, Aviragen’s revenues and potential for profitability may be harmed.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and most foreign markets, product revenues or related royalty revenue, and therefore the inherent value of Aviragen’s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Aviragen, or its licensees or collaborators if applicable, may also be required to conduct post-marketing clinical trials in order to demonstrate the cost-effectiveness of Aviragen’s products. Such studies may require Aviragen to commit a significant amount of management time and financial resources. Aviragen cannot assure you that any products Aviragen or its licensees or collaborators may successfully develop will be reimbursed in part, or at all, by any third-party payers in any country.</w:t>
      </w:r>
    </w:p>
    <w:p>
      <w:pPr>
        <w:spacing w:after="0" w:line="17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Many governments continue to propose legislation designed to expand the coverage, yet reduce the cost, of healthcare, including pharmaceutical products. In many foreign markets, governmental agencies control the pricing of prescription drugs. In the United States, significant changes in federal health care policy were approved over the past several years and continue to evolve, and will likely result in reduced reimbursement rates for many pharmaceutical products in the future. Aviragen expects that there will continue to be federal and state proposals to implement increased government control over reimbursement rates of pharmaceutical products. In addition, Aviragen expects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Aviragen’s revenue and future profitability could be negatively affected if these inquiries were to result in legislative or regulatory proposals that limit Aviragen’s ability to increase the prices of Aviragen’s products that may be approved for sale in the future. Legislation and regulations affecting the pricing of pharmaceutical products may change before Aviragen’s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decreased prices of Aviragen’s products.</w:t>
      </w:r>
    </w:p>
    <w:p>
      <w:pPr>
        <w:spacing w:after="0" w:line="171" w:lineRule="exact"/>
        <w:rPr>
          <w:sz w:val="20"/>
          <w:szCs w:val="20"/>
          <w:color w:val="auto"/>
        </w:rPr>
      </w:pPr>
    </w:p>
    <w:p>
      <w:pPr>
        <w:ind w:right="700"/>
        <w:spacing w:after="0" w:line="306" w:lineRule="auto"/>
        <w:rPr>
          <w:sz w:val="20"/>
          <w:szCs w:val="20"/>
          <w:color w:val="auto"/>
        </w:rPr>
      </w:pPr>
      <w:r>
        <w:rPr>
          <w:rFonts w:ascii="Arial" w:cs="Arial" w:eastAsia="Arial" w:hAnsi="Arial"/>
          <w:sz w:val="17"/>
          <w:szCs w:val="17"/>
          <w:b w:val="1"/>
          <w:bCs w:val="1"/>
          <w:i w:val="1"/>
          <w:iCs w:val="1"/>
          <w:color w:val="auto"/>
        </w:rPr>
        <w:t>If any product candidates that Aviragen develops independently, or through licensees or collaborators if applicable, are approved but do not gain meaningful acceptance in their intended markets, Aviragen is not likely to generate significant revenues.</w:t>
      </w:r>
    </w:p>
    <w:p>
      <w:pPr>
        <w:spacing w:after="0" w:line="14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Even if Aviragen’s product candidates are successfully developed and Aviragen or a licensee or collaborator obtains the requisite regulatory approvals to market them in the future, they may not gain market acceptance or broad utilization among physicians, patients or third-party payers. The degree of market acceptance that any of Aviragen’s products may achieve will depend on a number of factors, including:</w:t>
      </w:r>
    </w:p>
    <w:p>
      <w:pPr>
        <w:spacing w:after="0" w:line="183" w:lineRule="exact"/>
        <w:rPr>
          <w:sz w:val="20"/>
          <w:szCs w:val="20"/>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efficacy or perceived clinical benefit of the product, if any, relative to existing therapies;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market approval and the existing market for competitive drugs, including the presence of generic drugs;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reimbursement provided by third-party payers to cover the cost of the product to patients;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net cost of the product to the user or third-party payer;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convenience and ease of administration of the product;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product’s potential advantages over existing or alternative therapies;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actual or perceived safety of similar classes of products;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actual or perceived existence, incidence and severity of adverse effects;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effectiveness of sales, marketing and distribution capabilities;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of the product label approved by the FDA or similar regulatory agencies in other jurisdictions.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There can be no assurance that physicians will choose to prescribe or administer Aviragen’s products, if approved, to the intended patient population. If Aviragen’s products do not achieve meaningful market acceptance, or if the market for Aviragen’s products proves to be smaller than anticipated, Aviragen may never generate significant revenues.</w:t>
      </w:r>
    </w:p>
    <w:p>
      <w:pPr>
        <w:spacing w:after="0" w:line="183"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b w:val="1"/>
          <w:bCs w:val="1"/>
          <w:i w:val="1"/>
          <w:iCs w:val="1"/>
          <w:color w:val="auto"/>
        </w:rPr>
        <w:t>If Aviragen fails to enter into or maintain collaborations or other sales, marketing and distribution arrangements with third parties to commercialize Aviragen’s product candidates, or otherwise fails to establish marketing and sales capabilities in the future, Aviragen may not be able to successfully commercialize Aviragen’s products.</w:t>
      </w:r>
    </w:p>
    <w:p>
      <w:pPr>
        <w:spacing w:after="0" w:line="18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Aviragen currently has no infrastructure to support the commercialization of any of its product candidates, and has little, if any, experience in the commercialization of pharmaceutical products. Therefore, if Aviragen successfully develops any product candidate, and it is ultimately approved for sale, Aviragen’s future profitability will depend largely on Aviragen’s ability to access, arrange or develop suitable marketing and sales capabilities. Aviragen anticipates that it will need to establish relationships with other companies, through license, collaboration, commercialization or similar marketing and sales agreements, to successfully commercialize and market Aviragen’s product candidates in the United States and other countries around the world. To the extent that Aviragen enters into these types of agreements with other companies to sell, promote or market Aviragen’s products in the United States or abroad, Aviragen’s product revenues, which may be in the form of indirect revenue, a royalty, or a split of profits, may depend largely on the efforts of the other party, which may not be successful. In the event Aviragen decides to develop its own sales force and marketing capabilities, this may result in Aviragen incurring significant upfront costs to do so before Aviragen may generate any significant product revenues. Aviragen may not be able to attract and retain qualified third parties or marketing or sales personnel, or be able to establish marketing capabilities or an effective sales force.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 and changes in exchange rates could increase Aviragen’s costs or lower Aviragen’s revenues.</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Aviragen collects and pays a portion of Aviragen’s revenue and expenses in currencies other than the U.S. dollar. Fluctuations in foreign currency exchange rates can affect Aviragen’s operating results. Aviragen retains the majority of Aviragen’s cash and cash equivalents in U.S. dollars and utilizes foreign currency accounts for collection and payment of revenues and expenses. Any significant foreign exchange rate fluctuations could adversely affect Aviragen’s financial position and results of operations.</w:t>
      </w:r>
    </w:p>
    <w:p>
      <w:pPr>
        <w:spacing w:after="0" w:line="187" w:lineRule="exact"/>
        <w:rPr>
          <w:sz w:val="20"/>
          <w:szCs w:val="20"/>
          <w:color w:val="auto"/>
        </w:rPr>
      </w:pPr>
    </w:p>
    <w:p>
      <w:pPr>
        <w:ind w:right="680"/>
        <w:spacing w:after="0" w:line="306" w:lineRule="auto"/>
        <w:rPr>
          <w:sz w:val="20"/>
          <w:szCs w:val="20"/>
          <w:color w:val="auto"/>
        </w:rPr>
      </w:pPr>
      <w:r>
        <w:rPr>
          <w:rFonts w:ascii="Arial" w:cs="Arial" w:eastAsia="Arial" w:hAnsi="Arial"/>
          <w:sz w:val="17"/>
          <w:szCs w:val="17"/>
          <w:b w:val="1"/>
          <w:bCs w:val="1"/>
          <w:i w:val="1"/>
          <w:iCs w:val="1"/>
          <w:color w:val="auto"/>
        </w:rPr>
        <w:t>Aviragen’s employees, representatives or agents may engage in misconduct or other improper activities, including noncompliance with regulatory standards and requirements, which could expose Aviragen to financial, reputational or other harm.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Aviragen’s employees, representatives or agents may engage in any fraud or other improper activities, including those related to:</w:t>
      </w:r>
    </w:p>
    <w:p>
      <w:pPr>
        <w:spacing w:after="0" w:line="224" w:lineRule="exact"/>
        <w:rPr>
          <w:sz w:val="20"/>
          <w:szCs w:val="20"/>
          <w:color w:val="auto"/>
        </w:rPr>
      </w:pPr>
    </w:p>
    <w:p>
      <w:pPr>
        <w:ind w:left="660" w:hanging="329"/>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complying with FDA regulations or similar regulations of similar regulatory authorities in other countries;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accurate information to the FDA or similar regulatory authorities in other countries;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complying with manufacturing standards Aviragen or the FDA has established;</w:t>
      </w:r>
    </w:p>
    <w:p>
      <w:pPr>
        <w:spacing w:after="0" w:line="223" w:lineRule="exact"/>
        <w:rPr>
          <w:rFonts w:ascii="Arial" w:cs="Arial" w:eastAsia="Arial" w:hAnsi="Arial"/>
          <w:sz w:val="18"/>
          <w:szCs w:val="18"/>
          <w:color w:val="auto"/>
        </w:rPr>
      </w:pPr>
    </w:p>
    <w:p>
      <w:pPr>
        <w:ind w:left="660" w:right="640" w:hanging="329"/>
        <w:spacing w:after="0" w:line="27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complying with federal and state healthcare fraud and abuse laws and regulations or similar laws and regulations established and enforced by comparable foreign regulatory authorities;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complying with the provisions of the Foreign Corrupt Practices Act;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reporting financial information or clinical or preclinical data accurately.</w:t>
      </w:r>
    </w:p>
    <w:p>
      <w:pPr>
        <w:spacing w:after="0" w:line="22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Aviragen’s reputation. It is not always possible to identify and deter employee misconduct, and the precautions Aviragen takes to detect and prevent these activities may not be effective in controlling unknown or unmanaged risks or losses, or in protecting Aviragen from governmental investigations or other actions or lawsuits stemming from a failure to be in compliance with such laws or regulations. If any such actions are instituted against Aviragen, and Aviragen is not successful in defending itself or asserting Aviragen’s rights, those actions could have a significant impact on Aviragen’s business and results of operations, including the imposition of significant fines or other sanctions.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Laws and regulations governing international operations may preclude Aviragen from developing, manufacturing and selling certain product candidates outside of the United States and require Aviragen to develop and implement costly compliance programs.</w:t>
      </w:r>
    </w:p>
    <w:p>
      <w:pPr>
        <w:spacing w:after="0" w:line="148"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Because Aviragen has subsidiaries and conducts business outside of the United States, Aviragen must comply with numerous laws and regulations in each jurisdiction in which it operates. The creation and implementation of international business practices compliance programs is costly and such programs are difficult to enforce, particularly where reliance on third parties is required.</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Foreign Corrupt Practices Act, or the FCPA, includes provisions that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 The anti-bribery provisions of the FCPA are enforced primarily by the Department of Justice, while the SEC is involved with enforcement of the books and records provisions of the FCPA.</w:t>
      </w:r>
    </w:p>
    <w:p>
      <w:pPr>
        <w:spacing w:after="0" w:line="18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the conduct of clinical studies and other work have been deemed to be improper payments to government officials and have led to FCPA enforcement actions.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Aviragen’s operations outside of the United States require Aviragen to dedicate additional resources to comply with these laws, and these laws may preclude Aviragen from developing, manufacturing, or selling certain products and product candidates outside of the United States, which could limit Aviragen’s growth potential and increase its development costs.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for a violation of the FCPA can result in long-term disqualification as a government contractor. The termination of a government contract or relationship as a result of Aviragen’s failure to satisfy any of its obligations under laws governing international business practices could have a negative impact on Aviragen’s operations and harm its reputation and ability to procure government contracts. The SEC also may suspend or bar issuers from trading securities on U.S. stock exchanges for violations of the FCPA's accounting provisions.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Aviragen’s Intellectual Property</w:t>
      </w:r>
    </w:p>
    <w:p>
      <w:pPr>
        <w:spacing w:after="0" w:line="228"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b w:val="1"/>
          <w:bCs w:val="1"/>
          <w:i w:val="1"/>
          <w:iCs w:val="1"/>
          <w:color w:val="auto"/>
        </w:rPr>
        <w:t>If Aviragen is unable to adequately protect or expand Aviragen’s intellectual property related to Aviragen’s products, or current or future product candidates, Aviragen’s business prospects could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Aviragen’s business success depends in part on Aviragen’s ability to:</w:t>
      </w:r>
    </w:p>
    <w:p>
      <w:pPr>
        <w:spacing w:after="0" w:line="224" w:lineRule="exact"/>
        <w:rPr>
          <w:sz w:val="20"/>
          <w:szCs w:val="20"/>
          <w:color w:val="auto"/>
        </w:rPr>
      </w:pPr>
    </w:p>
    <w:p>
      <w:pPr>
        <w:ind w:left="660" w:hanging="329"/>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maintain and protect its intellectual property rights;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protect its trade secrets;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prevent others from infringing on its proprietary rights or patents.</w:t>
      </w:r>
    </w:p>
    <w:p>
      <w:pPr>
        <w:spacing w:after="0" w:line="2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Aviragen can protect its proprietary intellectual property rights from unauthorized use by third parties only to the extent that Aviragen’s proprietary rights are covered by valid and enforceable patents or are effectively maintained as trade secrets. The patent position of pharmaceutical and biopharmaceutical companies involves complex legal and factual questions, and, therefore, Aviragen cannot predict with certainty whether Aviragen will be able to ultimately enforce Aviragen’s patents or proprietary rights, or avoid infringing on the patents or proprietary rights of others. Any issued patents that Aviragen owns or otherwise has rights to may be challenged, invalidated or circumvented, and may not provide Aviragen with the protection against competitors that Aviragen anticipates.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degree of future protection for Aviragen’s proprietary intellectual property rights is uncertain because issued patents and other legal means of establishing proprietary rights afford only limited protection and may not adequately protect Aviragen’s rights or permit Aviragen to gain or keep Aviragen’s competitive advantage. Aviragen’s future patent position will be influenced by the following factors:</w:t>
      </w:r>
    </w:p>
    <w:p>
      <w:pPr>
        <w:spacing w:after="0" w:line="183" w:lineRule="exact"/>
        <w:rPr>
          <w:sz w:val="20"/>
          <w:szCs w:val="20"/>
          <w:color w:val="auto"/>
        </w:rPr>
      </w:pPr>
    </w:p>
    <w:p>
      <w:pPr>
        <w:ind w:left="660" w:right="460" w:hanging="329"/>
        <w:spacing w:after="0" w:line="262"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Aviragen, or its licensors, may not have been the first to discover the inventions covered by each of Aviragen’s or its licensors’ pending patent applications and issued patents, and Aviragen may have to engage in expensive and protracted interference proceedings to determine priority of invention;</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Aviragen’s, or its licensors’, pending patent applications may be denied and may not result in issued patents;</w:t>
      </w:r>
    </w:p>
    <w:p>
      <w:pPr>
        <w:spacing w:after="0" w:line="22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Aviragen’s, or its licensors’, issued patents may not provide a basis for commercially viable products, may not provide Aviragen with any competitive advantages, or may be challenged by third parties; and</w:t>
      </w:r>
    </w:p>
    <w:p>
      <w:pPr>
        <w:spacing w:after="0" w:line="169"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third parties may develop intellectual property that circumvents Aviragen or Aviragen’s licensors’ patent claims or design competitive intellectual property and ultimately product candidates that fall outside the scope of Aviragen’s or its licensors’ patents.</w:t>
      </w:r>
    </w:p>
    <w:p>
      <w:pPr>
        <w:spacing w:after="0" w:line="17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Due to the extensive time required for the development, testing and regulatory review and approval of a product candidate, it is possible that before a product candidate of Aviragen’s may be approved for sale and commercialized, Aviragen’s relevant patent rights may expire, or such patent rights may remain in force for only a short period following marketing approval. Aviragen currently relies on certain patents to provide Aviragen and its licensees with exclusive rights for certain of Aviragen’s products. When all patents underlying a license expire, Aviragen’s revenue from that license may cease, and there can be no assurance that Aviragen will be able to replace it with revenue from new or existing licenses.</w:t>
      </w:r>
    </w:p>
    <w:p>
      <w:pPr>
        <w:spacing w:after="0" w:line="180" w:lineRule="exact"/>
        <w:rPr>
          <w:sz w:val="20"/>
          <w:szCs w:val="20"/>
          <w:color w:val="auto"/>
        </w:rPr>
      </w:pPr>
    </w:p>
    <w:p>
      <w:pPr>
        <w:ind w:right="180"/>
        <w:spacing w:after="0" w:line="202" w:lineRule="auto"/>
        <w:rPr>
          <w:sz w:val="20"/>
          <w:szCs w:val="20"/>
          <w:color w:val="auto"/>
        </w:rPr>
      </w:pPr>
      <w:r>
        <w:rPr>
          <w:rFonts w:ascii="Arial" w:cs="Arial" w:eastAsia="Arial" w:hAnsi="Arial"/>
          <w:sz w:val="18"/>
          <w:szCs w:val="18"/>
          <w:color w:val="auto"/>
        </w:rPr>
        <w:t>Zanamivir, a neuraminidase inhibitor approved for the treatment and prevention of influenza A and B, is marketed worldwide as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by GSK. Most of Aviragen’s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patents have expired and the only substantial remaining intellectual property related to the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patent portfolio, which is solely owned by Aviragen and exclusively licensed to GSK, is scheduled to expire in July 2019 in Japan.</w:t>
      </w:r>
    </w:p>
    <w:p>
      <w:pPr>
        <w:spacing w:after="0" w:line="203"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Laninamivi Octanoate, or LANI, a long acting neuraminidase inhibitor, or NI, for the treatment and prevention of influenza A and B, is currently marketed as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Japan by Daiichi-Sankyo. The patent relating to the structure of LANI expires in 2017 in the United States, the European Union and Japan, although the product has received patent term extension in Japan until 2021 for treatment and 2022 for prevention. The patent relating to hydrates and the crystalline form of LANI actually used in the product expires in 2021 (not including extensions) in the United States and the European Union and in 2024 in Japan. In February 2015, a patent containing claims relevant to the manufacture of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issued in Japan and expires in December 2029. The dry-</w:t>
      </w:r>
    </w:p>
    <w:p>
      <w:pPr>
        <w:spacing w:after="0" w:line="4" w:lineRule="exact"/>
        <w:rPr>
          <w:sz w:val="20"/>
          <w:szCs w:val="20"/>
          <w:color w:val="auto"/>
        </w:rPr>
      </w:pPr>
    </w:p>
    <w:p>
      <w:pPr>
        <w:jc w:val="both"/>
        <w:ind w:right="260"/>
        <w:spacing w:after="0" w:line="220" w:lineRule="auto"/>
        <w:rPr>
          <w:sz w:val="20"/>
          <w:szCs w:val="20"/>
          <w:color w:val="auto"/>
        </w:rPr>
      </w:pPr>
      <w:r>
        <w:rPr>
          <w:rFonts w:ascii="Arial" w:cs="Arial" w:eastAsia="Arial" w:hAnsi="Arial"/>
          <w:sz w:val="18"/>
          <w:szCs w:val="18"/>
          <w:color w:val="auto"/>
        </w:rPr>
        <w:t>powder inhaler device patent portfolio, which includes TwinCaps</w:t>
      </w:r>
      <w:r>
        <w:rPr>
          <w:rFonts w:ascii="Arial" w:cs="Arial" w:eastAsia="Arial" w:hAnsi="Arial"/>
          <w:sz w:val="29"/>
          <w:szCs w:val="29"/>
          <w:color w:val="auto"/>
          <w:vertAlign w:val="superscript"/>
        </w:rPr>
        <w:t>®</w:t>
      </w:r>
      <w:r>
        <w:rPr>
          <w:rFonts w:ascii="Arial" w:cs="Arial" w:eastAsia="Arial" w:hAnsi="Arial"/>
          <w:sz w:val="18"/>
          <w:szCs w:val="18"/>
          <w:color w:val="auto"/>
        </w:rPr>
        <w:t>, is owned by Hovione International Limited, or Hovione, and is exclusively licensed to Aviragen and Daiichi Sankyo worldwide for the prevention and treatment of influenza and other influenza-like viral infections. These patents will expire in 2029 in the United States, and in 2027 in the European Union and Japan.</w:t>
      </w: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Vapendavir is an oral antiviral picornavirus capsid binder Aviragen is currently developing to treat HRV infections. Aviragen exclusively owns the vapendavir patent portfolio, and issued claims under this portfolio will begin to expire in some countries in December 2021, not including extensions. Claims from patents related to a compound comprising an anhydrous crystalline free base form of vapendavir and the preferred commercialization form of vapendavir have been allowed in the United States and other countries and extend intellectual property to 2034 without extensions.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BTA074 is a direct-acting antiviral Aviragen is developing as a topical treatment for genital warts caused by HPV 6 and 11. The patent containing composition of matter claims expires in the United States in 2029 without extensions. A United States patent with claims to method of use have issued and expire in 2033 without extensions.</w:t>
      </w:r>
    </w:p>
    <w:p>
      <w:pPr>
        <w:spacing w:after="0" w:line="183"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Aviragen also owns a patent portfolio focused on developing oral antivirals for RSV. Issued patent claims covering the BTA585 composition of matter will begin to expire in 2031 without extensions.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Patent rights may not provide Aviragen with adequate proprietary protection or competitive advantages against competitors with or developing similar technologies or approaches to Aviragen’s. The laws of certain foreign countries do not protect intellectual property rights to the same extent as do the laws of the United States, and certain countries may lack adequate rules and procedures for defending Aviragen’s intellectual property rights. For example, Aviragen may not be able to prevent a third-party from infringing Aviragen’s patents in a country that does not recognize or enforce patent rights, or that imposes compulsory licenses on or restricts the prices of drugs. Changes in either patent laws or in interpretations of patent laws in the United States and other countries may diminish the value of Aviragen’s intellectual property. Aviragen may need to in-license certain technologies to successfully develop and commercialize its product candidates. Aviragen may not develop or obtain rights to products or processes that are patentable. Even if Aviragen or its licensors do obtain patents, such patents may not adequately protect the products or technologies licensed, or may otherwise be limited in scope. In addition, Aviragen may not have total control over the patent prosecution of subject matter that Aviragen licenses from others. Accordingly, Aviragen may be unable to exercise the same degree of control over this intellectual property as Aviragen would over its own. Others may challenge, seek to invalidate, infringe or circumvent any pending or issued patents Aviragen owns or licenses, and rights it receives under those issued patents may not provide competitive advantages to Aviragen. Aviragen cannot assure you of the degree of protection that will be afforded by any of its issued or pending patents, or those licensed by Aviragen.</w:t>
      </w:r>
    </w:p>
    <w:p>
      <w:pPr>
        <w:sectPr>
          <w:pgSz w:w="11900" w:h="16838" w:orient="portrait"/>
          <w:cols w:equalWidth="0" w:num="1">
            <w:col w:w="11420"/>
          </w:cols>
          <w:pgMar w:left="240" w:top="118"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0" w:name="page51"/>
    <w:bookmarkEnd w:id="5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Aviragen cannot be sure that any patents will be issued from the patent applications Aviragen owns or has licensed or, should any patents issue, that Aviragen will be provided with adequate protection against potentially competitive products. Furthermore, Aviragen cannot be sure that patents issued or licensed to Aviragen will be of any commercial value, or that private parties or competitors will not successfully challenge these patents or circumvent its patent position in the United States or abroad. In the absence of adequate patent protection, Aviragen’s business may be adversely affected by competitors who develop comparable technology or products.</w:t>
      </w:r>
    </w:p>
    <w:p>
      <w:pPr>
        <w:spacing w:after="0" w:line="18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i w:val="1"/>
          <w:iCs w:val="1"/>
          <w:color w:val="auto"/>
        </w:rPr>
        <w:t>If a third-party claims Aviragen is infringing on its intellectual property rights, Aviragen could incur significant expenses, or be prevented from further developing or commercializing its product candidates, which could materially harm Aviragen’s business.</w:t>
      </w:r>
    </w:p>
    <w:p>
      <w:pPr>
        <w:spacing w:after="0" w:line="17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Aviragen’s success will also depend on Aviragen’s ability to operate without infringing the patents and other proprietary intellectual property rights of third parties. This is generally referred to as having the “freedom to operate.”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United States and internationally, involve complex legal and factual questions. As a result, such proceedings are lengthy, costly and time-consuming, and their outcome is highly uncertain. Aviragen may become involved in protracted and expensive litigation in order to determine the enforceability, scope and validity of the proprietary rights of others, or to determine whether Aviragen has the freedom to operate with respect to the intellectual property rights of others.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Patent applications in the United States are, in most cases, maintained in secrecy until approximately 18 months after the patent application is filed. The publication of discoveries in the scientific or patent literature frequently occurs substantially later than the date on which the underlying discoveries were made. Therefore, patent applications relating to product candidates similar to Aviragen’s may have already been filed by others without Aviragen’s knowledge. In the event that a third-party has also filed a patent application covering Aviragen’s product candidate or other claims, Aviragen may have to participate in an adversarial proceeding, known as an interference proceeding, in the U.S. Patent and Trademark Office, or USPTO, or similar proceedings in other countries, to determine the priority of invention. In the event an infringement claim is brought against Aviragen, Aviragen may be required to pay substantial legal fees and other expenses to defend such a claim and, if Aviragen is unsuccessful in defending the claim, Aviragen may be prevented from pursuing the development and commercialization of a product candidate and may be subject to injunctions and/or damage awards.</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the future, the USPTO or a foreign patent office may grant patent rights to Aviragen’s product candidates or other claims to third parties. Subject to the issuance of these future patents, the claims of which will be unknown until issued, Aviragen may need to obtain a license or sublicense to these rights in order to have the appropriate freedom to further develop or commercialize them. Any required licenses may not be available to Aviragen on acceptable terms, if at all. If Aviragen needs to obtain such licenses or sublicenses, but is unable to do so, Aviragen could encounter delays in the development of Aviragen’s product candidates, or be prevented from developing, manufacturing and commercializing Aviragen’s product candidates at all. If it is determined that Aviragen has infringed an issued patent and does not have the freedom to operate, Aviragen could be subject to injunctions, and/or compelled to pay significant damages, including punitive damages. In cases where Aviragen has in-licensed intellectual property, Aviragen’s failure to comply with the terms and conditions of such agreements could harm Aviragen’s business.</w:t>
      </w:r>
    </w:p>
    <w:p>
      <w:pPr>
        <w:spacing w:after="0" w:line="17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It is becoming common for third parties to challenge patent claims on any successfully developed product candidate or approved drug. If Aviragen or its licensees or collaborators become involved in any patent litigation, interference or other legal proceedings, Aviragen could incur substantial expense, and the efforts and attention of Aviragen’s technical and management personnel could be significantly diverted. A negative outcome of such litigation or proceedings may expose Aviragen to the loss of Aviragen’s proprietary position or to significant liabilities, or require Aviragen to seek licenses that may not be available from third parties on commercially acceptable terms, if at all. Aviragen may be restricted or prevented from developing, manufacturing and selling Aviragen’s product candidates in the event of an adverse determination in a judicial or administrative proceeding, or if Aviragen fails to obtain necessary licenses.</w:t>
      </w:r>
    </w:p>
    <w:p>
      <w:pPr>
        <w:spacing w:after="0" w:line="16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trade secrets and other proprietary information and may not adequately protect Aviragen’s intellectual property.</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Aviragen also relies on trade secrets to protect Aviragen’s technology, especially where Aviragen does not believe patent protection is obtainable, or prior to Aviragen filing patent applications on any inventions Aviragen may make. However, trade secrets are difficult to protect. In order to protect its proprietary technology and processes, Aviragen may also rely in part on confidentiality and intellectual property assignment agreements with Aviragen’s corporate and academic partners, employees, consultants, outside scientific collaborators and sponsored researchers and other advisors. These agreements may not effectively prevent disclosure of confidential information or result in the effective assignment to Aviragen of intellectual property, and may not provide an adequate remedy in the event of unauthorized disclosure of confidential information or other breaches of these agreements. In addition, others may independently discover Aviragen’s trade secrets and proprietary information, and in such case Aviragen may not be able to assert any trade secret rights against such party. Enforcing a claim that a third-party illegally obtained and is using Aviragen’s trade secret is difficult, expensive and time consuming, and the outcome is unpredictable. In addition, courts outside the United States may be less willing to protect trade secrets. Costly and time-consuming litigation could be necessary to seek to enforce and determine the scope of Aviragen’s proprietary rights, and Aviragen’s failure to obtain or maintain trade secret protection could adversely affect Aviragen’s competitive business position.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i w:val="1"/>
          <w:iCs w:val="1"/>
          <w:color w:val="auto"/>
        </w:rPr>
        <w:t>Obtaining and maintaining Aviragen’s patent protection depends on compliance with various procedural, document submissions, fee payment and other requirements imposed by governmental patent agencies, and Aviragen’s patent protection could be reduced or eliminated for non-compliance with these requirements.</w:t>
      </w:r>
    </w:p>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Aviragen and its licensors fail to maintain the patents and patent applications covering Aviragen’s product candidates, Aviragen’s competitive position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Aviragen may be subject to claims that Aviragen’s employees have wrongfully used or disclosed alleged trade secrets of their former employers.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of Aviragen’s employees, including its senior management, were previously employed at other biotechnology or pharmaceutical companies. These employees typically executed proprietary rights, non-disclosure and non-competition agreements in connection with their previous employment. Although Aviragen tries to ensure that Aviragen’s employees do not use the proprietary information or know-how of others in their work for Aviragen, Aviragen may be subject to claims that it or these employees have used or disclosed intellectual property, including trade secrets or other proprietary information, of any such employee's former employer. Aviragen is not aware of any threatened or pending claims related to these matters, but in the future litigation may be necessary to defend against such claims. If Aviragen fails in defending any such claims, in addition to paying monetary damages, Aviragen may lose valuable intellectual property rights or personnel. Even if Aviragen is successful in defending against such claims, litigation could result in substantial costs and be a distraction to management</w:t>
      </w:r>
      <w:r>
        <w:rPr>
          <w:rFonts w:ascii="Arial" w:cs="Arial" w:eastAsia="Arial" w:hAnsi="Arial"/>
          <w:sz w:val="18"/>
          <w:szCs w:val="18"/>
          <w:b w:val="1"/>
          <w:b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Aviragen Common Stock</w:t>
      </w:r>
    </w:p>
    <w:p>
      <w:pPr>
        <w:spacing w:after="0" w:line="228"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b w:val="1"/>
          <w:bCs w:val="1"/>
          <w:i w:val="1"/>
          <w:iCs w:val="1"/>
          <w:color w:val="auto"/>
        </w:rPr>
        <w:t>Aviragen’s revenue, expenses and results of operations may be subject to significant fluctuations, which will make it difficult to compare Aviragen’s operating results from period to period.</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Aviragen’s revenues have historically been highly variable. Royalty revenues Aviragen earns are derived from the net sales of products used for the treatment and/or prevention of influenza. Influenza as a disease is seasonal and highly unpredictable, and sales of these products to treat influenza fluctuate in line with the nature and extent of the incidence and severity of influenza each season. Payments potentially due to Aviragen under its existing or any future collaborative arrangements, including any milestone and royalty payments, are generally intermittent in nature and are subject to significant fluctuation in both timing and amount, or may never be earned or paid at all. In addition, the returns of products to Aviragen licensees are taken into account in the calculation of net sales for purposes of calculating the royalty revenue Aviragen receives and the amount of such returns are in general unpredictable. Accordingly, Aviragen’s quarterly and annual revenue may be highly variable, and comparisons to previous periods may be difficult to make. Aviragen’s historical and current revenues may not be indicative of Aviragen’s ability to achieve additional payment-generating milestones or royalties in the future, or vice versa. Aviragen expects that its operating results will also vary significantly from quarter-to-quarter and year-to-year as a result of the initiation and success or failure of preclinical studies or clinical trials that it undertakes, the timing of the formulation and manufacture of its product candidates, or other development-related factors and activities, as well as any business or corporate development activities it may undertake. Accordingly, Aviragen’s revenues, expenses and results of operations for any period, particularly over the next several quarters, may not be comparable to the revenues, expenses or results of operations for any other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40"/>
        <w:spacing w:after="0" w:line="379" w:lineRule="auto"/>
        <w:rPr>
          <w:sz w:val="20"/>
          <w:szCs w:val="20"/>
          <w:color w:val="auto"/>
        </w:rPr>
      </w:pPr>
      <w:r>
        <w:rPr>
          <w:rFonts w:ascii="Arial" w:cs="Arial" w:eastAsia="Arial" w:hAnsi="Arial"/>
          <w:sz w:val="15"/>
          <w:szCs w:val="15"/>
          <w:b w:val="1"/>
          <w:bCs w:val="1"/>
          <w:i w:val="1"/>
          <w:iCs w:val="1"/>
          <w:color w:val="auto"/>
        </w:rPr>
        <w:t>The reporting requirements of being a company that is publicly traded on the Nasdaq Capital Market increases Aviragen’s overall operating costs and subjects Aviragen to further increased costs and regulatory risk that may negatively impact Aviragen’s business or its ability to raise capital in the future.</w:t>
      </w:r>
    </w:p>
    <w:p>
      <w:pPr>
        <w:spacing w:after="0" w:line="1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a company that is publicly-traded on Nasdaq, Aviragen is subject to the reporting requirements of the Securities Exchange Act of 1934, as amended, or the Exchange Act, the Sarbanes-Oxley Act of 2002, or the Sarbanes-Oxley Act, and the listing requirements of Nasdaq. Further, Section 404 of the Sarbanes-Oxley Act requires that Aviragen maintains effective internal control over financial reporting and disclosure controls and procedures. In particular, management must perform system and process evaluation and testing of Aviragen’s internal control over financial reporting to assess the effectiveness of Aviragen’s internal control over financial reporting. This testing is expensive and requires the attention of Aviragen’s limited management resources. The various financial reporting, legal, corporate governance and other obligations associated with being a company that is publicly traded on Nasdaq require Aviragen to incur significant expenditures and place additional demands and requirements on the Aviragen board of directors, executive officers, and other administrative, operational and financial personnel and resources. If Aviragen is unable to comply with these requirements in a timely and effective manner, Aviragen and/or its executive officers may be subject to sanctions by the SEC. Aviragen expects that it will continue to incur additional expenses as a result of being a company that is publicly traded on Nasdaq.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Aviragen common stock price has been highly volatile, and your investment in Aviragen could suffer a decline in value.</w:t>
      </w:r>
    </w:p>
    <w:p>
      <w:pPr>
        <w:spacing w:after="0" w:line="22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market price of Aviragen common stock has been and is likely to continue to be highly volatile and could be subject to wide fluctuations in response to various factors and events, including but not limited to:</w:t>
      </w:r>
    </w:p>
    <w:p>
      <w:pPr>
        <w:spacing w:after="0" w:line="170" w:lineRule="exact"/>
        <w:rPr>
          <w:sz w:val="20"/>
          <w:szCs w:val="20"/>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Aviragen’s ability to consummate the transactions contemplated by the Merger Agreement, including the merger;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Aviragen’s ability to successfully advance its product candidates through preclinical and clinical development;</w:t>
      </w:r>
    </w:p>
    <w:p>
      <w:pPr>
        <w:spacing w:after="0" w:line="223" w:lineRule="exact"/>
        <w:rPr>
          <w:rFonts w:ascii="Arial" w:cs="Arial" w:eastAsia="Arial" w:hAnsi="Arial"/>
          <w:sz w:val="18"/>
          <w:szCs w:val="18"/>
          <w:color w:val="auto"/>
        </w:rPr>
      </w:pPr>
    </w:p>
    <w:p>
      <w:pPr>
        <w:ind w:left="660" w:right="320" w:hanging="329"/>
        <w:spacing w:after="0" w:line="340"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disclosure of any favorable or unfavorable data from Aviragen’s preclinical studies or clinical trials, or other regulatory developments concerning Aviragen’s preclinical studies or clinical trials, the formulation and manufacturing of its product candidates, or those of Aviragen’s competitors;</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Aviragen’s cash resources and rate of expenditures;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approval or commercialization of new products by Aviragen or its competitors, and the disclosure thereof;</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novel scientific innovations by Aviragen or its competitors;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rumors relating to Aviragen or its competitors;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public concern about the safety or tolerability of Aviragen’s products, product candidates, or similar classes of compounds;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litigation to which Aviragen may become subject;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or anticipated variations in Aviragen’s quarterly or annual revenue or operating results;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general conditions or trends in the biotechnology and pharmaceutical industries;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drug reimbursement rates or government policies related to such reimbursement;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Aviragen or its competitors;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regulatory legislation adopted in the United States or abroad;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patent legislation in the United States or abroad;</w:t>
      </w:r>
    </w:p>
    <w:p>
      <w:pPr>
        <w:spacing w:after="0" w:line="22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Aviragen’s failure to achieve or meet equity research analysts’ expectations or their estimates of Aviragen’s business or prospects, or a change in their recommendations concerning Aviragen, the value of its common stock or its industry in general;</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termination or delay in any of Aviragen’s existing or future license or collaboration arrangements;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future sales of equity or debt securities, or the perception that such future sales may occur;</w:t>
      </w:r>
    </w:p>
    <w:p>
      <w:pPr>
        <w:spacing w:after="0" w:line="223" w:lineRule="exact"/>
        <w:rPr>
          <w:rFonts w:ascii="Arial" w:cs="Arial" w:eastAsia="Arial" w:hAnsi="Arial"/>
          <w:sz w:val="18"/>
          <w:szCs w:val="18"/>
          <w:color w:val="auto"/>
        </w:rPr>
      </w:pPr>
    </w:p>
    <w:p>
      <w:pPr>
        <w:ind w:left="660" w:right="560" w:hanging="329"/>
        <w:spacing w:after="0" w:line="27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loss of Aviragen’s eligibility to have shares of Aviragen common stock traded on the Nasdaq Capital Market or other listed markets due to Aviragen’s failure to maintain minimum listing standards;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accounting principles or a restatement of previously reported financial results;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failure to comply with the periodic reporting requirements of publicly-owned companies under the Exchange Act and the Sarbanes-Oxley Act; and</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conditions in the economy generally and the capital markets in particular.</w:t>
      </w:r>
    </w:p>
    <w:p>
      <w:pPr>
        <w:sectPr>
          <w:pgSz w:w="11900" w:h="16838" w:orient="portrait"/>
          <w:cols w:equalWidth="0" w:num="1">
            <w:col w:w="11400"/>
          </w:cols>
          <w:pgMar w:left="240" w:top="118" w:right="25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53" w:name="page54"/>
    <w:bookmarkEnd w:id="5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In addition, the stock market in general, and more specifically Nasdaq, on which Aviragen common stock is traded, and the market for smaller biotechnology stocks in particular have historically experienced significant price and volume fluctuations. Volatility in the market price for a particular biotechnology company’s stock has often been unrelated or disproportionate to the operating performance of that company. Market and industry factors may seriously harm the market price of Aviragen common stock, regardless of Aviragen’s operating performance. Due to this volatility, you may be unable to sell your shares of Aviragen common stock at or above the price you paid and you could lose all or part of your investment in Aviragen.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order to develop Aviragen’s product candidates and support Aviragen’s operations beyond 12 months from the date of this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Aviragen may need to raise additional capital. Such capital may not be available to Aviragen on acceptable terms, if at all, which could materially harm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Aviragen’s financial condition, business and business prospects.</w:t>
      </w:r>
    </w:p>
    <w:p>
      <w:pPr>
        <w:spacing w:after="0" w:line="20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timing and extent of Aviragen’s future financing needs are uncertain and will depend on many factors, some of which are very difficult to predict or may be beyond Aviragen’s control, including:</w:t>
      </w:r>
    </w:p>
    <w:p>
      <w:pPr>
        <w:spacing w:after="0" w:line="170" w:lineRule="exact"/>
        <w:rPr>
          <w:sz w:val="20"/>
          <w:szCs w:val="20"/>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variability of future royalty revenue Aviragen may receive and retain under its existing royalty-bearing license agreements;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development timelines and plans for Aviragen’s product candidates, including any changes to those timelines, plans or Aviragen’s strategy;</w:t>
      </w:r>
    </w:p>
    <w:p>
      <w:pPr>
        <w:spacing w:after="0" w:line="235" w:lineRule="exact"/>
        <w:rPr>
          <w:rFonts w:ascii="Arial" w:cs="Arial" w:eastAsia="Arial" w:hAnsi="Arial"/>
          <w:sz w:val="17"/>
          <w:szCs w:val="17"/>
          <w:color w:val="auto"/>
        </w:rPr>
      </w:pPr>
    </w:p>
    <w:p>
      <w:pPr>
        <w:ind w:left="660" w:right="300" w:hanging="329"/>
        <w:spacing w:after="0" w:line="27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variability, timing and costs associated with conducting clinical trials for Aviragen’s product candidates, the rate of enrollment in such clinical trials, and the results of these clinical trials;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variability, timing and costs associated with conducting preclinical studies, and the results of these studies;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scaling up, formulating and manufacturing preclinical and clinical trial materials to evaluate Aviragen’s product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Aviragen receives regulatory approval to advance the clinical development of Aviragen’s product candidates in a timely manner, if at all;</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time to obtain regulatory approvals required to advance the development of Aviragen’s product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and size of its research and development efforts;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Aviragen may establish in the future;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of the closing of the merger;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to maintain a corporate infrastructure to support being a company that is publicly traded in the United States on Nasdaq;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of filing, prosecuting, and enforcing patent and other intellectual property claims.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issuances of shares of Aviragen common stock may cause Aviragen’s stock price to decline, even if its business is doing well.</w:t>
      </w:r>
    </w:p>
    <w:p>
      <w:pPr>
        <w:spacing w:after="0" w:line="235"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sale and issuance of additional shares of Aviragen common stock, or the perception that such future sales could occur, including any sales by Aviragen’s directors, executive officers, and other insiders or their affiliates, could materially and adversely affect the market price of Aviragen common stock and impair Aviragen’s ability to raise capital through the sale of additional equity securities at a price Aviragen deems appropriate.</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If Aviragen raises additional capital in the future, your level of ownership in Aviragen could be diluted or Aviragen could be required to relinquish certain rights.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issuance of securities Aviragen may undertake in the future to raise additional capital could cause the price of Aviragen common stock to decline, or require Aviragen to issue shares at a price that is lower than that paid by holders of Aviragen common stock in the past, which would result in those newly issued shares being dilutive. Further, if Aviragen obtains funds through a debt financing or through the issuance of debt or preferred securities, these securities would likely have rights senior to your rights as a common stockholder, which could impair the value of Aviragen common stock. The terms of any debt financing Aviragen enters into may include covenants that limit Aviragen’s flexibility in conducting its business. Aviragen also could be required to seek funds through arrangements with collaborators or others, which might require Aviragen to relinquish valuable rights to Aviragen’s intellectual property or product candidates that Aviragen would have otherwise retained.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Aviragen does not anticipate paying cash dividends in the foreseeable future, and accordingly, you must rely on appreciation in the price of Aviragen common stock for any return on your investment in Aviragen.</w:t>
      </w:r>
    </w:p>
    <w:p>
      <w:pPr>
        <w:spacing w:after="0" w:line="170"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Aviragen anticipates that Aviragen will retain its earnings, if any, for future growth and therefore does not anticipate paying cash dividends in the foreseeable future. As a result, Aviragen common stock will likely only provide a return to stockholders in the event there is appreciation in its price.</w:t>
      </w:r>
    </w:p>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Aviragen’s certificate of incorporation, Aviragen’s bylaws, and the laws of Delaware contain provisions that could discourage, delay or prevent a change in control of Aviragen or a change in Aviragen’s management.</w:t>
      </w:r>
    </w:p>
    <w:p>
      <w:pPr>
        <w:spacing w:after="0" w:line="17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Certain provisions of Aviragen’s certificate of incorporation, Aviragen’s bylaws and the laws of Delaware, the state in which Aviragen is incorporated, may discourage, delay or prevent a change in control of Aviragen or a change in Aviragen’s directors or management that stockholders may consider favorable. These provisions:</w:t>
      </w:r>
    </w:p>
    <w:p>
      <w:pPr>
        <w:spacing w:after="0" w:line="183" w:lineRule="exact"/>
        <w:rPr>
          <w:sz w:val="20"/>
          <w:szCs w:val="20"/>
          <w:color w:val="auto"/>
        </w:rPr>
      </w:pPr>
    </w:p>
    <w:p>
      <w:pPr>
        <w:ind w:left="660" w:hanging="329"/>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the Aviragen board of directors;</w:t>
      </w:r>
    </w:p>
    <w:p>
      <w:pPr>
        <w:spacing w:after="0" w:line="223"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removal of directors from office at any time, but only by the affirmative vote of the holders of at least seventy-five (75%) of the voting power of all of then-outstanding shares of capital stock of the corporation entitled to vote generally in the election of directors;</w:t>
      </w:r>
    </w:p>
    <w:p>
      <w:pPr>
        <w:spacing w:after="0" w:line="169" w:lineRule="exact"/>
        <w:rPr>
          <w:rFonts w:ascii="Arial" w:cs="Arial" w:eastAsia="Arial" w:hAnsi="Arial"/>
          <w:sz w:val="18"/>
          <w:szCs w:val="18"/>
          <w:color w:val="auto"/>
        </w:rPr>
      </w:pPr>
    </w:p>
    <w:p>
      <w:pPr>
        <w:ind w:left="660" w:hanging="329"/>
        <w:spacing w:after="0" w:line="26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authorize the Aviragen board of directors to issue without stockholder approval, up to 5,000,000 shares of preferred stock, the rights of which will be determined at the discretion of the Aviragen board of directors that, if issued, could operate as a “poison pill” to dilute the stock ownership of a potential hostile acquirer to prevent an acquisition that is not approved by the Aviragen board of directors;</w:t>
      </w:r>
    </w:p>
    <w:p>
      <w:pPr>
        <w:spacing w:after="0" w:line="183" w:lineRule="exact"/>
        <w:rPr>
          <w:rFonts w:ascii="Arial" w:cs="Arial" w:eastAsia="Arial" w:hAnsi="Arial"/>
          <w:sz w:val="18"/>
          <w:szCs w:val="18"/>
          <w:color w:val="auto"/>
        </w:rPr>
      </w:pPr>
    </w:p>
    <w:p>
      <w:pPr>
        <w:ind w:left="660" w:right="120" w:hanging="329"/>
        <w:spacing w:after="0" w:line="27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the Aviragen board of directors or for stockholder proposals that can be acted on at stockholder meetings;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 who may call stockholder meetings;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contain a fair price provision.</w:t>
      </w:r>
    </w:p>
    <w:p>
      <w:pPr>
        <w:spacing w:after="0" w:line="224"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In addition, Aviragen is governed by the provisions of Section 203 of the DGCL, which may, unless certain criteria are met, prohibit large stockholders, in particular those owning 15% or more of the voting rights of Aviragen common stock, from merging or combining with Aviragen for a prescribed period of time. These provisions could discourage proxy contests and make it more difficult for you and other stockholders to remove and elect directors and take other corporate actions. These provisions could also limit the price that investors might be willing to pay in the future for shares of Aviragen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may be subject to securities litigation, which is expensive and could divert management attention.</w:t>
      </w:r>
    </w:p>
    <w:p>
      <w:pPr>
        <w:spacing w:after="0" w:line="2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market price of Aviragen common stock has been and may continue to be volatile, and in the past companies that have experienced volatility in the market price of their stock have been subject to securities class action litigation. Aviragen may be the target of this type of litigation in the future. Securities litigation against Aviragen could result in substantial costs and divert management's attention from other business concerns, which could seriously harm Aviragen’s business.</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rating, about Aviragen’s business, Aviragen’s stock price and trading volume could decline.</w:t>
      </w:r>
    </w:p>
    <w:p>
      <w:pPr>
        <w:spacing w:after="0" w:line="17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trading market for Aviragen common stock is influenced by independent research and reports that securities or industry analysts publish about Aviragen or its business from time to time. There can be no assurance that analysts will continue to cover Aviragen or provide favorable ratings. If any analysts who cover Aviragen downgrade Aviragen’s stock, change their opinion of Aviragen’s stock or disseminate negative information regarding Aviragen’s business, Aviragen’s share price may decline. If any analysts cease coverage of Aviragen, or fail to regularly publish reports on Aviragen, Aviragen could lose visibility in the financial markets, which could cause Aviragen’s share price or trading volume to decline.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Other Aspects of Aviragen’s Business</w:t>
      </w:r>
    </w:p>
    <w:p>
      <w:pPr>
        <w:spacing w:after="0" w:line="228" w:lineRule="exact"/>
        <w:rPr>
          <w:sz w:val="20"/>
          <w:szCs w:val="20"/>
          <w:color w:val="auto"/>
        </w:rPr>
      </w:pPr>
    </w:p>
    <w:p>
      <w:pPr>
        <w:ind w:right="600"/>
        <w:spacing w:after="0" w:line="306" w:lineRule="auto"/>
        <w:rPr>
          <w:sz w:val="20"/>
          <w:szCs w:val="20"/>
          <w:color w:val="auto"/>
        </w:rPr>
      </w:pPr>
      <w:r>
        <w:rPr>
          <w:rFonts w:ascii="Arial" w:cs="Arial" w:eastAsia="Arial" w:hAnsi="Arial"/>
          <w:sz w:val="17"/>
          <w:szCs w:val="17"/>
          <w:b w:val="1"/>
          <w:bCs w:val="1"/>
          <w:i w:val="1"/>
          <w:iCs w:val="1"/>
          <w:color w:val="auto"/>
        </w:rPr>
        <w:t>If a product liability claim is successfully brought against Aviragen for uninsured liabilities, or such claim exceeds Aviragen’s insurance coverage, Aviragen could be forced to pay substantial damage awards that could materially harm Aviragen’s business.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use of any of Aviragen’s existing or future product candidates in clinical trials and the sale of any approved pharmaceutical products may expose Aviragen to significant product liability claims. Aviragen currently has product liability insurance coverage for its ongoing clinical trials in the amount of $15 million. Further, Aviragen also requires clinical research and manufacturing organizations that assist it in the conduct of its trials or manufacture materials used in these trials to carry product liability insurance against such claims. This insurance coverage may not protect Aviragen against any or all of the product liability claims that may be brought against Aviragen in the future. Aviragen may not be able to acquire or maintain adequate product liability insurance coverage at a commercially reasonable cost or in sufficient amounts or scope to protect Aviragen against potential losses. In the event a product liability claim is brought against Aviragen, Aviragen may be required to pay legal and other expenses to defend the claim, as well as uncovered damage awards resulting from a claim brought successfully against Aviragen. In the event any of Aviragen’s product candidates are approved for sale by the FDA or similar regulatory authorities in other countries and commercialized, Aviragen may need to substantially increase the amount of its product liability coverage. Defending any product liability claim or claims could require Aviragen to expend significant financial and managerial resources, which could have an adverse effect on Aviragen’s business.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Aviragen’s ability to use its net operating loss carry forwards to reduce taxable income generated in the future could be substantially limited or eliminated.</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Aviragen’s ability to use its net operating losses in the United States, Australia, France and the United Kingdom is subject to limitations and re-assessment due to ownership changes that have occurred, or that could occur in the future. Depending on the actual amount of any limitation on Aviragen’s ability to use its net operating loss carry forwards, a significant portion of Aviragen’s future taxable income could be taxable.</w:t>
      </w:r>
    </w:p>
    <w:p>
      <w:pPr>
        <w:spacing w:after="0" w:line="18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Additionally, tax law limitations may result in Aviragen’s net operating losses expiring before Aviragen has the ability to use them. In addition, financing and acquisition transactions that Aviragen may enter into in the future could significantly limit or eliminate Aviragen’s ability to realize any value from Aviragen’s net operating losses.</w:t>
      </w:r>
    </w:p>
    <w:p>
      <w:pPr>
        <w:spacing w:after="0" w:line="183" w:lineRule="exact"/>
        <w:rPr>
          <w:sz w:val="20"/>
          <w:szCs w:val="20"/>
          <w:color w:val="auto"/>
        </w:rPr>
      </w:pPr>
    </w:p>
    <w:p>
      <w:pPr>
        <w:ind w:right="280"/>
        <w:spacing w:after="0" w:line="340" w:lineRule="auto"/>
        <w:rPr>
          <w:sz w:val="20"/>
          <w:szCs w:val="20"/>
          <w:color w:val="auto"/>
        </w:rPr>
      </w:pPr>
      <w:r>
        <w:rPr>
          <w:rFonts w:ascii="Arial" w:cs="Arial" w:eastAsia="Arial" w:hAnsi="Arial"/>
          <w:sz w:val="16"/>
          <w:szCs w:val="16"/>
          <w:b w:val="1"/>
          <w:bCs w:val="1"/>
          <w:i w:val="1"/>
          <w:iCs w:val="1"/>
          <w:color w:val="auto"/>
        </w:rPr>
        <w:t>Aviragen’s internal computer systems, or those of Aviragen’s contract research organizations, or CROs, or other contractors or consultants, may fail or suffer security breaches, which could result in a material disruption of Aviragen’s product development programs.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Aviragen’s internal computer systems and those of Aviragen’s CROs and other contractors or consultants are vulnerable to damage from cyber security breaches, computer viruses, unauthorized access, natural disasters, terrorism, war and telecommunication and electrical failures. While Aviragen does not believe that it has experienced any such material system failure, accident or security breach to date, if such an event were to occur and cause interruptions in Aviragen’s operations, it could result in a material disruption of Aviragen’s development programs and business operations, whether due to a loss of Aviragen’s trade secrets or other proprietary information or other similar disruptions. For example, the loss of clinical trial data for Aviragen’s product candidates from completed or future clinical trials could result in delays in Aviragen’s regulatory approval efforts and significantly increase Aviragen’s costs to recover or reproduce the data. To the extent that any disruption or security breach were to result in a loss of, or damage to, Aviragen’s data or applications or other data or applications relating to Aviragen’s technology or product candidates, or inappropriate disclosure of confidential or proprietary information, Aviragen could incur liabilities, Aviragen’s competitive position could be harmed and the further development and commercialization of its product candidates could be delayed. Moreover, breaches of Aviragen’s systems, which may give access to material non-public information about Aviragen’s operations or financial position prior to its public dissemination, could result in people trading in Aviragen’s stock with advance notice of this information, which could adversely affect trading by other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Vaxart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Vaxart’s Business, Financial Position and Capital Requirements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 has a limited operating history and has never generated any product revenue.</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Vaxart is a clinical-stage biopharmaceutical company with a limited operating history. Vaxart was founded in March 2004 and its operations to date have been limited to organizing and staffing its company and developing oral recombinant vaccine candidates that are administered in tablet form. Vaxart has not yet successfully completed a large-scale, pivotal clinical trial, obtained marketing approval, manufactured Vaxart tablet vaccine candidates at commercial scale, or conducted sales and marketing activities that will be necessary to successfully commercialize Vaxart’s tablet vaccine candidates. Consequently, predictions about Vaxart’s future success or viability may not be as accurate as they could be if it had a longer operating history or a history of successfully developing and commercializing tablet vaccine candidates.</w:t>
      </w:r>
    </w:p>
    <w:p>
      <w:pPr>
        <w:spacing w:after="0" w:line="193"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Vaxart’s ability to generate revenue and achieve and maintain profitability will depend upon its ability to successfully complete the development of Vaxart’s tablet vaccine candidates for the treatment of norovirus, seasonal influenza, respiratory syncytial virus, or RSV, cervical cancer and dysplasia caused by human papillomavirus, or HPV and other infectious diseases and to obtain the necessary regulatory approvals. Vaxart has never generated any product revenue, and has no tablet vaccine candidates in late-stage clinical development or approved for commercial sale.</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6" w:name="page57"/>
    <w:bookmarkEnd w:id="5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Even if Vaxart receives regulatory approval for the sale of any of its tablet vaccine candidates, it does not know when it will begin to generate revenue, if at all. Vaxart’s ability to generate revenue depends on a number of factors, including its ability to:</w:t>
      </w:r>
    </w:p>
    <w:p>
      <w:pPr>
        <w:spacing w:after="0" w:line="170" w:lineRule="exact"/>
        <w:rPr>
          <w:sz w:val="20"/>
          <w:szCs w:val="20"/>
          <w:color w:val="auto"/>
        </w:rPr>
      </w:pPr>
    </w:p>
    <w:p>
      <w:pPr>
        <w:ind w:left="660" w:hanging="329"/>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set an acceptable price for its tablet vaccine candidates and obtain coverage and adequate reimbursement from third-party payors;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 sales, marketing, manufacturing and distribution systems;</w:t>
      </w:r>
    </w:p>
    <w:p>
      <w:pPr>
        <w:spacing w:after="0" w:line="22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its clinical, manufacturing and planned future clinical development and commercialization efforts and operations as a public company;</w:t>
      </w:r>
    </w:p>
    <w:p>
      <w:pPr>
        <w:spacing w:after="0" w:line="169" w:lineRule="exact"/>
        <w:rPr>
          <w:rFonts w:ascii="Arial" w:cs="Arial" w:eastAsia="Arial" w:hAnsi="Arial"/>
          <w:sz w:val="18"/>
          <w:szCs w:val="18"/>
          <w:color w:val="auto"/>
        </w:rPr>
      </w:pPr>
    </w:p>
    <w:p>
      <w:pPr>
        <w:ind w:left="660" w:right="500" w:hanging="329"/>
        <w:spacing w:after="0" w:line="27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manufacturing capabilities for bulk materials and manufacture commercial quantities of its tablet vaccine candidates at acceptable cost levels;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achieve broad market acceptance of its tablet vaccine candidates in the medical community and with third-party payors and consumers;</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attract and retain an experienced management and advisory team;</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launch commercial sales of Vaxart’s tablet vaccine candidates, whether alone or in collaboration with others;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expand and protect Vaxart’s intellectual property portfolio.</w:t>
      </w:r>
    </w:p>
    <w:p>
      <w:pPr>
        <w:spacing w:after="0" w:line="22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Because of the numerous risks and uncertainties associated with vaccine development and manufacturing, Vaxart is unable to predict the timing or amount of increased development expenses, or when it will be able to achieve or maintain profitability, if at all. Vaxart’s expenses could increase beyond expectations if it is required by the U.S. Food and Drug Administration, or the FDA, or comparable non-U.S. regulatory authorities, to perform studies or clinical trials in addition to those it currently anticipates. Even if Vaxart’s tablet vaccine candidates are approved for commercial sale, it anticipates incurring significant costs associated with the commercial launch of and the related commercial-scale manufacturing requirements for its tablet vaccine candidates. If Vaxart cannot successfully execute on any of the factors listed above, Vaxart’s business may not succeed and your investment will be adversely affected.</w:t>
      </w:r>
    </w:p>
    <w:p>
      <w:pPr>
        <w:spacing w:after="0" w:line="164"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b w:val="1"/>
          <w:bCs w:val="1"/>
          <w:i w:val="1"/>
          <w:iCs w:val="1"/>
          <w:color w:val="auto"/>
        </w:rPr>
        <w:t>Vaxart has incurred significant losses since its inception and expects to continue to incur significant losses for the foreseeable future and may never achieve or maintain profitability.</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Vaxart has never generated any product revenues and it expects to continue to incur substantial and increasing losses as it continues to develop its tablet vaccine candidates. Vaxart’s tablet vaccine candidates have not been approved for marketing in the United States and may never receive such approval. As a result, Vaxart is uncertain when or if it will achieve profitability and, if so, whether it will be able to sustain it. Vaxart’s ability to generate revenue and achieve profitability is dependent on its ability to complete development, obtain necessary regulatory approvals, and have its tablet vaccine candidates manufactured and successfully marketed. Vaxart cannot assure you that it will be profitable even if it successfully commercializes one of its tablet vaccine candidates. If Vaxart does successfully obtain regulatory approval to market its tablet vaccine candidates, its revenues will be dependent, in part, upon, the size of the markets in the territories for which regulatory approval is received, the number of competitors in such markets, the price at which Vaxart can offer its tablet vaccine candidates and whether Vaxart owns the commercial rights for that territory. If the indication approved by regulatory authorities is narrower than Vaxart expects, or the treatment population is narrowed by competition, physician choice or treatment guidelines, Vaxart may not generate significant revenue from sales of its tablet vaccine candidates, even if approved. Even if Vaxart does achieve profitability, Vaxart may not be able to sustain or increase profitability on a quarterly or annual basis. If Vaxart fails to become and remain profitable the market price of its common stock and Vaxart’s ability to raise capital and continue operations will be adversely affected.</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Vaxart expects research and development expenses to increase significantly for any of its tablet vaccines, including those for the prevention of norovirus, influenza and RSV infection, as well as those for the treatment of HPV related dysplasia and cancer, and any other chronic viral infections and cancer. In addition, even if Vaxart obtains regulatory approval, significant sales and marketing expenses will be required to commercialize the tablet vaccine candidates. As a result, Vaxart expects to continue to incur significant and increasing operating losses and negative cash flows for the foreseeable future. These losses have had and will continue to have an adverse effect on its financial position and working capital. As of September 30, 2017, Vaxart had an accumulated deficit of $78.9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60"/>
        <w:spacing w:after="0" w:line="340" w:lineRule="auto"/>
        <w:rPr>
          <w:sz w:val="20"/>
          <w:szCs w:val="20"/>
          <w:color w:val="auto"/>
        </w:rPr>
      </w:pPr>
      <w:r>
        <w:rPr>
          <w:rFonts w:ascii="Arial" w:cs="Arial" w:eastAsia="Arial" w:hAnsi="Arial"/>
          <w:sz w:val="16"/>
          <w:szCs w:val="16"/>
          <w:b w:val="1"/>
          <w:bCs w:val="1"/>
          <w:i w:val="1"/>
          <w:iCs w:val="1"/>
          <w:color w:val="auto"/>
        </w:rPr>
        <w:t>Vaxart is dependent on the success of its tablet vaccine for the prevention of norovirus infection which is still in early-stage clinical development, and if this tablet vaccine does not receive regulatory approval or is not successfully commercialized, its business may be harmed.</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None of Vaxart’s tablet vaccine candidates are in late-stage clinical development or approved for commercial sale and it may never be able to develop marketable tablet vaccine candidates. Vaxart expects that a substantial portion of its efforts and expenditures over the next few years will be devoted to its tablet vaccine candidate for norovirus. Accordingly, Vaxart’s business currently depends heavily on the successful development, regulatory approval and commercialization of Vaxart’s norovirus tablet vaccine. Vaxart’s norovirus tablet vaccine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United States and other countries that each have differing regulations. Vaxart is not permitted to market its norovirus tablet vaccine in the United States until it receives approval of a biologics license application, or BLA, from the FDA, or in any foreign countries until it receives the requisite approval from such countries. To date, Vaxart has only completed Phase 1 clinical trials for one of the two strains necessary for Vaxart’s bivalent tablet vaccine candidate. As a result, Vaxart has not submitted a BLA to the FDA or comparable applications to other regulatory authorities and does not expect to be in a position to do so for the foreseeable future. Obtaining approval of a BLA is an extensive, lengthy, expensive and inherently uncertain process, and the FDA may delay, limit or deny approval of its seasonal influenza tablet vaccine for many reasons, including:</w:t>
      </w:r>
    </w:p>
    <w:p>
      <w:pPr>
        <w:spacing w:after="0" w:line="180" w:lineRule="exact"/>
        <w:rPr>
          <w:sz w:val="20"/>
          <w:szCs w:val="20"/>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Vaxart may not be able to demonstrate that its norovirus tablet vaccine is safe and effective to the satisfaction of the FDA;</w:t>
      </w:r>
    </w:p>
    <w:p>
      <w:pPr>
        <w:spacing w:after="0" w:line="223"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not agree that the completed Phase 1 clinical trials of the norovirus vaccine satisfy the FDA’s requirements and may require Vaxart to conduct additional testing;</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results of Vaxart’s clinical trials may not meet the level of statistical or clinical significance required by the FDA for marketing approval;</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one or more of its clinical trials;</w:t>
      </w:r>
    </w:p>
    <w:p>
      <w:pPr>
        <w:spacing w:after="0" w:line="223" w:lineRule="exact"/>
        <w:rPr>
          <w:rFonts w:ascii="Arial" w:cs="Arial" w:eastAsia="Arial" w:hAnsi="Arial"/>
          <w:sz w:val="18"/>
          <w:szCs w:val="18"/>
          <w:color w:val="auto"/>
        </w:rPr>
      </w:pPr>
    </w:p>
    <w:p>
      <w:pPr>
        <w:ind w:left="660" w:right="220" w:hanging="329"/>
        <w:spacing w:after="0" w:line="27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contract research organizations, or CROs, that Vaxart retains to conduct clinical trials may take actions outside of its control that materially and adversely impact its clinical trials;</w:t>
      </w:r>
    </w:p>
    <w:p>
      <w:pPr>
        <w:spacing w:after="0" w:line="169"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not find the data from its preclinical studies and clinical trials sufficient to demonstrate that the clinical and other benefits of its tablet vaccines outweigh the safety risks;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disagree with its interpretation of data from Vaxart’s preclinical studies and clinical trials;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not accept data generated at its clinical trial sites;</w:t>
      </w:r>
    </w:p>
    <w:p>
      <w:pPr>
        <w:spacing w:after="0" w:line="223" w:lineRule="exact"/>
        <w:rPr>
          <w:rFonts w:ascii="Arial" w:cs="Arial" w:eastAsia="Arial" w:hAnsi="Arial"/>
          <w:sz w:val="18"/>
          <w:szCs w:val="18"/>
          <w:color w:val="auto"/>
        </w:rPr>
      </w:pPr>
    </w:p>
    <w:p>
      <w:pPr>
        <w:ind w:left="660" w:right="60" w:hanging="329"/>
        <w:spacing w:after="0" w:line="285"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Vaxart’s BLA is reviewed by an advisory committee, the FDA may have difficulties scheduling an advisory committee meeting in a timely manner or the advisory committee may recommend against approval of Vaxart’s application or may recommend that the FDA require, as a condition of approval, additional preclinical studies or clinical trials, limitations on approved labeling or distribution and use restrictions;</w:t>
      </w:r>
    </w:p>
    <w:p>
      <w:pPr>
        <w:spacing w:after="0" w:line="164" w:lineRule="exact"/>
        <w:rPr>
          <w:rFonts w:ascii="Arial" w:cs="Arial" w:eastAsia="Arial" w:hAnsi="Arial"/>
          <w:sz w:val="17"/>
          <w:szCs w:val="17"/>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or REMS, as a condition of approval;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identify deficiencies in Vaxart’s manufacturing processes or facilities;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independent auditor has expressed doubt about Vaxart’s ability to continue as a going concern.</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Based on its cash balances, recurring losses since inception and existing capital resources to fund planned operations for the next twelve months, Vaxart’s independent auditor has included an explanatory paragraph in its report on Vaxart’s financial statements as of and for the year ending December 31, 2016 expressing substantial doubt about Vaxart’s ability to continue as a going concern. If the merger is not consummated Vaxart will, during 2018, require significant additional funding to continue operations. If Vaxart is unable to continue as a going concern, it may be forced to liquidate its assets and the values it receives for its assets in liquidation or dissolution could be significantly lower than the values reflected in its financial statements.</w:t>
      </w:r>
    </w:p>
    <w:p>
      <w:pPr>
        <w:spacing w:after="0" w:line="161" w:lineRule="exact"/>
        <w:rPr>
          <w:sz w:val="20"/>
          <w:szCs w:val="20"/>
          <w:color w:val="auto"/>
        </w:rPr>
      </w:pPr>
    </w:p>
    <w:p>
      <w:pPr>
        <w:ind w:right="880"/>
        <w:spacing w:after="0" w:line="276" w:lineRule="auto"/>
        <w:rPr>
          <w:sz w:val="20"/>
          <w:szCs w:val="20"/>
          <w:color w:val="auto"/>
        </w:rPr>
      </w:pPr>
      <w:r>
        <w:rPr>
          <w:rFonts w:ascii="Arial" w:cs="Arial" w:eastAsia="Arial" w:hAnsi="Arial"/>
          <w:sz w:val="18"/>
          <w:szCs w:val="18"/>
          <w:b w:val="1"/>
          <w:bCs w:val="1"/>
          <w:i w:val="1"/>
          <w:iCs w:val="1"/>
          <w:color w:val="auto"/>
        </w:rPr>
        <w:t>Vaxart will require additional capital to fund its operations, and if Vaxart fails to obtain necessary financing, it may not be able to complete the development and commercialization of its tablet vaccine candidates.</w:t>
      </w:r>
    </w:p>
    <w:p>
      <w:pPr>
        <w:spacing w:after="0" w:line="17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Vaxart expects to spend substantial amounts to complete the development of, seek regulatory approvals for and commercialize Vaxart’s tablet vaccine candidates. Even with the expected cash reserves of the combined company, Vaxart will require substantial additional capital to complete the development and potential commercialization of its tablet vaccine candidates for norovirus, seasonal influenza, RSV, HPV, and the development of other tablet vaccine candidates. If Vaxart is unable to raise capital or find appropriate partnering or licensing collaborations, when needed or on acceptable terms, it could be forced to delay, reduce or eliminate one or more of its development programs or any future commercialization efforts. In addition, attempting to secure additional financing may divert the time and attention of its management from day-to-day activities and harm its development efforts.</w:t>
      </w:r>
    </w:p>
    <w:p>
      <w:pPr>
        <w:sectPr>
          <w:pgSz w:w="11900" w:h="16838" w:orient="portrait"/>
          <w:cols w:equalWidth="0" w:num="1">
            <w:col w:w="11420"/>
          </w:cols>
          <w:pgMar w:left="240" w:top="118"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Based upon its current operating plan, Vaxart believes that the expected cash reserves of the combined company will enable it to fund its operating expenses and capital expenditure requirements through at least the full year of 2018. Vaxart’s estimate as to what it will be able to accomplish is based on assumptions that may prove to be inaccurate, and it could exhaust its available capital resources sooner than is currently expected. Because the length of time and activities associated with successful development of its tablet vaccine candidates is highly uncertain, Vaxart is unable to estimate the actual funds it will require for development and any approved marketing and commercialization activities. Vaxart’s future funding requirements, both near and long-term, will depend on many factors, including, but not limited to:</w:t>
      </w:r>
    </w:p>
    <w:p>
      <w:pPr>
        <w:spacing w:after="0" w:line="193" w:lineRule="exact"/>
        <w:rPr>
          <w:sz w:val="20"/>
          <w:szCs w:val="20"/>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Vaxart’s planned clinical trials;</w:t>
      </w:r>
    </w:p>
    <w:p>
      <w:pPr>
        <w:spacing w:after="0" w:line="223" w:lineRule="exact"/>
        <w:rPr>
          <w:rFonts w:ascii="Arial" w:cs="Arial" w:eastAsia="Arial" w:hAnsi="Arial"/>
          <w:sz w:val="18"/>
          <w:szCs w:val="18"/>
          <w:color w:val="auto"/>
        </w:rPr>
      </w:pPr>
    </w:p>
    <w:p>
      <w:pPr>
        <w:ind w:left="660" w:right="460" w:hanging="329"/>
        <w:spacing w:after="0" w:line="27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European Medicines Agency, or EMA, and other comparable foreign regulatory authorities;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its patent claims and other intellectual property rights;</w:t>
      </w:r>
    </w:p>
    <w:p>
      <w:pPr>
        <w:spacing w:after="0" w:line="22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any patent infringement actions brought by third parties against Vaxart now or in the future;</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3" w:lineRule="exact"/>
        <w:rPr>
          <w:rFonts w:ascii="Arial" w:cs="Arial" w:eastAsia="Arial" w:hAnsi="Arial"/>
          <w:sz w:val="18"/>
          <w:szCs w:val="18"/>
          <w:color w:val="auto"/>
        </w:rPr>
      </w:pPr>
    </w:p>
    <w:p>
      <w:pPr>
        <w:ind w:left="660" w:right="520" w:hanging="329"/>
        <w:spacing w:after="0" w:line="276"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in regions where Vaxart chooses to commercialize Vaxart’s tablet vaccine candidates on Vaxart’s own;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initiation, progress, timing and results of the commercialization of its tablet vaccine candidates, if approved, for commercial sale.</w:t>
      </w:r>
    </w:p>
    <w:p>
      <w:pPr>
        <w:spacing w:after="0" w:line="22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Additional funding may not be available on acceptable terms, or at all. If Vaxart is unable to raise additional capital in sufficient amounts or on terms acceptable to it, Vaxart may have to significantly delay, scale back or discontinue the development or commercialization of its tablet vaccine candidates or potentially discontinue operations.</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stockholders, and raising funds through lending and licensing arrangements may restrict Vaxart’s operations or require it to relinquish proprietary rights.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Vaxart expects that significant additional capital will be needed in the future to continue its planned operations. Until such time, if ever, as Vaxart can generate substantial product revenues, Vaxart expects to finance its cash needs through a combination of equity offerings, debt financings, strategic alliances and license and development agreements in connection with any collaborations. Vaxart does not currently have any committed external source of funds. To the extent that Vaxart raises additional capital by issuing equity securities, Vaxart’s existing stockholders’ ownership may experience substantial dilution, and the terms of these securities may include liquidation or other preferences that adversely affect your rights as a common stockholder. Debt financing and preferred equity financing, if available, may involve agreements that include covenants limiting or restricting Vaxart’s ability to take specific actions, such as incurring additional debt, making capital expenditures, declaring dividends, creating liens, redeeming its stock or making investments.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Vaxart raises additional funds through collaborations, strategic alliances or marketing, distribution or licensing arrangements with third parties, it may have to relinquish valuable rights to its technologies, future revenue streams, research programs or tablet vaccine candidates or grant licenses on terms that may not be favorable to us. If Vaxart is unable to raise additional funds through equity or debt financings when needed, or through collaborations, strategic alliances or marketing, distribution or licensing arrangements with third parties on acceptable terms, it may be required to delay, limit, reduce or terminate its tablet vaccine development or future commercialization efforts or grant rights to develop and market tablet vaccine candidates that it would otherwise develop and market Vaxart.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Vaxart’s credit facility place restrictions on Vaxart’s operating and financial flexibility</w:t>
      </w:r>
      <w:r>
        <w:rPr>
          <w:rFonts w:ascii="Arial" w:cs="Arial" w:eastAsia="Arial" w:hAnsi="Arial"/>
          <w:sz w:val="18"/>
          <w:szCs w:val="18"/>
          <w:color w:val="auto"/>
        </w:rPr>
        <w:t>.</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December 2016, Vaxart entered into a loan and security agreement, or the Loan Agreement, with Oxford under which Vaxart borrowed $5 million. Vaxart's outstanding debt facility with Oxford is collateralized by substantially all of Vaxart's assets, except for intellectual property, and contains customary financial and operating covenants limiting Vaxart's ability to transfer or dispose of assets, merge with or acquire other companies (including in connection with the merger described herein), make investments, pay dividends, incur additional indebtedness and liens and conduct transactions with affiliates. Vaxart therefore may not be able to engage in any of the foregoing transactions until its current debt obligations are paid in full or Vaxart obtains the consent of Oxford, which Vaxart expects Oxford will unconditionally grant as of the closing date of the merger. Compliance with these covenants may limit Vaxart’s flexibility in operating its business and Vaxart’s ability to take actions that might be advantageous to Vaxart and its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Under the Loan Agreement, an event of default will occur if, among other things:</w:t>
      </w:r>
    </w:p>
    <w:p>
      <w:pPr>
        <w:spacing w:after="0" w:line="224" w:lineRule="exact"/>
        <w:rPr>
          <w:sz w:val="20"/>
          <w:szCs w:val="20"/>
          <w:color w:val="auto"/>
        </w:rPr>
      </w:pPr>
    </w:p>
    <w:p>
      <w:pPr>
        <w:ind w:left="660" w:hanging="329"/>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Vaxart fails to make payments under the Loan Agreement;</w:t>
      </w:r>
    </w:p>
    <w:p>
      <w:pPr>
        <w:sectPr>
          <w:pgSz w:w="11900" w:h="16838" w:orient="portrait"/>
          <w:cols w:equalWidth="0" w:num="1">
            <w:col w:w="11380"/>
          </w:cols>
          <w:pgMar w:left="240" w:top="118" w:right="279" w:bottom="1440" w:gutter="0" w:footer="0" w:header="0"/>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Vaxart breaches any of its covenants under the Loan Agreement, subject to specified cure periods with respect to certain breaches;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there occurs an event that has a material adverse effect on:</w:t>
      </w:r>
    </w:p>
    <w:p>
      <w:pPr>
        <w:spacing w:after="0" w:line="223" w:lineRule="exact"/>
        <w:rPr>
          <w:rFonts w:ascii="Arial" w:cs="Arial" w:eastAsia="Arial" w:hAnsi="Arial"/>
          <w:sz w:val="18"/>
          <w:szCs w:val="18"/>
          <w:color w:val="auto"/>
        </w:rPr>
      </w:pPr>
    </w:p>
    <w:p>
      <w:pPr>
        <w:ind w:left="980" w:hanging="326"/>
        <w:spacing w:after="0"/>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Vaxart’s business, operations, properties, assets or financial condition;</w:t>
      </w:r>
    </w:p>
    <w:p>
      <w:pPr>
        <w:spacing w:after="0" w:line="223" w:lineRule="exact"/>
        <w:rPr>
          <w:rFonts w:ascii="Arial" w:cs="Arial" w:eastAsia="Arial" w:hAnsi="Arial"/>
          <w:sz w:val="18"/>
          <w:szCs w:val="18"/>
          <w:color w:val="auto"/>
        </w:rPr>
      </w:pPr>
    </w:p>
    <w:p>
      <w:pPr>
        <w:ind w:left="980" w:right="120" w:hanging="326"/>
        <w:spacing w:after="0" w:line="276" w:lineRule="auto"/>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Vaxart’s ability to perform or satisfy Vaxart’s obligations under the Loan Agreement as they become due or Oxford’s ability to enforce its rights or remedies with respect to Vaxart’s obligations under the Loan Agreement; or</w:t>
      </w:r>
    </w:p>
    <w:p>
      <w:pPr>
        <w:spacing w:after="0" w:line="169" w:lineRule="exact"/>
        <w:rPr>
          <w:rFonts w:ascii="Arial" w:cs="Arial" w:eastAsia="Arial" w:hAnsi="Arial"/>
          <w:sz w:val="18"/>
          <w:szCs w:val="18"/>
          <w:color w:val="auto"/>
        </w:rPr>
      </w:pPr>
    </w:p>
    <w:p>
      <w:pPr>
        <w:ind w:left="980" w:hanging="326"/>
        <w:spacing w:after="0"/>
        <w:tabs>
          <w:tab w:leader="none" w:pos="9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collateral or liens securing Vaxart’s obligations under the Loan Agreement;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Vaxart or its assets become subject to certain legal proceedings, such as bankruptcy proceedings;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Vaxart is unable to pay its debts as they become due; or</w:t>
      </w:r>
    </w:p>
    <w:p>
      <w:pPr>
        <w:spacing w:after="0" w:line="223" w:lineRule="exact"/>
        <w:rPr>
          <w:rFonts w:ascii="Arial" w:cs="Arial" w:eastAsia="Arial" w:hAnsi="Arial"/>
          <w:sz w:val="18"/>
          <w:szCs w:val="18"/>
          <w:color w:val="auto"/>
        </w:rPr>
      </w:pPr>
    </w:p>
    <w:p>
      <w:pPr>
        <w:ind w:left="660" w:right="580" w:hanging="329"/>
        <w:spacing w:after="0" w:line="276"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Vaxart defaults on contracts with third parties which would permit Oxford to accelerate the maturity of such indebtedness or that could have a material adverse effect on Vaxart.</w:t>
      </w:r>
    </w:p>
    <w:p>
      <w:pPr>
        <w:spacing w:after="0" w:line="17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Vaxart may not have enough available cash or be able to raise additional funds through equity or debt financings to repay such indebtedness at the time any such event of default occurs. In that case, Vaxart may be required to delay, limit, reduce or terminate Vaxart’s clinical development efforts or grant to others rights to develop and market product candidates that Vaxart would otherwise prefer to develop and market ourselves. Oxford could also exercise its rights as collateral agent to take possession and dispose of the collateral securing the Loan Agreement for its benefit. Vaxart’s business would be harmed as a result of any of these events.</w:t>
      </w:r>
    </w:p>
    <w:p>
      <w:pPr>
        <w:spacing w:after="0" w:line="188"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b w:val="1"/>
          <w:bCs w:val="1"/>
          <w:i w:val="1"/>
          <w:iCs w:val="1"/>
          <w:color w:val="auto"/>
        </w:rPr>
        <w:t>If Vaxart fails to obtain or maintain adequate coverage and reimbursement for its tablet vaccine candidates, its ability to generate revenue could be limited.</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expensive treatments. Sales of any of its tablet vaccine candidates that receive marketing approval will depend substantially, both in the United States and internationally, on the extent to which the costs of Vaxart’s tablet vaccine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Vaxart may not be able to successfully commercialize Vaxart’s tablet vaccine candidates. Even if coverage is provided, the approved reimbursement amount may not be high enough to allow Vaxart to establish or maintain adequate pricing that will allow it to realize a sufficient return on Vaxart’s investment.</w:t>
      </w:r>
    </w:p>
    <w:p>
      <w:pPr>
        <w:spacing w:after="0" w:line="17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Vaxart believes the increasing emphasis on cost-containment initiatives in Europe, Canada and other countries may cause Vaxart to price Vaxart’s tablet vaccine candidates on less favorable terms that it currently anticipates.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Vaxart may be required to conduct a clinical trial that compares the cost-effectiveness of its tablet vaccine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it is able to charge for its tablet vaccine candidates. Accordingly, in markets outside the United States, the reimbursement for its products may be reduced compared with the United States and may be insufficient to generate commercially reasonable revenues and profits.</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newly approved products and, as a result, they may not cover or provide adequate payment for its tablet vaccine candidates. Vaxart expects to experience pricing pressures in connection with the sale of any of Vaxart’s tablet vaccine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future success depends on its ability to retain executive officers and attract, retain and motivate qualified personnel.</w:t>
      </w:r>
    </w:p>
    <w:p>
      <w:pPr>
        <w:spacing w:after="0" w:line="22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Vaxart is highly dependent on its executive officers and the other principal members of the executive and scientific teams, particularly its President and Chief Executive Officer, Wouter W. Latour, its Chief Scientific Officer, Sean N. Tucker, its Chief Financial Officer, John M. Harland and its Chief Medical Officer, David Liebowitz. The employment of Vaxart’s executive officers are at-will and Vaxart’s executive officers may terminate their employment at any time. The loss of the services of any of Vaxart’s senior executive officers could impede the achievement of Vaxart’s research, development and commercialization objectives. Vaxart does not maintain “key person” insurance for any executive officer or employee.</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60" w:name="page61"/>
    <w:bookmarkEnd w:id="6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is also critical to Vaxart’s success. Vaxart may not be able to attract and retain these personnel on acceptable terms given the competition among numerous pharmaceutical and biotechnology companies for similar personnel. Vaxart also experiences competition for the hiring of scientific and clinical personnel from universities and research institutions. Vaxart’s industry has experienced an increasing rate of turnover of management and scientific personnel in recent years. In addition, Vaxart relies on consultants and advisors, including scientific and clinical advisors, to assist it in devising Vaxart’s research and development and commercialization strategy. Vaxart’s consultants and advisors may be employed by third parties and have commitments under consulting or advisory contracts with other entities that may limit their availability to advance Vaxart’s strategic objectives. If any of these advisors or consultants can no longer dedicate a sufficient amount of time to the company, Vaxart’s business may be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 will need to expand its organization, and may experience difficulties in managing this growth, which could disrupt operations.</w:t>
      </w:r>
    </w:p>
    <w:p>
      <w:pPr>
        <w:spacing w:after="0" w:line="2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Vaxart’s future financial performance and Vaxart’s ability to commercialize Vaxart’s tablet vaccine candidates and compete effectively will depend, in part, on Vaxart’s ability to effectively manage any future growth. As of September 30, 2017, Vaxart had 21 employees. Vaxart expects to hire additional employees for Vaxart’s managerial, clinical, scientific and engineering, operational, manufacturing, sales and marketing teams. Vaxart may have operational difficulties in connection with identifying, hiring and integrating new personnel. Future growth would impose significant additional responsibilities on its management, including the need to identify, recruit, maintain, motivate and integrate additional employees, consultants and contractors. Also, Vaxart’s management may need to divert a disproportionate amount of its attention away from Vaxart’s day-to-day activities and devote a substantial amount of time to managing these growth activities. Vaxart may not be able to effectively manage the expansion of its operations, which may result in weaknesses in its infrastructure, give rise to operational mistakes, loss of business opportunities, loss of employees and reduced productivity among remaining employees. Vaxart’s expected growth could require significant capital expenditures and may divert financial resources from other projects, such as the development of its tablet vaccine candidates. If Vaxart is unable to effectively manage its growth, its expenses may increase more than expected, its ability to generate and/or grow revenues could be reduced, and Vaxart may not be able to implement its business strategy.</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Many of the other pharmaceutical companies that Vaxart competes against for qualified personnel and consultants have greater financial and other resources, different risk profiles and a longer history in the industry than Vaxart. They also may provide more diverse opportunities and better chances for career advancement. Some of these characteristics may be more appealing to high-quality candidates and consultants than what it has to offer. If Vaxart is unable to continue to attract and retain high-quality personnel and consultants, the rate and success at which it can select and develop its tablet vaccine candidates and its business will be limited.</w:t>
      </w:r>
    </w:p>
    <w:p>
      <w:pPr>
        <w:spacing w:after="0" w:line="1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Vaxart’s employees, independent contractors, principal investigators, consultants, commercial collaborators, service providers and other vendors may engage in misconduct or other improper activities, including noncompliance with regulatory standards and requirements, which could have an adverse effect on Vaxart’s results of operations.</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Vaxart is exposed to the risk that its employees and contractors, including principal investigators, consultants, commercial collaborators, service providers and other vendors may engage in fraudulent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federal and state healthcare fraud and abuse and health regulatory laws and other similar foreign fraudulent misconduct laws, or laws that require the true, complete and accurate reporting of financial information or data. Misconduct by these parties may also involve the improper use or misrepresentation of information obtained in the course of clinical trials, which could result in regulatory sanctions and serious harm to Vaxart’s reputation. It is not always possible to identify and deter third-party misconduct, and the precautions Vaxart takes to detect and prevent this activity may not be effective in controlling unknown or unmanaged risks or losses or in protecting it from governmental investigations or other actions or lawsuits stemming from a failure to be in compliance with such laws or regulations. If any such actions are instituted against Vaxart, and it is not successful in defending Vaxart or asserting its rights, those actions could have a significant impact on Vaxart’s business and financial results, including the imposition of significant civil, criminal and administrative penalties, damages, monetary fines, possible exclusion from participation in Medicare, Medicaid and other federal healthcare programs, reputational harm, diminished profits and future earnings, and curtailment of its operations, any of which could adversely affect Vaxart’s ability to operate its business and Vaxart’s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business and operations would suffer in the event of system failures.</w:t>
      </w:r>
    </w:p>
    <w:p>
      <w:pPr>
        <w:spacing w:after="0" w:line="22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Vaxart’s computer systems and those of its service providers, including its CROs, are vulnerable to damage from computer viruses, unauthorized access, natural disasters (including earthquakes), terrorism, war and telecommunication and electrical failures. If such an event were to occur and cause interruptions in Vaxart’s or their operations, it could result in a material disruption of its development programs. For example, the loss of preclinical or clinical trial data from completed, ongoing or planned trials could result in delays in its regulatory approval efforts and significantly increase Vaxart’s costs to recover or reproduce the data. To the extent that any disruption or security breach were to result in a loss of or damage to data or applications, or inappropriate disclosure of personal, confidential or proprietary information, Vaxart could incur liability and the further development of its tablet vaccine candidates could be delayed.</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b w:val="1"/>
          <w:bCs w:val="1"/>
          <w:i w:val="1"/>
          <w:iCs w:val="1"/>
          <w:color w:val="auto"/>
        </w:rPr>
        <w:t>Vaxart has identified a material weakness in its internal control over financial reporting, and if Vaxart is unable to maintain proper and effective internal controls over financial reporting, the accuracy and timeliness of Vaxart’s financial reporting may be adversely affected.</w:t>
      </w:r>
    </w:p>
    <w:p>
      <w:pPr>
        <w:spacing w:after="0" w:line="14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connection with the audit of Vaxart’s financial statements for the years ended December 31, 2015 and 2016, Vaxart and its independent auditors identified a material weakness in its internal control over financial reporting. A “material weakness” is a deficiency, or a combination of deficiencies, in internal control over financial reporting such that there is a reasonable possibility that a material misstatement of Vaxart’s annual or interim financial statements will not be prevented or detected on a timely basis. The material weakness related to Vaxart lacking sufficient qualified resources and adequate processes thereby impacting Vaxart’s ability to appropriately segregate duties and perform effective and timely review of account reconciliations and nonroutine transactions.</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Assuming the closing of the merger, the combined company intends to take steps to remediate this material weakness, including increasing the depth and experience within its accounting and finance organization, as well as designing and implementing improved processes and internal controls. However, its efforts to remediate this material weakness may not be effective or prevent any future material weakness or significant deficiency in the combined company’s internal control over financial reporting. If the combined company’s efforts are not successful or other material weaknesses or control deficiencies occur in the future, the combined company may be unable to report its financial results accurately on a timely basis, which could cause combined company’s reported financial results to be materially misstated and result in the loss of investor confidence and cause the market price of the combined company’s common stock to decline.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combined company will be required, pursuant to Section 404 of the Sarbanes-Oxley Act, to annually furnish a report by management on, among other things, the effectiveness of its internal control over financial reporting. This assessment will need to include disclosure of any material weaknesses identified by the combined company’s management in its internal control over financial reporting. The combined company’s independent registered public accounting firm may be required to attest to the effectiveness of its internal control over financial reporting depending on the combined company’s public float. The combined company will be required to disclose changes made in its internal control and procedures on a quarterly basis. To comply with the requirements of being a public company, the combined company may need to undertake various actions, such as implementing new internal controls and procedures and hiring accounting or internal audit staff.</w:t>
      </w:r>
    </w:p>
    <w:p>
      <w:pPr>
        <w:spacing w:after="0" w:line="189"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i w:val="1"/>
          <w:iCs w:val="1"/>
          <w:color w:val="auto"/>
        </w:rPr>
        <w:t>Vaxart expects to incur significant additional costs as a result of being a public company, which may adversely affect its operating results and financial condition.</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Vaxart expects to incur costs associated with corporate governance requirements, including requirements under the Sarbanes-Oxley Act, as well as rules implemented by the Dodd-Frank Wall Street Reform and Consumer Protection Act of 2010, or the Dodd-Frank Act, the Securities and Exchange Commission, or the SEC, and Nasdaq. These rules and regulations are expected to increase Vaxart 's accounting, legal and financial compliance costs and make some activities more time-consuming and costly. In addition, Vaxart will incur additional costs associated with its public company reporting requirements and Vaxart expects those costs to increase in the future. Vaxart also expects these rules and regulations to make it more expensive for it to maintain directors' and officers' liability insurance and Vaxart may be required to accept reduced policy limits and coverage or incur substantially higher costs to obtain the same or similar coverage. As a result, it may be more difficult for Vaxart to attract and retain qualified persons to serve on its board of directors, its board committees, or as executive officers. Increases in costs incurred as a result of becoming a publicly traded company may adversely affect Vaxart's operating results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Vaxart’s business and financial condition.</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U.S. government is in the process of enacting comprehensive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Vaxart’s business and financial condition could be adversely affected. This proxy statement/prospectus/information statement does not discuss any such tax legislation or the manner in which it might affect holders of the Vaxart’s capital stock. Vaxart urges their stockholders to consult with their legal and tax advisors with respect to any such legislation and the potential tax consequences of investing in Vaxart’s capital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Development, Regulatory Approval and Commercialization</w:t>
      </w:r>
    </w:p>
    <w:p>
      <w:pPr>
        <w:spacing w:after="0" w:line="228"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b w:val="1"/>
          <w:bCs w:val="1"/>
          <w:i w:val="1"/>
          <w:iCs w:val="1"/>
          <w:color w:val="auto"/>
        </w:rPr>
        <w:t>If Vaxart fails to continue to develop and refine the formulations of its tablet vaccine candidates, it may not obtain regulatory approvals, and even if approved, the commercial acceptance of its tablet vaccine candidates would likely be limited.</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Vaxart’s H1N1 influenza Phase 2 trial it used vaccine tablets that contained approximately 1.5 x 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IU of vaccine. Accordingly, subjects in this trial were required to take 7 tablets in a single setting to reach the aggregate dose of 1 x 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IU, the target dose for this trial. Vaxart believes that in order for its seasonal influenza vaccine candidate to be commercially successful it will need to continue to refine its formulation and develop influenza vaccine tablets that contain the desired dose for each vaccine strain in a single tablet, resulting in a vaccination regime of no more than four tablets. In addition, Vaxart intends to develop a seasonal influenza vaccine tablet that contains the optimal effective dose for all four influenza vaccines necessary to create a quadrivalent vaccine, resulting in a vaccination regime of one tablet. Increasing the potency of the vaccine tablets may affect the stability profile of the vaccine and Vaxart may not be able to reduce the vaccination regime for an influenza strain to a single tablet or combine the four influenza strains into one vaccine tablet. In addition, increasing the potency of the vaccine tablets or combining the influenza strains necessary to create a quadrivalent vaccine may adversely affect manufacturing yields and render such tablets too costly to manufacture at commercial scale. Vaxart’s efforts to develop tablet vaccine candidates for norovirus and RSV face similar formulation challenges. If Vaxart’s unable to further develop and refine the formulations of its tablet vaccine candidates, it may not obtain regulatory approval from the FDA or other regulatory authorities, and even if approved, the commercial acceptance of its tablet vaccine candidates would likely be limited.</w:t>
      </w:r>
    </w:p>
    <w:p>
      <w:pPr>
        <w:spacing w:after="0" w:line="191" w:lineRule="exact"/>
        <w:rPr>
          <w:sz w:val="20"/>
          <w:szCs w:val="20"/>
          <w:color w:val="auto"/>
        </w:rPr>
      </w:pPr>
    </w:p>
    <w:p>
      <w:pPr>
        <w:ind w:right="220"/>
        <w:spacing w:after="0" w:line="379" w:lineRule="auto"/>
        <w:rPr>
          <w:sz w:val="20"/>
          <w:szCs w:val="20"/>
          <w:color w:val="auto"/>
        </w:rPr>
      </w:pPr>
      <w:r>
        <w:rPr>
          <w:rFonts w:ascii="Arial" w:cs="Arial" w:eastAsia="Arial" w:hAnsi="Arial"/>
          <w:sz w:val="15"/>
          <w:szCs w:val="15"/>
          <w:b w:val="1"/>
          <w:bCs w:val="1"/>
          <w:i w:val="1"/>
          <w:iCs w:val="1"/>
          <w:color w:val="auto"/>
        </w:rPr>
        <w:t>Clinical trials are very expensive, time-consuming, difficult to design and implement and involve an uncertain outcome, and if they fail to demonstrate safety and efficacy to the satisfaction of the FDA, or similar regulatory authorities, Vaxart will be unable to commercialize its tablet vaccine candidates.</w:t>
      </w:r>
    </w:p>
    <w:p>
      <w:pPr>
        <w:spacing w:after="0" w:line="10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Vaxart’s tablet vaccine candidates for norovirus and seasonal influenza are still in early-stage clinical development and will require extensive additional clinical testing before Vaxart is prepared to submit a BLA for regulatory approval for either indication or for any other treatment regime. Vaxart cannot predict with any certainty if or when it might submit a BLA for regulatory approval for any of its tablet vaccine candidates, which are currently in pre-clinical development, or whether any such BLAs will be approved by the FDA. Human clinical trials are very expensive and difficult to design and implement, in part because they are subject to rigorous regulatory requirements. For instance, the FDA may not agree with Vaxart’s proposed endpoints for any clinical trial it proposes, which may delay the commencement of its clinical trials. The clinical trial process is also time-consuming. Vaxart estimates that the clinical trials it needs to conduct to be in a position to submit BLAs for Vaxart’s tablet vaccine candidates for seasonal influenza, norovirus and RSV will take several years to complete. Furthermore, failure can occur at any stage of the trials, and it could encounter problems that cause it to abandon or repeat clinical trials. Tablet vaccine candidates in later stages of clinical trials may fail to show the desired safety and efficacy traits despite having progressed through preclinical studies and initial clinical trials, and the results of early clinical trials of the tablet vaccine candidate for seasonal influenza as well as the pre-clinical results Vaxart has observed for its norovirus and RSV tablet vaccine candidates therefore may not be predictive of the results of its planned Phase 1 and 2 trials. A number of companies in the biopharmaceutical industry have suffered significant setbacks in advanced clinical trials due to lack of efficacy or adverse safety profiles, notwithstanding promising results in earlier trials.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Success in preclinical testing and early clinical trials does not ensure that later clinical trials, which involve many more subjects and, for influenza, all four strains rather than the one strain Vaxart has studied in Phase 1 clinical trials to date and the results of later clinical trials may not replicate the results of prior clinical trials and preclinical testing.</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Vaxart may experience numerous unforeseen events during, or as a result of, clinical trials that could delay or prevent its ability to receive marketing approval or commercialize its tablet vaccine candidates, including that:</w:t>
      </w:r>
    </w:p>
    <w:p>
      <w:pPr>
        <w:spacing w:after="0" w:line="170" w:lineRule="exact"/>
        <w:rPr>
          <w:sz w:val="20"/>
          <w:szCs w:val="20"/>
          <w:color w:val="auto"/>
        </w:rPr>
      </w:pPr>
    </w:p>
    <w:p>
      <w:pPr>
        <w:ind w:left="660" w:right="480" w:hanging="329"/>
        <w:spacing w:after="0" w:line="27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Vaxart or its investigators to commence a clinical trial or conduct a clinical trial at a prospective trial site;</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it may have delays in reaching or fail to reach agreement on acceptable clinical trial contracts or clinical trial protocols with prospective trial sites;</w:t>
      </w:r>
    </w:p>
    <w:p>
      <w:pPr>
        <w:spacing w:after="0" w:line="246" w:lineRule="exact"/>
        <w:rPr>
          <w:rFonts w:ascii="Arial" w:cs="Arial" w:eastAsia="Arial" w:hAnsi="Arial"/>
          <w:sz w:val="16"/>
          <w:szCs w:val="16"/>
          <w:color w:val="auto"/>
        </w:rPr>
      </w:pPr>
    </w:p>
    <w:p>
      <w:pPr>
        <w:ind w:left="660" w:right="40" w:hanging="329"/>
        <w:spacing w:after="0" w:line="27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clinical trials of Vaxart’s tablet vaccine candidates may produce negative or inconclusive results, and Vaxart may decide, or regulators may require it, to conduct additional clinical trials or abandon product development programs;</w:t>
      </w:r>
    </w:p>
    <w:p>
      <w:pPr>
        <w:spacing w:after="0" w:line="169" w:lineRule="exact"/>
        <w:rPr>
          <w:rFonts w:ascii="Arial" w:cs="Arial" w:eastAsia="Arial" w:hAnsi="Arial"/>
          <w:sz w:val="18"/>
          <w:szCs w:val="18"/>
          <w:color w:val="auto"/>
        </w:rPr>
      </w:pPr>
    </w:p>
    <w:p>
      <w:pPr>
        <w:ind w:left="660" w:right="260" w:hanging="329"/>
        <w:spacing w:after="0" w:line="34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number of subjects required for clinical trials of its tablet vaccine candidates may be larger than Vaxart anticipates; enrollment in these clinical trials may be slower than Vaxart anticipates, or participants may drop out of these clinical trials at a higher rate than Vaxart anticipates;</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Vaxart third-party contractors may fail to comply with regulatory requirements or meet their contractual obligations to it in a timely manner, or at all;</w:t>
      </w:r>
    </w:p>
    <w:p>
      <w:pPr>
        <w:spacing w:after="0" w:line="246" w:lineRule="exact"/>
        <w:rPr>
          <w:rFonts w:ascii="Arial" w:cs="Arial" w:eastAsia="Arial" w:hAnsi="Arial"/>
          <w:sz w:val="16"/>
          <w:szCs w:val="16"/>
          <w:color w:val="auto"/>
        </w:rPr>
      </w:pPr>
    </w:p>
    <w:p>
      <w:pPr>
        <w:ind w:left="660" w:right="140" w:hanging="329"/>
        <w:spacing w:after="0" w:line="34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Vaxart or Vaxart’s investigators suspend or terminate clinical research for various reasons, including noncompliance with regulatory requirements or a finding that the participants are being exposed to unacceptable health risks;</w:t>
      </w:r>
    </w:p>
    <w:p>
      <w:pPr>
        <w:spacing w:after="0" w:line="124" w:lineRule="exact"/>
        <w:rPr>
          <w:rFonts w:ascii="Arial" w:cs="Arial" w:eastAsia="Arial" w:hAnsi="Arial"/>
          <w:sz w:val="16"/>
          <w:szCs w:val="16"/>
          <w:color w:val="auto"/>
        </w:rPr>
      </w:pPr>
    </w:p>
    <w:p>
      <w:pPr>
        <w:ind w:left="660" w:hanging="329"/>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 of clinical trials of its tablet vaccine candidates may be greater than it anticipates; and</w:t>
      </w:r>
    </w:p>
    <w:p>
      <w:pPr>
        <w:spacing w:after="0" w:line="223"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supply or quality of its tablet vaccine candidates or other materials necessary to conduct clinical trials of Vaxart’s tablet vaccine candidates may be insufficient or inadequate.</w:t>
      </w:r>
    </w:p>
    <w:p>
      <w:pPr>
        <w:sectPr>
          <w:pgSz w:w="11900" w:h="16838" w:orient="portrait"/>
          <w:cols w:equalWidth="0" w:num="1">
            <w:col w:w="11400"/>
          </w:cols>
          <w:pgMar w:left="240" w:top="118"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3" w:name="page64"/>
    <w:bookmarkEnd w:id="6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If Vaxart is required to conduct additional clinical trials or other testing of its tablet vaccine candidates beyond those that it currently contemplates, if it is unable to successfully complete clinical trials of its tablet vaccine candidates or other testing, if the results of these trials or tests are not positive or are only modestly positive or if there are safety concerns, Vaxart may:</w:t>
      </w:r>
    </w:p>
    <w:p>
      <w:pPr>
        <w:spacing w:after="0" w:line="183" w:lineRule="exact"/>
        <w:rPr>
          <w:sz w:val="20"/>
          <w:szCs w:val="20"/>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 delayed in obtaining marketing approval for its tablet vaccine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Product development costs will also increase if Vaxart experiences delays in testing or in receiving marketing approvals. Vaxart does not know whether any clinical trials will begin as planned, will need to be restructured or will be completed on schedule, or at all. Significant clinical trial delays also could shorten any periods during which Vaxart may have the exclusive right to commercialize Vaxart’s tablet vaccine candidates, could allow its competitors to bring products to market before it does, and could impair its ability to successfully commercialize its tablet vaccine candidates, any of which may harm its business and results of operations.</w:t>
      </w:r>
    </w:p>
    <w:p>
      <w:pPr>
        <w:spacing w:after="0" w:line="188" w:lineRule="exact"/>
        <w:rPr>
          <w:sz w:val="20"/>
          <w:szCs w:val="20"/>
          <w:color w:val="auto"/>
        </w:rPr>
      </w:pPr>
    </w:p>
    <w:p>
      <w:pPr>
        <w:jc w:val="both"/>
        <w:ind w:right="500"/>
        <w:spacing w:after="0" w:line="262" w:lineRule="auto"/>
        <w:rPr>
          <w:sz w:val="20"/>
          <w:szCs w:val="20"/>
          <w:color w:val="auto"/>
        </w:rPr>
      </w:pPr>
      <w:r>
        <w:rPr>
          <w:rFonts w:ascii="Arial" w:cs="Arial" w:eastAsia="Arial" w:hAnsi="Arial"/>
          <w:sz w:val="18"/>
          <w:szCs w:val="18"/>
          <w:b w:val="1"/>
          <w:bCs w:val="1"/>
          <w:i w:val="1"/>
          <w:iCs w:val="1"/>
          <w:color w:val="auto"/>
        </w:rPr>
        <w:t>Vaxart’s platform includes a novel vaccine adjuvant and all current Vaxart tablet vaccine candidates include this novel adjuvant, which may make it difficult for Vaxart to predict the time and cost of tablet vaccine development as well as the requirements the FDA or other regulatory agencies may impose to demonstrate the safety of the tablet vaccine candidates.</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Novel vaccine adjuvants, included in some of Vaxart’s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Vaxart’s tablet vaccine candidates, including for norovirus, may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in people with disease. Such extensive study has often included long-term monitoring of safety in large general populations that has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Vaxart’s tablet vaccine candidates in the United States or elsewhere.</w:t>
      </w:r>
    </w:p>
    <w:p>
      <w:pPr>
        <w:spacing w:after="0" w:line="183"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an expensive and time-consuming process and could be made more difficult or rendered impossible by multiple factors outside Vaxart’s control.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Vaxart may encounter delays in enrolling, or be unable to enroll, a sufficient number of participants to complete any of its clinical trials. Once enrolled, Vaxart may be unable to retain a sufficient number of participants to complete any of its trials. Late-stage clinical trials of its tablet vaccine candidate for norovirus,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more costly than animal based studies.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any negative results Vaxart may report in clinical trials of Vaxart’s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its ability to develop its tablet vaccine candidates, or could render further development impossible. In addition, Vaxart expects to rely on CROs and clinical trial sites to ensure proper and timely conduct of its future clinical trials and, while Vaxart intends to enter into agreements governing their services, it will be limited in its ability to compel their actual performance in compliance with applicable regulations. Enforcement actions brought against these third parties may cause further delays and expenses related to its clinical development programs.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Vaxart faces significant competition from other biotechnology and pharmaceutical companies, and its operating results will suffer if it fails to compete effectively.</w:t>
      </w:r>
    </w:p>
    <w:p>
      <w:pPr>
        <w:spacing w:after="0" w:line="17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Vaccine development is highly competitive and subject to rapid and significant technological advancements. In particular, for seasonal influenza vaccine, Vaxart faces competition from various sources, including larger and better funded pharmaceutical, specialty pharmaceutical and biotechnology companies, as well as academic institutions, governmental agencies and public and private research institutions. These competitors are focused on delivering therapeutics for the treatment of influenza with products that are available and have gained market acceptance as the standard treatment protocol. Further, it is likely that additional drugs or other treatments will become available in the future for the treatment of influenza.</w:t>
      </w:r>
    </w:p>
    <w:p>
      <w:pPr>
        <w:spacing w:after="0" w:line="176"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Many of Vaxart’s existing or potential competitors have substantially greater financial, technical and human resources than it does and significantly greater experience in the discovery and development of products for the treatment of influenza, as well as in obtaining regulatory approvals of those products in the United States and in foreign countries. Vaxart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its competitors.</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Competition may increase further as a result of advances in the commercial applicability of technologies and greater availability of capital for investment in these industries. Vaxart’s competitors may succeed in developing, acquiring or licensing, on an exclusive basis, drugs that are more effective or less costly than any tablet vaccine candidate that it may develop.</w:t>
      </w:r>
    </w:p>
    <w:p>
      <w:pPr>
        <w:spacing w:after="0" w:line="18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Vaxart will face competition from other drugs currently approved or that will be approved in the future for the treatment of the other infectious diseases it is currently targeting. Therefore, its ability to compete successfully will depend largely on its ability to:</w:t>
      </w:r>
    </w:p>
    <w:p>
      <w:pPr>
        <w:spacing w:after="0" w:line="170" w:lineRule="exact"/>
        <w:rPr>
          <w:sz w:val="20"/>
          <w:szCs w:val="20"/>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 and commercialize tablet vaccine candidates that are superior to other vaccines in the market;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demonstrate through its clinical trials that its tablet vaccine candidates are differentiated from existing and future therapies;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attract qualified scientific, vaccine development and commercial personnel;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its tablet vaccine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successfully develop and commercialize, independently or with collaborators, new tablet vaccine candidates.</w:t>
      </w:r>
    </w:p>
    <w:p>
      <w:pPr>
        <w:spacing w:after="0" w:line="224" w:lineRule="exact"/>
        <w:rPr>
          <w:sz w:val="20"/>
          <w:szCs w:val="20"/>
          <w:color w:val="auto"/>
        </w:rPr>
      </w:pPr>
    </w:p>
    <w:p>
      <w:pPr>
        <w:ind w:right="520"/>
        <w:spacing w:after="0" w:line="340" w:lineRule="auto"/>
        <w:rPr>
          <w:sz w:val="20"/>
          <w:szCs w:val="20"/>
          <w:color w:val="auto"/>
        </w:rPr>
      </w:pPr>
      <w:r>
        <w:rPr>
          <w:rFonts w:ascii="Arial" w:cs="Arial" w:eastAsia="Arial" w:hAnsi="Arial"/>
          <w:sz w:val="16"/>
          <w:szCs w:val="16"/>
          <w:color w:val="auto"/>
        </w:rPr>
        <w:t>The availability of its competitors’ vaccines could limit the demand, and the price it is able to charge, for any tablet vaccine candidate it develops. The inability to compete with existing or subsequently introduced vaccines would have an adverse impact on its business, financial condition and prospects.</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any of its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Vaxart’s competitors may succeed in obtaining patent protection, discovering, developing, receiving the FDA’s approval for or commercializing medicines before Vaxart does, which would have an adverse impact on its business and results of operations.</w:t>
      </w:r>
    </w:p>
    <w:p>
      <w:pPr>
        <w:spacing w:after="0" w:line="176"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Vaxart’s tablet vaccine candidates may cause adverse effects or have other properties that could delay or prevent their regulatory approval or limit the scope of any approved label or market acceptance.</w:t>
      </w:r>
    </w:p>
    <w:p>
      <w:pPr>
        <w:spacing w:after="0" w:line="170"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color w:val="auto"/>
        </w:rPr>
        <w:t>Adverse events caused by Vaxart’s tablet vaccine candidates could cause reviewing entities, clinical trial sites or regulatory authorities to interrupt, delay or halt clinical trials and could result in the denial of regulatory approval. If an unacceptable frequency or severity of adverse events are reported in its clinical trials for its tablet vaccine candidates, tis ability to obtain regulatory approval for such tablet vaccine candidates may be negatively impacted.</w:t>
      </w:r>
    </w:p>
    <w:p>
      <w:pPr>
        <w:spacing w:after="0" w:line="148"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color w:val="auto"/>
        </w:rPr>
        <w:t>Furthermore, if any of its tablet vaccines are approved and then cause serious or unexpected side effects, a number of potentially significant negative consequences could result, including:</w:t>
      </w:r>
    </w:p>
    <w:p>
      <w:pPr>
        <w:spacing w:after="0" w:line="170" w:lineRule="exact"/>
        <w:rPr>
          <w:sz w:val="20"/>
          <w:szCs w:val="20"/>
          <w:color w:val="auto"/>
        </w:rPr>
      </w:pPr>
    </w:p>
    <w:p>
      <w:pPr>
        <w:ind w:left="660" w:hanging="329"/>
        <w:spacing w:after="0" w:line="27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tablet vaccine candidates or impose restrictions on its distribution or other risk management measures;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ectPr>
          <w:pgSz w:w="11900" w:h="16838" w:orient="portrait"/>
          <w:cols w:equalWidth="0" w:num="1">
            <w:col w:w="11400"/>
          </w:cols>
          <w:pgMar w:left="240" w:top="118" w:right="25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Vaxart may be required to change the way its tablet vaccine candidates are administered or to conduct additional clinical trials;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Vaxart could be sued and held liable for injuries sustained by patients;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Vaxart could be subject to the Vaccine Injury Compensation Program;</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Vaxart could elect to discontinue the sale of its tablet vaccine candidates;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Vaxart’s reputation may suffer.</w:t>
      </w:r>
    </w:p>
    <w:p>
      <w:pPr>
        <w:spacing w:after="0" w:line="224"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Any of these events could prevent Vaxart from achieving or maintaining market acceptance of the affected tablet vaccine candidate and could substantially increase the costs of commercialization.</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b w:val="1"/>
          <w:bCs w:val="1"/>
          <w:i w:val="1"/>
          <w:iCs w:val="1"/>
          <w:color w:val="auto"/>
        </w:rPr>
        <w:t>If Vaxart is not able to obtain, or if there are delays in obtaining, required regulatory approvals, it will not be able to commercialize, or will be delayed in commercializing, its tablet vaccine candidates, and its ability to generate revenue will be impaired.</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Vaxart’s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marketing approval for a tablet vaccine candidate will prevent Vaxart from commercializing the tablet vaccine candidate. Vaxart has not received approval to market any of its tablet vaccine candidates from regulatory authorities in any jurisdiction. Vaxart has only limited experience in filing and supporting the applications necessary to gain marketing approvals and expect to rely on CROs to assist it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Vaxart’s tablet vaccine candidates may not be effective, may be only moderately effective or may prove to have undesirable or unintended side effects, toxicities or other characteristics that may preclude it obtaining marketing approval or prevent or limit commercial use.</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obtaining marketing approvals, both in the United States and elsewhere, is expensive, may take many years and can vary substantially based upon a variety of factors, including the type, complexity and novelty of the tablet vaccine candidates involved. Vaxart cannot assure you that it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Vaxart’s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Vaxart ultimately obtains may be limited or subject to restrictions or post-approval commitments that render the approved product not commercially viable.</w:t>
      </w:r>
    </w:p>
    <w:p>
      <w:pPr>
        <w:spacing w:after="0" w:line="181"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i w:val="1"/>
          <w:iCs w:val="1"/>
          <w:color w:val="auto"/>
        </w:rPr>
        <w:t>Even if Vaxart obtains FDA approval in the United States, it may never obtain approval for or commercialize its tablet vaccine candidates in any other jurisdiction, which would limit its ability to realize each product’s full market potential.</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order to market any of Vaxart’s tablet vaccine candidates in a particular jurisdiction, Vaxart must establish and comply with numerous and varying regulatory requirements on a country-by-country basis regarding safety and efficacy. Approval by the FDA in the United States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Vaxart and require additional preclinical studies or clinical trials which could be costly and time consuming. Regulatory requirements can vary widely from country to country and could delay or prevent the introduction of its tablet vaccine candidates in those countries. Vaxart does not have any tablet vaccine candidates approved for sale in any jurisdiction, including in international markets, and it does not have experience in obtaining regulatory approval in international markets. If Vaxart fails to comply with regulatory requirements in international markets or to obtain and maintain required approvals, or if regulatory approvals in international markets are delayed, Vaxart’s target market will be reduced and Vaxart’s ability to realize the full market potential of any tablet vaccine candidate Vaxart develops will be unrealized.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Even if Vaxart obtains regulatory approval, it will still face extensive ongoing regulatory requirements and its tablet vaccine candidates may face future development and regulatory difficulties.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Any tablet vaccine candidate for which it obtains marketing approval, along with the manufacturing processes, post- 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GCP requirements for any clinical trials that Vaxart conducts post-approval. Even if marketing approval of a tablet vaccine candidate is granted, the approval may be subject to limitations on the indicated uses for which the tablet vaccine candidates may be marketed or to the conditions of approval. If its tablet vaccine candidate receives marketing approval, the accompanying label may limit the approved use of Vaxart’s tablet vaccine, which could limit sales.</w:t>
      </w:r>
    </w:p>
    <w:p>
      <w:pPr>
        <w:spacing w:after="0" w:line="166"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and/or efficacy of its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Vaxart does not market Vaxart’s tablet vaccine candidates for their approved indications, Vaxart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spacing w:after="0" w:line="16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In addition, later discovery of previously unknown adverse events or other problems with Vaxart’s tablet vaccine candidates, manufacturers or manufacturing processes, or failure to comply with regulatory requirements, may yield various results, including:</w:t>
      </w:r>
    </w:p>
    <w:p>
      <w:pPr>
        <w:spacing w:after="0" w:line="170" w:lineRule="exact"/>
        <w:rPr>
          <w:sz w:val="20"/>
          <w:szCs w:val="20"/>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on manufacturing such tablet vaccine candidate;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on the labeling or marketing of a tablet vaccine candidate;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on tablet vaccine distribution or use;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withdrawal of the tablet vaccine candidate from the market;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Vaxart submits;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recall of such tablet vaccine candidate;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refusal to permit the import or export of such tablet vaccine candidate;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tablet vaccine candidate seizure;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any of its tablet vaccine candidates. If Vaxart is slow or unable to adapt to changes in existing requirements or the adoption of new requirements or policies, or if Vaxart is not able to maintain regulatory compliance, it may lose any marketing approval that it may have obtained.</w:t>
      </w:r>
    </w:p>
    <w:p>
      <w:pPr>
        <w:spacing w:after="0" w:line="165"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Even if Vaxart’s tablet vaccine candidates receive marketing approval, they may fail to achieve market acceptance by physicians, patients, third-party payors or others in the medical community necessary for commercial success.</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If Vaxart’s tablet vaccine candidates, including its vaccine for norovirus, receive marketing approval, they may nonetheless fail to gain sufficient market acceptance by physicians, patients, third-party payors and others in the medical community. If they do not achieve an adequate level of acceptance, Vaxart may not generate significant revenues and become profitable. The degree of market acceptance, if approved for commercial sale, will depend on a number of factors, including but not limited to:</w:t>
      </w:r>
    </w:p>
    <w:p>
      <w:pPr>
        <w:spacing w:after="0" w:line="187" w:lineRule="exact"/>
        <w:rPr>
          <w:sz w:val="20"/>
          <w:szCs w:val="20"/>
          <w:color w:val="auto"/>
        </w:rPr>
      </w:pPr>
    </w:p>
    <w:p>
      <w:pPr>
        <w:ind w:left="660" w:hanging="329"/>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ectPr>
          <w:pgSz w:w="11900" w:h="16838" w:orient="portrait"/>
          <w:cols w:equalWidth="0" w:num="1">
            <w:col w:w="11340"/>
          </w:cols>
          <w:pgMar w:left="240" w:top="118" w:right="319" w:bottom="1440" w:gutter="0" w:footer="0" w:header="0"/>
        </w:sect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67" w:name="page68"/>
    <w:bookmarkEnd w:id="6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Vaxart’s ability to offer its tablet vaccine candidates for sale at competitive prices;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willingness of the medical community to offer customers its tablet vaccine candidate option in addition to or in the place of injectable vaccines;</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restrictions on the use of its tablet vaccine together with other medications.</w:t>
      </w:r>
    </w:p>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Because Vaxart expects sales of its tablet vaccine candidates for norovirus, if approved, to generate substantially all of its revenues for the foreseeable future, the failure of this tablet vaccine to achieve market acceptance would harm its business and could require it to seek additional financing sooner than it otherwise plans.</w:t>
      </w:r>
    </w:p>
    <w:p>
      <w:pPr>
        <w:spacing w:after="0" w:line="183" w:lineRule="exact"/>
        <w:rPr>
          <w:sz w:val="20"/>
          <w:szCs w:val="20"/>
          <w:color w:val="auto"/>
        </w:rPr>
      </w:pPr>
    </w:p>
    <w:p>
      <w:pPr>
        <w:ind w:right="340"/>
        <w:spacing w:after="0" w:line="340" w:lineRule="auto"/>
        <w:rPr>
          <w:sz w:val="20"/>
          <w:szCs w:val="20"/>
          <w:color w:val="auto"/>
        </w:rPr>
      </w:pPr>
      <w:r>
        <w:rPr>
          <w:rFonts w:ascii="Arial" w:cs="Arial" w:eastAsia="Arial" w:hAnsi="Arial"/>
          <w:sz w:val="16"/>
          <w:szCs w:val="16"/>
          <w:b w:val="1"/>
          <w:bCs w:val="1"/>
          <w:i w:val="1"/>
          <w:iCs w:val="1"/>
          <w:color w:val="auto"/>
        </w:rPr>
        <w:t>If Vaxart fails to comply with state and federal healthcare regulatory laws, it could face substantial penalties, damages, fines, disgorgement, exclusion from participation in governmental healthcare programs, and the curtailment of its operations, any of which could harm its business.</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Although Vaxart does not provide healthcare services, submit claims for third-party reimbursement, it is subject to healthcare fraud and abuse regulation and enforcement by federal and state governments, which could significantly impact its business. The laws that may affect its ability to operate include, but are not limited to:</w:t>
      </w:r>
    </w:p>
    <w:p>
      <w:pPr>
        <w:spacing w:after="0" w:line="183" w:lineRule="exact"/>
        <w:rPr>
          <w:sz w:val="20"/>
          <w:szCs w:val="20"/>
          <w:color w:val="auto"/>
        </w:rPr>
      </w:pPr>
    </w:p>
    <w:p>
      <w:pPr>
        <w:ind w:left="660" w:right="180" w:hanging="329"/>
        <w:spacing w:after="0" w:line="25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88" w:lineRule="exact"/>
        <w:rPr>
          <w:rFonts w:ascii="Arial" w:cs="Arial" w:eastAsia="Arial" w:hAnsi="Arial"/>
          <w:sz w:val="18"/>
          <w:szCs w:val="18"/>
          <w:color w:val="auto"/>
        </w:rPr>
      </w:pPr>
    </w:p>
    <w:p>
      <w:pPr>
        <w:ind w:left="660" w:hanging="329"/>
        <w:spacing w:after="0" w:line="27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civil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p>
      <w:pPr>
        <w:spacing w:after="0" w:line="170" w:lineRule="exact"/>
        <w:rPr>
          <w:rFonts w:ascii="Arial" w:cs="Arial" w:eastAsia="Arial" w:hAnsi="Arial"/>
          <w:sz w:val="17"/>
          <w:szCs w:val="17"/>
          <w:color w:val="auto"/>
        </w:rPr>
      </w:pPr>
    </w:p>
    <w:p>
      <w:pPr>
        <w:ind w:left="660" w:right="440" w:hanging="329"/>
        <w:spacing w:after="0" w:line="27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criminal FCA, which imposes criminal fines or imprisonment against individuals or entities who make or present a claim to the government knowing such claim to be false, fictitious or fraudulent;</w:t>
      </w:r>
    </w:p>
    <w:p>
      <w:pPr>
        <w:spacing w:after="0" w:line="169"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HIPAA, which created federal criminal laws that prohibit executing a scheme to defraud any healthcare benefit program or making false statements relating to healthcare matters;</w:t>
      </w:r>
    </w:p>
    <w:p>
      <w:pPr>
        <w:spacing w:after="0" w:line="169" w:lineRule="exact"/>
        <w:rPr>
          <w:rFonts w:ascii="Arial" w:cs="Arial" w:eastAsia="Arial" w:hAnsi="Arial"/>
          <w:sz w:val="18"/>
          <w:szCs w:val="18"/>
          <w:color w:val="auto"/>
        </w:rPr>
      </w:pPr>
    </w:p>
    <w:p>
      <w:pPr>
        <w:ind w:left="660" w:right="240" w:hanging="329"/>
        <w:spacing w:after="0" w:line="262"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83" w:lineRule="exact"/>
        <w:rPr>
          <w:rFonts w:ascii="Arial" w:cs="Arial" w:eastAsia="Arial" w:hAnsi="Arial"/>
          <w:sz w:val="18"/>
          <w:szCs w:val="18"/>
          <w:color w:val="auto"/>
        </w:rPr>
      </w:pPr>
    </w:p>
    <w:p>
      <w:pPr>
        <w:ind w:left="660" w:right="320" w:hanging="329"/>
        <w:spacing w:after="0" w:line="25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86" w:lineRule="exact"/>
        <w:rPr>
          <w:rFonts w:ascii="Arial" w:cs="Arial" w:eastAsia="Arial" w:hAnsi="Arial"/>
          <w:sz w:val="18"/>
          <w:szCs w:val="18"/>
          <w:color w:val="auto"/>
        </w:rPr>
      </w:pPr>
    </w:p>
    <w:p>
      <w:pPr>
        <w:ind w:left="660" w:hanging="329"/>
        <w:spacing w:after="0" w:line="295"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p>
      <w:pPr>
        <w:sectPr>
          <w:pgSz w:w="11900" w:h="16838" w:orient="portrait"/>
          <w:cols w:equalWidth="0" w:num="1">
            <w:col w:w="11400"/>
          </w:cols>
          <w:pgMar w:left="240" w:top="118" w:right="25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Affordable Care Act provided that the government may assert that a claim including items or services resulting from a violation of the federal Anti- Kickback Statute constitutes a false or fraudulent claim for purposes of the FCA. Moreover, while it does not submit claims and its customers make the ultimate decision on how to submit claims, from time to time, Vaxart may provide reimbursement guidance to its customers. If a government authority were to conclude that Vaxart provided improper advice to its customers or encouraged the submission of false claims for reimbursement, it could face action against it by government authorities. Any violations of these laws, or any action against Vaxart for violation of these laws, even if Vaxart successfully defends against it, could result in a material adverse effect on its reputation, business, results of operations and financial condition.</w:t>
      </w:r>
    </w:p>
    <w:p>
      <w:pPr>
        <w:spacing w:after="0" w:line="16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Vaxart has entered into consulting and scientific advisory board arrangements with physicians and other healthcare providers. Compensation for some of these arrangements includes the provision of stock options. While Vaxart has worked to structure Vaxart’s arrangements to comply with applicable laws, because of the complex and far-reaching nature of these laws, regulatory agencies may view these transactions as prohibited arrangements that must be restructured, or discontinued, or for which it could be subject to other significant penalties. Vaxart could be adversely affected if regulatory agencies interpret Vaxart’s financial relationships with providers who influence the ordering of and use Vaxart’s products to be in violation of applicable laws.</w:t>
      </w:r>
    </w:p>
    <w:p>
      <w:pPr>
        <w:spacing w:after="0" w:line="16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color w:val="auto"/>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Vaxart’s costs or otherwise have an adverse effect on its business.</w:t>
      </w:r>
    </w:p>
    <w:p>
      <w:pPr>
        <w:spacing w:after="0" w:line="148"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b w:val="1"/>
          <w:bCs w:val="1"/>
          <w:i w:val="1"/>
          <w:iCs w:val="1"/>
          <w:color w:val="auto"/>
        </w:rPr>
        <w:t>Product liability lawsuits against Vaxart could cause it to incur substantial liabilities and could limit the commercialization of any tablet vaccine candidates it may develop.</w:t>
      </w:r>
    </w:p>
    <w:p>
      <w:pPr>
        <w:spacing w:after="0" w:line="17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Vaxart faces an inherent risk of product liability exposure related to the testing of its tablet vaccine candidates in human clinical trials and will face an even greater risk if it commercially sell any products that it may develop after approval. For instance, since Vaxart’s norovirus tablet challenge study is being conducted in healthy human volunteers, any adverse reactions could result in claims from these injuries and Vaxart could incur substantial liabilities. Regardless of merit or eventual outcome, liability claims may result in:</w:t>
      </w:r>
    </w:p>
    <w:p>
      <w:pPr>
        <w:spacing w:after="0" w:line="187" w:lineRule="exact"/>
        <w:rPr>
          <w:sz w:val="20"/>
          <w:szCs w:val="20"/>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decreased demand for any tablet vaccine candidates that it may develop;</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injury to Vaxart’s reputation and significant negative media attention;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inability to commercialize any products it may develop.</w:t>
      </w: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Although Vaxart maintains product liability insurance coverage in the amount of up to $5 million per claim and in the aggregate, it may not be adequate to cover all liabilities that it may incur. Additionally, seasonal influenza is a covered vaccine of the National Vaccine Injury Compensation Program, and Vaxart’s participation in that program may require time and resources that impede product uptake, if approved. Vaxart anticipates that it will need to increase its insurance coverage as it continues clinical trials and if it successfully commercializes any products. Insurance coverage is increasingly expensive. Vaxart may not be able to maintain insurance coverage at a reasonable cost or in an amount adequate to satisfy any liability that may arise.</w:t>
      </w:r>
    </w:p>
    <w:p>
      <w:pPr>
        <w:spacing w:after="0" w:line="176"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b w:val="1"/>
          <w:bCs w:val="1"/>
          <w:i w:val="1"/>
          <w:iCs w:val="1"/>
          <w:color w:val="auto"/>
        </w:rPr>
        <w:t>If Vaxart is unable to establish sales, marketing and distribution capabilities either on its own or in collaboration with third parties, it may not be successful in commercializing Vaxart’s tablet vaccine candidates, if approved.</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Vaxart does not have any infrastructure for the sales, marketing or distribution of its tablet vaccine candidates, and the cost of establishing and maintaining such an organization may exceed the cost-effectiveness of doing so. In order to market any tablet vaccine candidates that may be approved, it must build Vaxart’s sales, distribution, marketing, managerial and other non-technical capabilities or make arrangements with third parties to perform these services. To achieve commercial success for any tablet vaccine candidates for which it has obtained marketing approval, it will need a sales and marketing organization. While Vaxart does expect to partner its tablet vaccines for seasonal influenza and RSV, Vaxart expects to build a focused sales, distribution and marketing infrastructure to market its other tablet vaccine candidates in the United States, if approved. There are significant expenses and risks involved with establishing its own sales, marketing and distribution capabilities, including its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its internal sales, marketing and distribution capabilities could delay any tablet vaccine candidate launch, which would adversely impact commercialization.</w:t>
      </w:r>
    </w:p>
    <w:p>
      <w:pPr>
        <w:sectPr>
          <w:pgSz w:w="11900" w:h="16838" w:orient="portrait"/>
          <w:cols w:equalWidth="0" w:num="1">
            <w:col w:w="11380"/>
          </w:cols>
          <w:pgMar w:left="240" w:top="118" w:right="27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69" w:name="page70"/>
    <w:bookmarkEnd w:id="6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Vaxart’s efforts to commercialize Vaxart’s tablet vaccine candidates on its own include:</w:t>
      </w:r>
    </w:p>
    <w:p>
      <w:pPr>
        <w:spacing w:after="0" w:line="224" w:lineRule="exact"/>
        <w:rPr>
          <w:sz w:val="20"/>
          <w:szCs w:val="20"/>
          <w:color w:val="auto"/>
        </w:rPr>
      </w:pPr>
    </w:p>
    <w:p>
      <w:pPr>
        <w:ind w:left="660" w:hanging="329"/>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Vaxart’s inability to recruit, train and retain adequate numbers of effective sales and marketing personnel;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attain adequate numbers of physicians to administer its tablet vaccines; and</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Vaxart intends to pursue collaborative arrangements regarding the sale and marketing of its tablet vaccine candidates, if approved, for certain international markets; however, it may not be able to establish or maintain such collaborative arrangements, if able to do so, that its collaborators may not have effective sales. To the extent that Vaxart depends on third parties for marketing and distribution, any revenues it receives will depend upon the efforts of such third parties, and there can be no assurance that such efforts will be successful.</w:t>
      </w:r>
    </w:p>
    <w:p>
      <w:pPr>
        <w:spacing w:after="0" w:line="18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Vaxart is unable to build its own sales force in the United States or negotiate a collaborative relationship for the commercialization of its tablet vaccine candidates outside the United States it may be forced to delay the potential commercialization or reduce the scope of its sales or marketing activities. Vaxart could have to enter into arrangements with third parties or otherwise at an earlier stage than it would otherwise choose and it may be required to relinquish rights to its intellectual property or otherwise agree to terms unfavorable to it, any of which may have an adverse effect on its business, operating results and prospects.</w:t>
      </w:r>
    </w:p>
    <w:p>
      <w:pPr>
        <w:spacing w:after="0" w:line="188"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Vaxart may be competing with many companies that currently have extensive and well-funded marketing and sales operations. Without an internal team or the support of a third-party to perform marketing and sales functions, it may be unable to compete successfully against these more established companies.</w:t>
      </w:r>
    </w:p>
    <w:p>
      <w:pPr>
        <w:spacing w:after="0" w:line="12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b w:val="1"/>
          <w:bCs w:val="1"/>
          <w:i w:val="1"/>
          <w:iCs w:val="1"/>
          <w:color w:val="auto"/>
        </w:rPr>
        <w:t>If Vaxart obtains approval to commercialize any tablet vaccine candidates outside of the United States, a variety of risks associated with international operations could harm its business.</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its tablet vaccine candidates are approved for commercialization, Vaxart intend to enter into agreements with third parties to market them in certain jurisdictions outside the United States. Vaxart expects that it will be subject to additional risks related to international operations or entering into international business relationships, including:</w:t>
      </w:r>
    </w:p>
    <w:p>
      <w:pPr>
        <w:spacing w:after="0" w:line="183" w:lineRule="exact"/>
        <w:rPr>
          <w:sz w:val="20"/>
          <w:szCs w:val="20"/>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foreign taxes;</w:t>
      </w:r>
    </w:p>
    <w:p>
      <w:pPr>
        <w:spacing w:after="0" w:line="223" w:lineRule="exact"/>
        <w:rPr>
          <w:rFonts w:ascii="Arial" w:cs="Arial" w:eastAsia="Arial" w:hAnsi="Arial"/>
          <w:sz w:val="18"/>
          <w:szCs w:val="18"/>
          <w:color w:val="auto"/>
        </w:rPr>
      </w:pPr>
    </w:p>
    <w:p>
      <w:pPr>
        <w:ind w:left="660" w:right="440" w:hanging="329"/>
        <w:spacing w:after="0" w:line="27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3"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tablet vaccination shortages resulting from any events affecting raw material supply or manufacturing capabilities abroad; and</w:t>
      </w:r>
    </w:p>
    <w:p>
      <w:pPr>
        <w:spacing w:after="0" w:line="22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Vaxart has no prior experience in these areas. In addition, there are complex regulatory, tax, labor and other legal requirements imposed by both the European Union and many of the individual countries in Europe with which it will need to comply.</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Vaxart to obtain marketing approval of and commercialize Vaxart’s tablet vaccine candidates and affect the prices Vaxart may obtain.</w:t>
      </w:r>
    </w:p>
    <w:p>
      <w:pPr>
        <w:spacing w:after="0" w:line="170"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among other things, prevent or delay marketing approval of Vaxart’s tablet vaccine candidates, restrict or regulate post-approval activities and affect Vaxart’s ability to profitably sell any tablet vaccine candidates for which it obtains marketing approval.</w:t>
      </w:r>
    </w:p>
    <w:p>
      <w:pPr>
        <w:spacing w:after="0" w:line="16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Education Reconciliation Act, collectively the Affordable Care Act,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Although the full effect of the Affordable Care Act may not yet be fully understood, the law has continued the downward pressure on pharmaceutical pricing, especially under the Medicare program, and increased the industry’s regulatory burdens and operating costs.</w:t>
      </w:r>
    </w:p>
    <w:p>
      <w:pPr>
        <w:spacing w:after="0" w:line="161"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auto"/>
        </w:rPr>
        <w:t>Moreover, the Drug Supply Chain Security Act imposes obligations on manufacturers of prescription drugs in finished dosage forms. Vaxart has not yet adopted the significant measures that will be required to comply with this law. Vaxart is not sure whether additional legislative changes will be enacted, or whether the current regulations, guidance or interpretations will be changed, or what the impact of such changes on Vaxart’s business, if any, may be.</w:t>
      </w:r>
    </w:p>
    <w:p>
      <w:pPr>
        <w:spacing w:after="0" w:line="148" w:lineRule="exact"/>
        <w:rPr>
          <w:sz w:val="20"/>
          <w:szCs w:val="20"/>
          <w:color w:val="auto"/>
        </w:rPr>
      </w:pPr>
    </w:p>
    <w:p>
      <w:pPr>
        <w:ind w:right="20"/>
        <w:spacing w:after="0" w:line="340" w:lineRule="auto"/>
        <w:rPr>
          <w:sz w:val="20"/>
          <w:szCs w:val="20"/>
          <w:color w:val="auto"/>
        </w:rPr>
      </w:pPr>
      <w:r>
        <w:rPr>
          <w:rFonts w:ascii="Arial" w:cs="Arial" w:eastAsia="Arial" w:hAnsi="Arial"/>
          <w:sz w:val="16"/>
          <w:szCs w:val="16"/>
          <w:color w:val="auto"/>
        </w:rPr>
        <w:t>Vaxart expects that additional state and federal healthcare reform measures will be adopted in the future, any of which could limit the amounts that federal and state governments will pay for healthcare vaccines, which could result in reduced demand for its tablet vaccine candidates or additional pricing pressures.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involvement may limit the commercial success of its tablet vaccine candidates for influenza.</w:t>
      </w:r>
    </w:p>
    <w:p>
      <w:pPr>
        <w:spacing w:after="0" w:line="224" w:lineRule="exact"/>
        <w:rPr>
          <w:sz w:val="20"/>
          <w:szCs w:val="20"/>
          <w:color w:val="auto"/>
        </w:rPr>
      </w:pPr>
    </w:p>
    <w:p>
      <w:pPr>
        <w:jc w:val="both"/>
        <w:ind w:right="500"/>
        <w:spacing w:after="0" w:line="285" w:lineRule="auto"/>
        <w:rPr>
          <w:sz w:val="20"/>
          <w:szCs w:val="20"/>
          <w:color w:val="auto"/>
        </w:rPr>
      </w:pPr>
      <w:r>
        <w:rPr>
          <w:rFonts w:ascii="Arial" w:cs="Arial" w:eastAsia="Arial" w:hAnsi="Arial"/>
          <w:sz w:val="17"/>
          <w:szCs w:val="17"/>
          <w:color w:val="auto"/>
        </w:rPr>
        <w:t>If an influenza outbreak occurs and is classified as a pandemic or large epidemic by public health authorities, it is possible that one or more government entities may take actions that directly or indirectly have the effect of abrogating some of Vaxart’s rights or opportunities. Vaxart has not manufactured a pandemic vaccine to date, but if Vaxart were to do so, the economic value of such a vaccine to it could be limited.</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influenza, which may have the effect of increasing the number of competitors and/or providing advantages to known competitors. Accordingly, there can be no assurance that Vaxart will be able to successfully establish competitive market share for Vaxart’s influenza vaccines.</w:t>
      </w:r>
    </w:p>
    <w:p>
      <w:pPr>
        <w:spacing w:after="0" w:line="18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current influenza vaccines are generally trivalent (contain three strains) or quadrivalent (contain four strains). If the FDA requires or recommends, changes in influenza vaccines, for example for a monovalent vaccine or for use of a strain that is not currently circulating in the human population, it is uncertain whether it will be able to produce or manufacture such a vaccine at commercially reasonable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its target indications, in particular influenza, may cause significant fluctuations in its operating results.</w:t>
      </w:r>
    </w:p>
    <w:p>
      <w:pPr>
        <w:spacing w:after="0" w:line="22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Influenza is seasonal in nature with sales of current vaccines occurring primarily in the first and fourth quarters of the calendar year. In addition, outbreaks of norovirus and RSV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Vaxart’s headquarters is located near known earthquake fault zones. The occurrence of an earthquake, fire or any other catastrophic event could disrupt operations or the operations of third parties who provide vital support functions to Vaxart, which could have a material adverse effect on Vaxart’s business and financial condition.</w:t>
      </w:r>
    </w:p>
    <w:p>
      <w:pPr>
        <w:spacing w:after="0" w:line="18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Vaxart is vulnerable to damage from catastrophic events, such as power loss, natural disasters, terrorism and similar unforeseen events beyond Vaxart’s control. Vaxart’s corporate headquarters and other facilities are located in the San Francisco Bay Area, which in the past has experienced severe earthquakes and fires.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780"/>
        <w:spacing w:after="0" w:line="306" w:lineRule="auto"/>
        <w:rPr>
          <w:sz w:val="20"/>
          <w:szCs w:val="20"/>
          <w:color w:val="auto"/>
        </w:rPr>
      </w:pPr>
      <w:r>
        <w:rPr>
          <w:rFonts w:ascii="Arial" w:cs="Arial" w:eastAsia="Arial" w:hAnsi="Arial"/>
          <w:sz w:val="17"/>
          <w:szCs w:val="17"/>
          <w:color w:val="auto"/>
        </w:rPr>
        <w:t>Vaxart does not have a disaster recovery and business continuity plan in place. Earthquakes or other natural disasters could severely disrupt Vaxart’s operations, and have a material adverse effect on Vaxart’s business, results of operations, financial condition and prospects.</w:t>
      </w:r>
    </w:p>
    <w:p>
      <w:pPr>
        <w:spacing w:after="0" w:line="14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If a natural disaster, power outage or other event occurred that prevented Vaxart from using all or a significant portion of its headquarters, damaged critical infrastructure, such as its financial systems or manufacturing facility, or that otherwise disrupted operations, it may be difficult or, in certain cases, impossible for Vaxart to continue business operations for a substantial period of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Vaxart’s Dependence on Third Parties</w:t>
      </w: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Vaxart intends to manufacture the vaccine tablets for the upcoming clinical studies for the foreseeable future at its own facility. If Vaxart is unable to do so, or is delayed, or if the cost of manufacturing is not economically feasible or if Vaxart cannot find a third-party supplier, Vaxart may be unable to produce tablet vaccine candidates in a sufficient quantity to meet future demand.</w:t>
      </w:r>
    </w:p>
    <w:p>
      <w:pPr>
        <w:spacing w:after="0" w:line="183"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From 2012 through the end of December 2017, Vaxart has relied on a third-party contract manufacturer, Lonza Houston, Inc., for the manufacture, labeling, packaging, storage, and distribution of vaccine tablets to supply the clinical phase 1 and phase 2 trials it has conducted to date. Going forward, Vaxart intends to manufacture Phase 1 and Phase 2 clinical trial materials for all its vaccine candidates at its own facility in South San Francisco, California. This transition may result in unanticipated delays and cost more than expected due to a number of factors, including regulatory requirements.</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Vaxart is not able to manufacture sufficient quantities of its tablet vaccine candidates, Vaxart’s development activities would be impaired. In addition, Vaxart’s manufacturing facility will be subject to ongoing, periodic inspection by the FDA or other comparable regulatory agencies to ensure compliance with cGMP. Vaxart’s failure to follow and document Vaxart’s adherence to such cGMP regulations or other regulatory requirements may lead to significant delays in the availability of clinical bulk drug substance and finished vaccine tablets for clinical trials, which may result in the termination of or a hold on a clinical trial, or may delay or prevent filing or approval of marketing applications for Vaxart’s tablet vaccine candidates. Vaxart also may encounter problems with the following:</w:t>
      </w:r>
    </w:p>
    <w:p>
      <w:pPr>
        <w:spacing w:after="0" w:line="193" w:lineRule="exact"/>
        <w:rPr>
          <w:sz w:val="20"/>
          <w:szCs w:val="20"/>
          <w:color w:val="auto"/>
        </w:rPr>
      </w:pPr>
    </w:p>
    <w:p>
      <w:pPr>
        <w:ind w:left="660" w:right="140" w:hanging="329"/>
        <w:spacing w:after="0" w:line="27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FDA or other comparable regulatory agency standards or specifications with consistent and acceptable production yield and costs;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ongoing compliance with cGMP regulations and other requirements of the FDA or other comparable regulatory agencies.</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Developing advanced manufacturing techniques and process controls is required to fully utilize Vaxart’s facilities. Advances in manufacturing techniques may render Vaxart’s facilities and equipment inadequate or obsolete.</w:t>
      </w:r>
    </w:p>
    <w:p>
      <w:pPr>
        <w:spacing w:after="0" w:line="17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If Vaxart encounters any of these problems or is otherwise delayed, or if the cost of manufacturing at the South San Francisco facility is not economically feasible or Vaxart cannot find a third-party supplier, Vaxart may not be able to produce tablet vaccine candidates in a sufficient quantity to meet future demand.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Vaxart may not be able to manufacture its tablet vaccine candidate in sufficient quantities to commercialize Vaxart’s tablet vaccine candidates.</w:t>
      </w:r>
    </w:p>
    <w:p>
      <w:pPr>
        <w:spacing w:after="0" w:line="24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receive FDA approval of Vaxart’s tablet vaccine candidates, Vaxart will need to manufacture such tablet vaccine candidates in larger quantities. Vaxart may not be able to increase successfully the manufacturing capacity for its tablet vaccine candidates in a timely or economic manner, or at all. In the event FDA approval is received, Vaxart will need to increase production of its tablet vaccine candidates. Significant scale-up of manufacturing may require additional validation studies, which the FDA must review and approve. If Vaxart is unable to successfully increase the manufacturing capacity for its tablet vaccine candidates, the clinical trials as well as the regulatory approval or commercial launch of Vaxart’s tablet vaccine candidates may be delayed or there may be a shortage in supply. Vaxart’s tablet vaccine candidates requires precise, high quality manufacturing. Failure to achieve and maintain high quality manufacturing, including the incidence of manufacturing errors, could result in patient injury or death, delays or failures in testing or delivery, cost overruns or other problems that could harm Vaxart’s business, financial condition and results of operations.</w:t>
      </w:r>
    </w:p>
    <w:p>
      <w:pPr>
        <w:spacing w:after="0" w:line="16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The manufacture of pharmaceutical products in compliance with cGMP regulations requires significant expertise and capital investment, including the development of advanced manufacturing techniques and process controls.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Manufacturers of pharmaceutical products often encounter difficulties in production, including difficulties with production costs and yields, quality control, including stability of the tablet vaccine candidates and quality assurance testing, or shortages of qualified personnel. If Vaxart were to encounter any of these difficulties or otherwise fail to comply with its obligations under applicable regulations, Vaxart’s ability to provide study materials in Vaxart’s clinical trials would be jeopardized. Any delay or interruption in the supply of clinical trial materials could delay the completion of its clinical trials, increase the costs associated with maintaining Vaxart’s clinical trial programs and, depending upon the period of delay, require Vaxart to commence new trials at significant additional expense or terminate the studies and trials completely.</w:t>
      </w:r>
    </w:p>
    <w:p>
      <w:pPr>
        <w:sectPr>
          <w:pgSz w:w="11900" w:h="16838" w:orient="portrait"/>
          <w:cols w:equalWidth="0" w:num="1">
            <w:col w:w="11420"/>
          </w:cols>
          <w:pgMar w:left="240" w:top="118"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2" w:name="page73"/>
    <w:bookmarkEnd w:id="7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Vaxart must comply with cGMP requirements enforced by the FDA through its facilities inspection program. These requirements include, among other things, quality control, quality assurance and the maintenance of records and documentation. Manufacturers of Vaxart’s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Vaxart has little control over Vaxart’s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Vaxart or its third-party manufacturers’ failure to adhere to applicable laws or for other reasons, Vaxart may not be able to obtain regulatory approval for or successfully commercialize Vaxart’s products, and Vaxart may be held liable for any injuries sustained as a result. Any of these factors could cause a delay of clinical trials, regulatory submissions, approvals or commercialization of its tablet vaccine candidates Vaxart may develop or acquire in the future or entail higher costs or impair its reputation.</w:t>
      </w:r>
    </w:p>
    <w:p>
      <w:pPr>
        <w:spacing w:after="0" w:line="169"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b w:val="1"/>
          <w:bCs w:val="1"/>
          <w:i w:val="1"/>
          <w:iCs w:val="1"/>
          <w:color w:val="auto"/>
        </w:rPr>
        <w:t>Vaxart relies on single source vendors for key tablet vaccine components and certain strains needed in current tablet vaccine candidates, which could impair Vaxart’s ability to manufacture and supply its tablet vaccine candidates.</w:t>
      </w:r>
    </w:p>
    <w:p>
      <w:pPr>
        <w:spacing w:after="0" w:line="170"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Vaxart currently depend on single source vendors for certain raw materials used in the manufacture of Vaxart’s tablet vaccine candidates. Any production shortfall that impairs the supply of the relevant raw materials could have a material adverse effect on Vaxart’s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adversely affect Vaxart’s operating results materially or Vaxart’s ability to conduct clinical trials, either of which could significantly harm Vaxart’s business.</w:t>
      </w:r>
    </w:p>
    <w:p>
      <w:pPr>
        <w:spacing w:after="0" w:line="161"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i w:val="1"/>
          <w:iCs w:val="1"/>
          <w:color w:val="auto"/>
        </w:rPr>
        <w:t>Vaxart intends to rely on third parties to conduct, supervise and monitor Vaxart’s clinical trials, and if those third parties perform in an unsatisfactory manner, it may harm Vaxart’s business.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Vaxart intends to rely on CROs and clinical trial sites to ensure the proper and timely conduct of its clinical trials, and Vaxart expects to have limited influence over their actual performance.</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Vaxart intends to rely upon CROs to monitor and manage data for its clinical programs, as well as the execution of future nonclinical studies. Vaxart expects to control only certain aspects of its CROs’ activities. Nevertheless, Vaxart will be responsible for ensuring that each of its studies is conducted in accordance with the applicable protocol, legal, regulatory and scientific standards and Vaxart’s reliance on the CROs does not relieve Vaxart of its regulatory responsibilities.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Vaxart and its CROs will be required to comply with the Good Laboratory Practices and GCPs,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Vaxart’s tablet vaccine candidates that are in preclinical and clinical development. The Regulatory authorities enforce GCPs through periodic inspections of trial sponsors, principal investigators and clinical trial sites. If Vaxart or its CROs fail to comply with GCPs, the clinical data generated in its clinical trials may be deemed unreliable and the FDA or comparable foreign regulatory authorities may require Vaxart to perform additional clinical trials before approving Vaxart’s marketing applications. Accordingly, if Vaxart’s CROs fail to comply with these regulations or fail to recruit a sufficient number of subjects, Vaxart may be required to repeat clinical trials, which would delay the regulatory approval process.</w:t>
      </w:r>
    </w:p>
    <w:p>
      <w:pPr>
        <w:spacing w:after="0" w:line="19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Vaxart’s CROs will not be its employees, and Vaxart will not control whether or not they devote sufficient time and resources to its future clinical and nonclinical programs. These CROs may also have relationships with other commercial entities, including Vaxart’s competitors, for whom they may also be conducting clinical trials, or other drug development activities which could harm its competitive position. Vaxart faces the risk of potential unauthorized disclosure or misappropriation of its intellectual property by CROs, which may reduce Vaxart’s trade secret protection and allow its potential competitors to access and exploit its proprietary technology. If its CROs do not successfully carry out their contractual duties or obligations, fail to meet expected deadlines, or if the quality or accuracy of the clinical data they obtain is compromised due to the failure to adhere to Vaxart’s clinical protocols or regulatory requirements or for any other reasons, its clinical trials may be extended, delayed or terminated, and it may not be able to obtain regulatory approval for, or successfully commercialize any tablet vaccine candidate that it develops. As a result, Vaxart’s financial results and the commercial prospects for any tablet vaccine candidate that it develops would be harmed, its costs could increase, and its ability to generate revenues could be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If Vaxart’s relationship with these CROs terminate, it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materially impact Vaxart’s ability to meet its desired clinical development timelines. Though Vaxart intends to carefully manage its relationships with Vaxart’s CROs, there can be no assurance that it will not encounter challenges or delays in the future or that these delays or challenges will not have an adverse impact on its business, financial condition and prospects.</w:t>
      </w:r>
    </w:p>
    <w:p>
      <w:pPr>
        <w:spacing w:after="0" w:line="161"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b w:val="1"/>
          <w:bCs w:val="1"/>
          <w:i w:val="1"/>
          <w:iCs w:val="1"/>
          <w:color w:val="auto"/>
        </w:rPr>
        <w:t>Vaxart may seek to selectively establish collaborations, and, if it is unable to establish them on commercially reasonable terms, it may have to alter its development and commercialization plans.</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Vaxart’s tablet vaccine development programs and the potential commercialization of its tablet vaccine candidates will require substantial additional cash to fund expenses. For some of its tablet vaccine candidates, including is seasonable influenza and RSV tablets, Vaxart may decide to collaborate with governmental entities or additional pharmaceutical and biotechnology companies for the development and potential commercialization of those tablet vaccine candidates.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Vaxart faces significant competition in seeking appropriate collaborators. Whether Vaxart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tablet vaccine candidate, the costs and complexities of manufacturing and delivering such tablet vaccine candidate to patients, the potential of competing products, the existence of uncertainty with respect to Vaxart’s ownership of technology, which can exist if there is a challenge to such ownership without regard to the merits of the challenge and industry and market conditions generally. The collaborator may also consider alternative tablet vaccine candidates for similar indications that may be available to collaborate on and whether such a collaboration could be more attractive than the one with Vaxart for its tablet vaccine candidate.</w:t>
      </w:r>
    </w:p>
    <w:p>
      <w:pPr>
        <w:spacing w:after="0" w:line="16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Vaxart’s relationships with customers and third-party payors will be subject to applicable anti-kickback, fraud and abuse and other healthcare laws and regulations, which could expose it to criminal sanctions, civil penalties, contractual damages, reputational harm and diminished profits and future earnings.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tablet vaccine candidates for which Vaxart obtains marketing approval. Vaxart’s future arrangements with third-party payors and customers may expose it to broadly applicable fraud and abuse and other healthcare laws and regulations that may constrain the business or financial arrangements and relationships through which it markets, sells and distributes Vaxart’s medicines for which it obtains marketing approval. Restrictions under applicable federal and state healthcare laws and regulations include the following:</w:t>
      </w:r>
    </w:p>
    <w:p>
      <w:pPr>
        <w:spacing w:after="0" w:line="188" w:lineRule="exact"/>
        <w:rPr>
          <w:sz w:val="20"/>
          <w:szCs w:val="20"/>
          <w:color w:val="auto"/>
        </w:rPr>
      </w:pPr>
    </w:p>
    <w:p>
      <w:pPr>
        <w:ind w:left="660" w:right="80" w:hanging="329"/>
        <w:spacing w:after="0" w:line="25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86" w:lineRule="exact"/>
        <w:rPr>
          <w:rFonts w:ascii="Arial" w:cs="Arial" w:eastAsia="Arial" w:hAnsi="Arial"/>
          <w:sz w:val="18"/>
          <w:szCs w:val="18"/>
          <w:color w:val="auto"/>
        </w:rPr>
      </w:pPr>
    </w:p>
    <w:p>
      <w:pPr>
        <w:ind w:left="660" w:right="80" w:hanging="329"/>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ind w:left="660" w:right="240" w:hanging="329"/>
        <w:spacing w:after="0" w:line="25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69" w:lineRule="exact"/>
        <w:rPr>
          <w:rFonts w:ascii="Arial" w:cs="Arial" w:eastAsia="Arial" w:hAnsi="Arial"/>
          <w:sz w:val="18"/>
          <w:szCs w:val="18"/>
          <w:color w:val="auto"/>
        </w:rPr>
      </w:pPr>
    </w:p>
    <w:p>
      <w:pPr>
        <w:ind w:left="660" w:right="340" w:hanging="329"/>
        <w:spacing w:after="0" w:line="262"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83" w:lineRule="exact"/>
        <w:rPr>
          <w:rFonts w:ascii="Arial" w:cs="Arial" w:eastAsia="Arial" w:hAnsi="Arial"/>
          <w:sz w:val="18"/>
          <w:szCs w:val="18"/>
          <w:color w:val="auto"/>
        </w:rPr>
      </w:pPr>
    </w:p>
    <w:p>
      <w:pPr>
        <w:ind w:left="660" w:right="240" w:hanging="329"/>
        <w:spacing w:after="0" w:line="274"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p>
      <w:pPr>
        <w:sectPr>
          <w:pgSz w:w="11900" w:h="16838" w:orient="portrait"/>
          <w:cols w:equalWidth="0" w:num="1">
            <w:col w:w="11380"/>
          </w:cols>
          <w:pgMar w:left="240" w:top="118" w:right="27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Vaxart’s Intellectual Property</w:t>
      </w:r>
    </w:p>
    <w:p>
      <w:pPr>
        <w:spacing w:after="0" w:line="228"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b w:val="1"/>
          <w:bCs w:val="1"/>
          <w:i w:val="1"/>
          <w:iCs w:val="1"/>
          <w:color w:val="auto"/>
        </w:rPr>
        <w:t>If Vaxart is unable to obtain and maintain patent protection for its platform technology and tablet vaccine candidates or if the scope of the patent protection obtained is not sufficiently broad, it may not be able to compete effectively in its markets.</w:t>
      </w:r>
    </w:p>
    <w:p>
      <w:pPr>
        <w:spacing w:after="0" w:line="17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Vaxart relies upon a combination of patents, trade secret protection and confidentiality agreements to protect the intellectual property related to its drug development programs and tablet vaccine candidates. Vaxart’s success depends in large part on its ability to obtain and maintain patent protection in the United States and other countries. Vaxart seeks to protect its proprietary position by filing patent applications in the United States and abroad related to its development programs and tablet vaccine candidates. The patent prosecution process is expensive and time-consuming, and Vaxart may not be able to file and prosecute all necessary or desirable patent applications at a reasonable cost or in a timely manner.</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It is also possible that Vaxart will fail to identify patentable aspects of its research and development output before it is too late to obtain patent protection. The patent applications that Vaxart owns or in-licenses may fail to result in issued patents with claims that cover any of its tablet vaccine candidates in the United States or in other countries. There is no assurance that the entire potentially relevant prior art relating to its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Vaxart could deprive it of rights necessary for the successful commercialization of any tablet vaccine candidates or companion diagnostic that it may develop. Further, if Vaxart encounters delays in regulatory approvals, the period of time during which Vaxart could market a tablet vaccine candidate and companion diagnostic under patent protection could be reduced.</w:t>
      </w:r>
    </w:p>
    <w:p>
      <w:pPr>
        <w:spacing w:after="0" w:line="166"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If the patent applications Vaxart holds with respect to its platform technology and tablet vaccine candidates fail to issue, if their breadth or strength of protection is threatened, or if they fail to provide meaningful exclusivity for its tablet vaccine candidates, it could dissuade companies from collaborating with Vaxart to develop tablet vaccine candidates, and threaten Vaxart’s ability to commercialize future drugs. Any such outcome could harm its business.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its rights to the same extent as the laws of the United States. For example, European patent law restricts the patentability of methods of treatment of the human body more than U.S. law does. Publications of discoveries in scientific literature often lag behind the actual discoveries, and patent applications in the United States and other jurisdictions are typically not published until 18 months after filing, or in some cases not at all. Therefore, Vaxart cannot know with certainty whether it was the first to make the inventions claimed in its owned or licensed patents or pending patent applications, or that it was the first to file for patent protection of such inventions. As a result, the issuance, scope, validity, enforceability and commercial value of its patent rights are highly uncertain. Vaxart’s pending and future patent applications may not result in patents being issued which protect its technology or tablet vaccine candidates, in whole or in part, or which effectively prevent others from commercializing competitive technologies and vaccines. Changes in either the patent laws or interpretation of the patent laws in the United States and other countries may diminish the value of Vaxart’s patents or narrow the scope of its patent protection.</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its patent applications and the enforcement or defense of its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Vaxart’s business. However, the Leahy-Smith Act and its implementation could increase the uncertainties and costs surrounding the prosecution of Vaxart’s patent applications and the enforcement or defense of Vaxart’s issued patents, all of which could have an adverse effect on Vaxart’s business and financial condition.</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Moreover, Vaxart may be subject to a third-party pre-issuance submission of prior art to the U.S. Patent and Trademark Office, or USPTO, or become involved in derivation, reexamination, inter partes review, post-grant review or interference proceedings challenging its patent rights or the patent rights of others. In other countries, it may be subject to or become involved in opposition proceedings challenging its patent rights or the patent rights of others. An adverse determination in any such submission or proceeding could reduce the scope of, or invalidate, its patent rights, allow third parties to commercialize Vaxart’s technology or tablet vaccine candidates and compete directly with Vaxart, without payment to it, or result in its inability to manufacture or commercialize tablet vaccine candidates without infringing third- party patent rights. In addition, if the breadth or strength of protection provided by its patents and patent applications is threatened, it could dissuade companies from collaborating with Vaxart to license, develop or commercialize current or future tablet vaccine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its owned and licensed patents may be challenged in the courts or patent offices in the United States and abroad. Such challenges may result in patent claims being narrowed, invalidated or held unenforceable, in whole or in part, which could limit its ability to stop others from using or commercializing similar or identical technology and tablet vaccines, or limit the duration of the patent protection of its technology and tablet vaccine candidates. Moreover, patents have a limited lifespan. In the United States and other countries, the natural expiration of a patent is generally 20 years after it is filed. Various extensions may be available; however the life of a patent, and the protection it affords, is limited. Without patent protection for its current or future tablet vaccine candidates, Vaxart may be open to competition from generic versions of such tablet vaccine candidates. Given the amount of time required for the development, testing and regulatory review of new tablet vaccine candidates, patents protecting such candidates might expire before or shortly after such candidates are commercialized. As a result, Vaxart’s owned and licensed patent portfolio may not provide it with sufficient rights to exclude others from commercializing tablet vaccine candidates similar or identical to Vaxart’s.</w:t>
      </w:r>
    </w:p>
    <w:p>
      <w:pPr>
        <w:spacing w:after="0" w:line="178"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b w:val="1"/>
          <w:bCs w:val="1"/>
          <w:i w:val="1"/>
          <w:iCs w:val="1"/>
          <w:color w:val="auto"/>
        </w:rPr>
        <w:t>Vaxart may be involved in lawsuits to protect or enforce its patents, the patents of its licensors or its other intellectual property rights, which could be expensive, time consuming and unsuccessful.</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Competitors may infringe or otherwise violate Vaxart’s patents, the patents of its licensors or its other intellectual property rights. To counter infringement or unauthorized use, Vaxart may be required to file legal claims, which can be expensive and time-consuming. In addition, in an infringement proceeding, a court may decide that a patent of Vaxart’s or its licensors is not valid or is unenforceable, or may refuse to stop the other party from using the technology at issue on the grounds that such patents do not cover the technology in question. An adverse result in any litigation or defense proceedings could put one or more of Vaxart’s patents at risk of being invalidated or interpreted narrowly and could put Vaxart’s patent applications at risk of not issuing. The initiation of a claim against a third-party may also cause the third-party to bring counter claims against Vaxart such as claims asserting that its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 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United States, in parallel with litigation or even outside the context of litigation. The outcome following legal assertions of invalidity and unenforceability is unpredictable. Vaxart cannot be certain that there is no invalidating prior art, of which it and the patent examiner were unaware during prosecution. For the patents and patent applications that Vaxart has licensed, it may have limited or no right to participate in the defense of any licensed patents against challenge by a third-party. If a defendant were to prevail on a legal assertion of invalidity or unenforceability, Vaxart would lose at least part, and perhaps all, of any future patent protection on its current or future tablet vaccine candidates. Such a loss of patent protection could harm its business.</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Vaxart may not be able to prevent, alone or with its licensors, misappropriation of its intellectual property rights, particularly in countries where the laws may not protect those rights as fully as in the United States. Vaxart’s business could be harmed if in litigation the prevailing party does not offer it a license on commercially reasonable terms. Any litigation or other proceedings to enforce its intellectual property rights may fail, and even if successful, may result in substantial costs and distract its management and other employees.</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Vaxart’s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its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Vaxart’s ability to protect Vaxart’s tablet vaccine candidates.</w:t>
      </w:r>
    </w:p>
    <w:p>
      <w:pPr>
        <w:spacing w:after="0" w:line="2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United States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Vaxart’s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Vaxart’s ability to obtain new patents or to enforce patents that it has licensed or that it might obtain in the future.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 may not be able to protect its intellectual property rights throughout the world, which could impair its business.</w:t>
      </w:r>
    </w:p>
    <w:p>
      <w:pPr>
        <w:spacing w:after="0" w:line="22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Filing, prosecuting and defending patents covering Vaxart’s tablet vaccine candidates throughout the world would be prohibitively expensive. Competitors may use its technologies in jurisdictions where it has not obtained patent protection to develop their own vaccines and, further, may export otherwise infringing vaccines to territories where Vaxart may obtain patent protection, but where patent enforcement is not as strong as that in the United States. These vaccines may compete with Vaxart’s tablet vaccine candidates in jurisdictions where Vaxart does not have any issued or licensed patents and any future patent claims or other intellectual property rights may not be effective or sufficient to prevent them from so competing.</w:t>
      </w:r>
    </w:p>
    <w:p>
      <w:pPr>
        <w:spacing w:after="0" w:line="176"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Vaxart’s reliance on third parties requires it to share its trade secrets, which increases the possibility that a competitor will discover them or that its trade secrets will be misappropriated or disclosed.</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Vaxart seeks to protect its proprietary technology in part by entering into confidentiality agreements with third parties and, if applicable, material transfer agreements, consulting agreements or other similar agreements with its advisors, employees, third-party contractors and consultants prior to beginning research or disclosing proprietary information. These agreements typically limit the rights of the third parties to use or disclose Vaxart’s confidential information, including its trade secrets. Despite the contractual provisions employed when working with third parties, the need to share trade secrets and other confidential information increases the risk that such trade secrets become known by its competitors, are inadvertently incorporated into the technology of others, or are disclosed or used in violation of these agreements. Given that Vaxart’s proprietary position is based, in part, on its know-how and trade secrets, a competitor’s discovery of Vaxart’s trade secrets or other unauthorized use or disclosure would impair its competitive position and may have an adverse effect on its business and results of operations.</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these agreements typically restrict the ability of its advisors, employees, third-party contractors and consultants to publish data potentially relating to its trade secrets, although Vaxart’s agreements may contain certain limited publication rights. Despite its efforts to protect its trade secrets, its competitors may discover its trade secrets, either through breach of Vaxart’s agreements with third parties, independent development or publication of information by any of its third-party collaborators. A competitor’s discovery of Vaxart’s trade secrets would impair Vaxart’s competitive position and have an adverse impact on Vaxart’s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228"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i w:val="1"/>
          <w:iCs w:val="1"/>
          <w:color w:val="auto"/>
        </w:rPr>
        <w:t>In determining whether you should approve the issuance of shares of Aviragen common stock and other matters related to the merger, as the case may be, you should carefully read the following risk factors in addition to the risks described above, which will also apply to the combined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combined company’s stock price is expected to be volatile, and the market price of its common stock may drop following the merger.</w:t>
      </w:r>
    </w:p>
    <w:p>
      <w:pPr>
        <w:spacing w:after="0" w:line="235"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The market price of the combined company’s common stock following the merger could be subject to significant fluctuations following the merger. Market prices for securities of early-stage pharmaceutical, biotechnology and other life sciences companies have historically been particularly volatile. Some of the factors that may cause the market price of the combined company’s common stock to fluctuate include:</w:t>
      </w:r>
    </w:p>
    <w:p>
      <w:pPr>
        <w:spacing w:after="0" w:line="183" w:lineRule="exact"/>
        <w:rPr>
          <w:sz w:val="20"/>
          <w:szCs w:val="20"/>
          <w:color w:val="auto"/>
        </w:rPr>
      </w:pPr>
    </w:p>
    <w:p>
      <w:pPr>
        <w:ind w:left="660" w:hanging="329"/>
        <w:spacing w:after="0" w:line="27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the combined company or its partners to develop product candidates and conduct clinical trials that demonstrate such product candidates are safe and effective;</w:t>
      </w:r>
    </w:p>
    <w:p>
      <w:pPr>
        <w:spacing w:after="0" w:line="169" w:lineRule="exact"/>
        <w:rPr>
          <w:rFonts w:ascii="Arial" w:cs="Arial" w:eastAsia="Arial" w:hAnsi="Arial"/>
          <w:sz w:val="18"/>
          <w:szCs w:val="18"/>
          <w:color w:val="auto"/>
        </w:rPr>
      </w:pPr>
    </w:p>
    <w:p>
      <w:pPr>
        <w:ind w:left="660" w:right="540" w:hanging="329"/>
        <w:spacing w:after="0" w:line="27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ability of the combined company or its partners to obtain regulatory approvals for product candidates, and delays or failures to obtain such approvals;</w:t>
      </w:r>
    </w:p>
    <w:p>
      <w:pPr>
        <w:spacing w:after="0" w:line="169"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of any of the combined company’s product candidates to demonstrate safety and efficacy, receive regulatory approval and achieve commercial success;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to maintain its existing third-party license, manufacturing and supply agreements;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by the combined company or its licensors to prosecute, maintain, or enforce its intellectual property rights;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laws or regulations applicable to the combined company’s product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inability to obtain adequate supply of product candidates or the inability to do so at acceptable prices;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adverse regulatory authority decisions;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introduction of new or competing products by its competitors;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the combined company may provide to the public;</w:t>
      </w:r>
    </w:p>
    <w:p>
      <w:pPr>
        <w:sectPr>
          <w:pgSz w:w="11900" w:h="16838" w:orient="portrait"/>
          <w:cols w:equalWidth="0" w:num="1">
            <w:col w:w="11400"/>
          </w:cols>
          <w:pgMar w:left="240" w:top="118" w:right="25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77" w:name="page78"/>
    <w:bookmarkEnd w:id="7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223" w:lineRule="exact"/>
        <w:rPr>
          <w:rFonts w:ascii="Arial" w:cs="Arial" w:eastAsia="Arial" w:hAnsi="Arial"/>
          <w:sz w:val="18"/>
          <w:szCs w:val="18"/>
          <w:color w:val="auto"/>
        </w:rPr>
      </w:pPr>
    </w:p>
    <w:p>
      <w:pPr>
        <w:ind w:left="660" w:right="880" w:hanging="329"/>
        <w:spacing w:after="0" w:line="27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the combined company or its competitors;</w:t>
      </w:r>
    </w:p>
    <w:p>
      <w:pPr>
        <w:spacing w:after="0" w:line="169" w:lineRule="exact"/>
        <w:rPr>
          <w:rFonts w:ascii="Arial" w:cs="Arial" w:eastAsia="Arial" w:hAnsi="Arial"/>
          <w:sz w:val="18"/>
          <w:szCs w:val="18"/>
          <w:color w:val="auto"/>
        </w:rPr>
      </w:pPr>
    </w:p>
    <w:p>
      <w:pPr>
        <w:ind w:left="660" w:right="420" w:hanging="329"/>
        <w:spacing w:after="0" w:line="27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the combined company’s ability to obtain intellectual property protection for its technologies;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22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the combined company, or if they issue an adverse or misleading opinions regarding its business and stock;</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sales of its common stock by the combined company or its stockholders in the future;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trading volume of the combined company’s common stock;</w:t>
      </w:r>
    </w:p>
    <w:p>
      <w:pPr>
        <w:spacing w:after="0" w:line="223" w:lineRule="exact"/>
        <w:rPr>
          <w:rFonts w:ascii="Arial" w:cs="Arial" w:eastAsia="Arial" w:hAnsi="Arial"/>
          <w:sz w:val="18"/>
          <w:szCs w:val="18"/>
          <w:color w:val="auto"/>
        </w:rPr>
      </w:pPr>
    </w:p>
    <w:p>
      <w:pPr>
        <w:ind w:left="660" w:right="420" w:hanging="329"/>
        <w:spacing w:after="0" w:line="276"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adverse publicity relating to the combined company’s markets generally, including with respect to other products and potential products in such markets;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4" w:lineRule="exact"/>
        <w:rPr>
          <w:sz w:val="20"/>
          <w:szCs w:val="20"/>
          <w:color w:val="auto"/>
        </w:rPr>
      </w:pPr>
    </w:p>
    <w:p>
      <w:pPr>
        <w:ind w:right="580"/>
        <w:spacing w:after="0" w:line="306" w:lineRule="auto"/>
        <w:rPr>
          <w:sz w:val="20"/>
          <w:szCs w:val="20"/>
          <w:color w:val="auto"/>
        </w:rPr>
      </w:pPr>
      <w:r>
        <w:rPr>
          <w:rFonts w:ascii="Arial" w:cs="Arial" w:eastAsia="Arial" w:hAnsi="Arial"/>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the combined company’s common stock.</w:t>
      </w:r>
    </w:p>
    <w:p>
      <w:pPr>
        <w:spacing w:after="0" w:line="148"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w:t>
      </w:r>
    </w:p>
    <w:p>
      <w:pPr>
        <w:spacing w:after="0" w:line="183"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i w:val="1"/>
          <w:iCs w:val="1"/>
          <w:color w:val="auto"/>
        </w:rPr>
        <w:t>If the combined company is required to make certain milestone payments pursuant to a stock purchase agreement with Anaconda Pharma, the combined company may not have the cash necessary to make such payment or the cash set aside for planned expenditure may need to be diverted in order to make such payments, and if such payments are made in shares of the combined company’s common stock, a stockholder’s ownership interest in the combined company would be diluted.</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stock purchase agreement, dated February 25, 2015, by and among between Aviragen, certain shareholders of Anaconda Pharma, a French société par actions simplifiée, or Anaconda, and the other holder representative party thereto, an amount of up to $30.0 million as contingent financial consideration would be payable upon the successful achievement of two future clinical and regulatory milestones. Of such contingent consideration, $10.0 million would be payable, at the combined company’s election, either in cash, shares of the combined company’s common stock, or a combination of cash and shares of the combined company’s common stock, upon the achievement of successful results in the Phase 2 clinical trial for BTA074. The other contingent milestone would be payable in cash. If such contingent consideration becomes due and payable, the combined company’s cash balances may not be sufficient to make such payments. If funds that are meant for corporate or research and development expenses of the combined company are used to pay the contingent consideration, it could have an adverse impact on the growth of the combined company. To the extent that such contingent consideration is paid in shares of the combined company’s common stock, it would lead to a dilution of a stockholders’ ownership interest in the combined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and Vaxart do not anticipate that the combined company will pay any cash dividends in the foreseeable future.</w:t>
      </w:r>
    </w:p>
    <w:p>
      <w:pPr>
        <w:spacing w:after="0" w:line="22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current expectation is that the combined company will retain its future earnings, if any, to fund the development and growth of the combined company’s business. As a result, capital appreciation, if any, of the common stock of the combined company will be your sole source of gain, if any, for the foreseeable future.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the combined company’s stock price to decline.</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existing stockholders of Aviragen and Vaxart sell, or indicate an intention to sell, substantial amounts of the combined company’s common stock in the public market after legal restrictions on resale discussed in this proxy statement/prospectus/information statement lapse, the trading price of the common stock of the combined company could decline. Based on an assumed closing date of February 7, 2018, the combined company is expected to have outstanding a total of approximately 97.7 million shares of common stock (prior to giving effect to the proposed reverse stock split) immediately following the closing of the merger. All of Vaxart’s executive officers and directors and principal stockholders are subject to lock-up agreements that restrict their ability to transfer shares of the combined company’s capital stock during the period ending on, and including, the 180th day after the date of the closing of the merger, subject to specified exceptions. After the lock-up agreements expire, approximately 52.8 million shares of common stock (prior to giving effect to the proposed reverse stock split) held by the combined company’s directors, executive officers and principal stockholders will be subject to volume limitations under Rule 144 under the Securities Act of 1933, as amended, or the Securities Act, and various vesting agreements.</w:t>
      </w:r>
    </w:p>
    <w:p>
      <w:pPr>
        <w:spacing w:after="0" w:line="18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addition, upon the closing of the merger Aviragen expects to assume approximately 5 million shares of common stock subject to outstanding Vaxart options (on an as-converted to Aviragen common stock basis and prior to giving effect to the proposed reverse stock split). The combined company intends to register all of the shares of common stock issuable upon exercise of outstanding Vaxart options, and upon the exercise of any options or other equity incentives the combined company may grant in the future, for public resale under the Securities Act. Accordingly, these shares will be able to be freely sold in the public market upon issuance as permitted by any applicable vesting requirements, subject to the lock-up agreements described above.</w:t>
      </w:r>
    </w:p>
    <w:p>
      <w:pPr>
        <w:spacing w:after="0" w:line="161"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b w:val="1"/>
          <w:bCs w:val="1"/>
          <w:i w:val="1"/>
          <w:iCs w:val="1"/>
          <w:color w:val="auto"/>
        </w:rPr>
        <w:t>If the ownership of the combined company common stock is highly concentrated, it may prevent you and other stockholders from influencing significant corporate decisions and may result in conflicts of interest that could cause the combined company stock price to decline.</w:t>
      </w:r>
    </w:p>
    <w:p>
      <w:pPr>
        <w:spacing w:after="0" w:line="1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Executive officers and directors of the combined company and their affiliates are expected to beneficially own or control approximately 53.9% of the outstanding shares of the combined company common stock following the closing of the merger.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the combined company assets or any other significant corporate transactions. These stockholders may also delay or prevent a change of control of the combined company, even if such a change of control would benefit the other stockholders of the combined company. The significant concentration of stock ownership may adversely affect the trading price of the combined company’s common stock due to investors’ perception that conflicts of interest may exist or arise.</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i w:val="1"/>
          <w:iCs w:val="1"/>
          <w:color w:val="auto"/>
        </w:rPr>
        <w:t>Because the merger will result in an ownership change under Section 382 of the Code for Aviragen, pre-merger U.S. net operating loss carryforwards and certain other tax attributes will be subject to limitations.</w:t>
      </w:r>
    </w:p>
    <w:p>
      <w:pPr>
        <w:spacing w:after="0" w:line="17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If a corporation undergoes an “ownership change” within the meaning of Section 382 of the Code, the corporation’s U.S. net operating loss carryforwards and certain other tax attributes arising from before the ownership change are subject to limitations on use after the ownership change. In general, an ownership change occurs if there is a cumulative change in the corporation’s equity ownership by certain stockholders that exceeds fifty percentage points over a rolling three-year period. Similar rules may apply under state and foreign tax laws. The merger will result in an ownership change for Aviragen and, accordingly, Aviragen’s U.S. net operating loss carryforwards and certain other tax attributes will be subject to limitations on their use after the merger.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could adversely affect the combined company’s business and financial condition.</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22, 2017, the Tax Cuts and Jobs Act (H.R. 1) (the “Tax Act”) was signed into law by President Trump. The Tax Act contains significant changes to corporate taxation, including reduction of the corporate tax rate from 35% to 21%, limitation of the tax deduction for interest expense to 30% of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eliminating the business tax credit for certain clinical testing expenses incurred in the testing of certain drugs for rare diseases or conditions generally referred to as “orphan drugs”). Notwithstanding the reduction in the corporate income tax rate, the overall impact of the Tax Act is uncertain, and the combined company’s business and financial condition could be adversely affected. This proxy statement/prospectus/information statement does not discuss the Tax Act or the manner in which it might affect holders of the combined company’s common stock. Vaxart and Aviragen urge their stockholders to consult with their legal and tax advisors with respect to the Tax Act and the potential tax consequences of investing in the combined company’s common stock.</w:t>
      </w:r>
    </w:p>
    <w:p>
      <w:pPr>
        <w:spacing w:after="0" w:line="210"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b w:val="1"/>
          <w:bCs w:val="1"/>
          <w:i w:val="1"/>
          <w:iCs w:val="1"/>
          <w:color w:val="auto"/>
        </w:rPr>
        <w:t>Anti-takeover provisions under Delaware law could make an acquisition of the combined company more difficult and may prevent attempts by the combined company stockholders to replace or remove the combined company management.</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Aviragen and Vaxart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ectPr>
          <w:pgSz w:w="11900" w:h="16838" w:orient="portrait"/>
          <w:cols w:equalWidth="0" w:num="1">
            <w:col w:w="11420"/>
          </w:cols>
          <w:pgMar w:left="240" w:top="118"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proxy statement/prospectus/information statement and the documents incorporated by reference into this proxy statement/prospectus/information statement contain forward-looking statements. These forward-looking statements are based on current expectations and beliefs and involve numerous risks and uncertainties that could cause actual results to differ materially from expectations. These forward-looking statements should not be relied upon as predictions of future events as neither Aviragen nor Vaxart can assure you that the events or circumstances reflected in these statements will be achieved or will occur. You can identify forward-looking statements by the use of forward-looking terminology including “anticipates,” “believes,” “continue,” “could,” “design,” “estimates,” “expects,” “intends,” “may,” “plans,” “potentially,” “predict,” “pro forma” “seeks,” “should,” “will” or the negative of these words and phrases or other variations of these words and phrases or comparable terminology.</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statements other than statements of historical fact are statements that could be deemed forward-looking statements. For example, forward-looking statements include any statements of the plans, strategies and objectives of management for future operations, including the execution of integration and restructuring plans and the anticipated timing of filings; any statements concerning proposed new products or developments; any statements regarding future economic conditions or performance; statements of belief and any statement of assumptions underlying any of the foregoing. Forward-looking statements may also include any statements of the plans, strategies and objectives of management with respect to the approval and the closing of the merger, Aviragen’s ability to solicit a sufficient number of proxies to approve the merger and other matters related to the closing of the merger.</w:t>
      </w:r>
    </w:p>
    <w:p>
      <w:pPr>
        <w:spacing w:after="0" w:line="17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For a discussion of the factors that may cause Aviragen, Vaxart or the combined company’s actual results, performance or achievements to differ materially from any future results, performance or achievements expressed or implied in such forward-looking statements, or for a discussion of risk associated with the ability of Aviragen and Vaxart to complete the merger and the effect of the merger on the business of Aviragen, Vaxart and the combined company, see the section titled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24" w:lineRule="exact"/>
        <w:rPr>
          <w:sz w:val="20"/>
          <w:szCs w:val="20"/>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expected benefits of and potential value created by the merger for the stockholders of Aviragen and Vaxart;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likelihood of the satisfaction of certain conditions to the completion of the merger and whether and when the merger will be consummated;</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Aviragen’s ability to control and correctly estimate its operating expenses and its expenses associated with the merger;</w:t>
      </w:r>
    </w:p>
    <w:p>
      <w:pPr>
        <w:spacing w:after="0" w:line="223" w:lineRule="exact"/>
        <w:rPr>
          <w:rFonts w:ascii="Arial" w:cs="Arial" w:eastAsia="Arial" w:hAnsi="Arial"/>
          <w:sz w:val="18"/>
          <w:szCs w:val="18"/>
          <w:color w:val="auto"/>
        </w:rPr>
      </w:pPr>
    </w:p>
    <w:p>
      <w:pPr>
        <w:ind w:left="660" w:right="520" w:hanging="329"/>
        <w:spacing w:after="0" w:line="276"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of the plans, strategies and objectives of management for future operations, including the execution of integration plans and the anticipated timing of filings;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of plans to develop and commercialize additional products;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concerning the attraction and retention of highly qualified personnel;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concerning the ability to protect and enhance the combined company's products and intellectual property;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concerning developments and projections relating to the combined company’s competitors or industry;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concerning the combined company’s financial performance;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statements regarding expectations concerning Aviragen’s or Vaxart’s relationships and actions with third parties;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future regulatory, judicial and legislative changes in Aviragen's or Vaxart’s industry.</w:t>
      </w:r>
    </w:p>
    <w:p>
      <w:pPr>
        <w:spacing w:after="0" w:line="224" w:lineRule="exact"/>
        <w:rPr>
          <w:sz w:val="20"/>
          <w:szCs w:val="20"/>
          <w:color w:val="auto"/>
        </w:rPr>
      </w:pPr>
    </w:p>
    <w:p>
      <w:pPr>
        <w:ind w:right="760"/>
        <w:spacing w:after="0" w:line="276" w:lineRule="auto"/>
        <w:rPr>
          <w:sz w:val="20"/>
          <w:szCs w:val="20"/>
          <w:color w:val="auto"/>
        </w:rPr>
      </w:pPr>
      <w:r>
        <w:rPr>
          <w:rFonts w:ascii="Arial" w:cs="Arial" w:eastAsia="Arial" w:hAnsi="Arial"/>
          <w:sz w:val="18"/>
          <w:szCs w:val="18"/>
          <w:color w:val="auto"/>
        </w:rPr>
        <w:t>You should not rely upon forward-looking statements as predictions of future events. Neither Aviragen nor Vaxart can assure you that the events and circumstances reflected in the forward-looking statements will be achieved or occur.</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statements that "Aviragen believes", "Vaxart believes" or "the combined company believes" and similar statements reflect the beliefs and opinions on the relevant subject of Aviragen, Vaxart or the combined company, as applicable. These statements are based upon information available as of the date of this proxy statement/prospectus/information statement, and while Aviragen, Vaxart or the combined company, as applicable, believes such information forms a reasonable basis for such statements, such information may be limited or incomplete, and such statements should not be read to indicate that Aviragen, Vaxart or the combined company has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any of these risks or uncertainties materializes or any of these assumptions proves incorrect, the results of Aviragen, Vaxart or the combined company could differ materially from the forward-looking statements. All forward-looking statements in this proxy statement/prospectus/information statement are current only as of the date on which the statements were made. Except as required by law, neither Aviragen nor Vaxart undertakes any obligation to update publicly any forward-looking statements for any reason after the date of this proxy statement/prospectus/information statement or to conform these statements to actual results or to changes in expectations.</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0" w:name="page81"/>
    <w:bookmarkEnd w:id="8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MEETING OF AVIRAGEN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28" w:lineRule="exact"/>
        <w:rPr>
          <w:sz w:val="20"/>
          <w:szCs w:val="20"/>
          <w:color w:val="auto"/>
        </w:rPr>
      </w:pPr>
    </w:p>
    <w:p>
      <w:pPr>
        <w:ind w:right="380"/>
        <w:spacing w:after="0" w:line="300" w:lineRule="auto"/>
        <w:rPr>
          <w:sz w:val="20"/>
          <w:szCs w:val="20"/>
          <w:color w:val="auto"/>
        </w:rPr>
      </w:pPr>
      <w:r>
        <w:rPr>
          <w:rFonts w:ascii="Arial" w:cs="Arial" w:eastAsia="Arial" w:hAnsi="Arial"/>
          <w:sz w:val="16"/>
          <w:szCs w:val="16"/>
          <w:color w:val="auto"/>
        </w:rPr>
        <w:t>The special meeting of Aviragen stockholders will be held on February 6, 2018, at 2500 Northwinds Parkway, Suite 100, Alpharetta, Georgia 30009 commencing at 9:00 a.m. local time. Aviragen is sending this proxy statement/prospectus/information statement to its stockholders in connection with the solicitation of proxies by the Aviragen board of directors for use at the Aviragen special meeting and any adjournments or postponements of the special meeting. This proxy statement/prospectus/information statement is first being furnished to stockholders of Aviragen on or about January 5,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Aviragen Special Meeting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Aviragen special meeting are:</w:t>
      </w:r>
    </w:p>
    <w:p>
      <w:pPr>
        <w:spacing w:after="0" w:line="224" w:lineRule="exact"/>
        <w:rPr>
          <w:sz w:val="20"/>
          <w:szCs w:val="20"/>
          <w:color w:val="auto"/>
        </w:rPr>
      </w:pPr>
    </w:p>
    <w:p>
      <w:pPr>
        <w:ind w:left="660" w:right="60" w:hanging="329"/>
        <w:spacing w:after="0" w:line="285"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To consider and vote upon a proposal to approve the issuance of shares of Aviragen common stock pursuant to the Agreement and Plan of Merger and Reorganization, dated as of October 27, 2017, by and among Aviragen, Agora Merger Sub, Inc. and Vaxart, a copy of which is attached as </w:t>
      </w:r>
      <w:r>
        <w:rPr>
          <w:rFonts w:ascii="Arial" w:cs="Arial" w:eastAsia="Arial" w:hAnsi="Arial"/>
          <w:sz w:val="17"/>
          <w:szCs w:val="17"/>
          <w:i w:val="1"/>
          <w:iCs w:val="1"/>
          <w:color w:val="auto"/>
        </w:rPr>
        <w:t>Annex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 </w:t>
      </w:r>
      <w:r>
        <w:rPr>
          <w:rFonts w:ascii="Arial" w:cs="Arial" w:eastAsia="Arial" w:hAnsi="Arial"/>
          <w:sz w:val="17"/>
          <w:szCs w:val="17"/>
          <w:color w:val="auto"/>
        </w:rPr>
        <w:t>to this proxy statement/prospectus/information statement, or the Merger Agreement, or the Stock Issuance Proposal;</w:t>
      </w:r>
    </w:p>
    <w:p>
      <w:pPr>
        <w:spacing w:after="0" w:line="164" w:lineRule="exact"/>
        <w:rPr>
          <w:rFonts w:ascii="Arial" w:cs="Arial" w:eastAsia="Arial" w:hAnsi="Arial"/>
          <w:sz w:val="17"/>
          <w:szCs w:val="17"/>
          <w:color w:val="auto"/>
        </w:rPr>
      </w:pPr>
    </w:p>
    <w:p>
      <w:pPr>
        <w:ind w:left="660" w:right="100" w:hanging="329"/>
        <w:spacing w:after="0" w:line="258"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To consider and vote upon the amendment to the certificate of incorporation of Aviragen to effect a reverse stock split of Aviragen common stock, at a ratio in the range of 10 and 20-for-1, with such specific ratio to be mutually agreed upon by Aviragen and Vaxart or, if the Stock Issuance Proposal is not approved, solely by the Aviragen board of directors following the special meeting, the form of which is attached as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to this proxy statement/prospectus/information statement, or the Reverse Stock Split Proposal;</w:t>
      </w:r>
    </w:p>
    <w:p>
      <w:pPr>
        <w:spacing w:after="0" w:line="186"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consider and vote upon a proposal to approve, on non-binding advisory basis, the compensation that will or may become payable by Aviragen to its named executive officers in connection with the merger, or the Executive Merger Compensation Proposal;</w:t>
      </w:r>
    </w:p>
    <w:p>
      <w:pPr>
        <w:spacing w:after="0" w:line="169"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consider and vote, on a non-binding advisory basis, on the frequency of the advisory vote on the compensation of Aviragen’s named executive officers, or the Say-on-Pay Frequency Proposal; and</w:t>
      </w:r>
    </w:p>
    <w:p>
      <w:pPr>
        <w:spacing w:after="0" w:line="169"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consider and vote upon an adjournment of the Aviragen special meeting, if necessary, to solicit additional proxies if there are not sufficient votes in favor of the Stock Issuance Proposal and/or the Reverse Stock Split Proposal, or the Adjournment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Aviragen Board of Directors</w:t>
      </w:r>
    </w:p>
    <w:p>
      <w:pPr>
        <w:spacing w:after="0" w:line="228" w:lineRule="exact"/>
        <w:rPr>
          <w:sz w:val="20"/>
          <w:szCs w:val="20"/>
          <w:color w:val="auto"/>
        </w:rPr>
      </w:pPr>
    </w:p>
    <w:p>
      <w:pPr>
        <w:ind w:left="660" w:right="560" w:hanging="329"/>
        <w:spacing w:after="0" w:line="25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Aviragen board of directors has determined and believes that the issuance of shares of Aviragen common stock pursuant to the Merger Agreement is in the best interests of Aviragen and its stockholders and has approved such items. The Aviragen board of directors unanimously recommends that Aviragen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Stock Issuance Proposal as described in this proxy statement/prospectus/information statement.</w:t>
      </w:r>
    </w:p>
    <w:p>
      <w:pPr>
        <w:spacing w:after="0" w:line="186" w:lineRule="exact"/>
        <w:rPr>
          <w:rFonts w:ascii="Arial" w:cs="Arial" w:eastAsia="Arial" w:hAnsi="Arial"/>
          <w:sz w:val="18"/>
          <w:szCs w:val="18"/>
          <w:color w:val="auto"/>
        </w:rPr>
      </w:pPr>
    </w:p>
    <w:p>
      <w:pPr>
        <w:ind w:left="660" w:right="200" w:hanging="329"/>
        <w:spacing w:after="0" w:line="272"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Aviragen board of directors has determined and believes that it is advisable to, and in the best interests of, Aviragen and its stockholders to approve the amendment to the certificate of incorporation of Aviragen effecting a reverse stock split at a ratio in the range of 10 and 20-for-1, with such specific ratio to be mutually agreed upon by Aviragen and Vaxart or, if the Stock Issuance Proposal is not approved by Aviragen stockholders, determined solely by the Aviragen board of directors following the special meeting as described in this proxy statement/prospectus/information statement. The Aviragen board of directors unanimously recommends that Aviragen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Reverse Stock Split Proposal as described in this proxy statement/prospectus/information statement.</w:t>
      </w:r>
    </w:p>
    <w:p>
      <w:pPr>
        <w:spacing w:after="0" w:line="178" w:lineRule="exact"/>
        <w:rPr>
          <w:rFonts w:ascii="Arial" w:cs="Arial" w:eastAsia="Arial" w:hAnsi="Arial"/>
          <w:sz w:val="17"/>
          <w:szCs w:val="17"/>
          <w:color w:val="auto"/>
        </w:rPr>
      </w:pPr>
    </w:p>
    <w:p>
      <w:pPr>
        <w:ind w:left="660" w:right="40" w:hanging="329"/>
        <w:spacing w:after="0" w:line="27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Aviragen board of directors has determined and believes that holding an advisory vote on the compensation that will or may become payable by Aviragen to its named executive officers in connection with the merger is in the best interests of Aviragen and its stockholders and has approved such compensation. The Aviragen board of directors unanimously recommends that the Aviragen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Executive Merger Compensation Proposal as described in this proxy statement/prospectus/information statement.</w:t>
      </w:r>
    </w:p>
    <w:p>
      <w:pPr>
        <w:spacing w:after="0" w:line="170" w:lineRule="exact"/>
        <w:rPr>
          <w:rFonts w:ascii="Arial" w:cs="Arial" w:eastAsia="Arial" w:hAnsi="Arial"/>
          <w:sz w:val="17"/>
          <w:szCs w:val="17"/>
          <w:color w:val="auto"/>
        </w:rPr>
      </w:pPr>
    </w:p>
    <w:p>
      <w:pPr>
        <w:ind w:left="660" w:hanging="329"/>
        <w:spacing w:after="0" w:line="258"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Aviragen board of directors has determined and believes that holding an advisory vote on the frequency of the advisory vote on the compensation of Aviragen’s named executive officers is in the best interests of Aviragen and its stockholders. The Aviragen board of directors unanimously recommends that the Aviragen stockholders vote </w:t>
      </w:r>
      <w:r>
        <w:rPr>
          <w:rFonts w:ascii="Arial" w:cs="Arial" w:eastAsia="Arial" w:hAnsi="Arial"/>
          <w:sz w:val="18"/>
          <w:szCs w:val="18"/>
          <w:b w:val="1"/>
          <w:bCs w:val="1"/>
          <w:color w:val="auto"/>
        </w:rPr>
        <w:t>“ONCE EVERY YEAR”</w:t>
      </w:r>
      <w:r>
        <w:rPr>
          <w:rFonts w:ascii="Arial" w:cs="Arial" w:eastAsia="Arial" w:hAnsi="Arial"/>
          <w:sz w:val="18"/>
          <w:szCs w:val="18"/>
          <w:color w:val="auto"/>
        </w:rPr>
        <w:t xml:space="preserve"> as the frequency with which stockholders be asked to vote on a non-binding advisory basis on the compensation of Aviragen’s named executive officers.</w:t>
      </w:r>
    </w:p>
    <w:p>
      <w:pPr>
        <w:spacing w:after="0" w:line="186" w:lineRule="exact"/>
        <w:rPr>
          <w:rFonts w:ascii="Arial" w:cs="Arial" w:eastAsia="Arial" w:hAnsi="Arial"/>
          <w:sz w:val="18"/>
          <w:szCs w:val="18"/>
          <w:color w:val="auto"/>
        </w:rPr>
      </w:pPr>
    </w:p>
    <w:p>
      <w:pPr>
        <w:ind w:left="660" w:hanging="329"/>
        <w:spacing w:after="0" w:line="274"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The Aviragen board of directors has determined and believes that adjourning the Aviragen special meeting, if necessary, to solicit additional proxies if there are not sufficient votes in favor of the Stock Issuance Proposal and/or the Reverse Stock Split Proposal is advisable to, and in the best interests of, Aviragen and its stockholders and has approved and adopted the proposal. The Aviragen board of directors unanimously recommends that Aviragen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Adjournment Proposal to adjourn the Aviragen special meeting, if necessary, to solicit additional proxies if there are not sufficient votes in favor of the Stock Issuance Proposal and/or the Reverse Stock Split Proposal.</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1" w:name="page82"/>
    <w:bookmarkEnd w:id="8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Voting Power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Only holders of record of Aviragen common stock at the close of business on the record date, January 2, 2018, are entitled to notice of, and to vote at, the</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Aviragen special meeting. At the close of business on the record date, shares of Aviragen common stock were issued and outstanding. Each share of Aviragen common stock entitles the holder thereof to one vote on each matter submitted for stockholder approval. See the section titled “Principal Stockholders of Aviragen” for information regarding persons known to the management of Aviragen to be the beneficial owners of more than 5% of the outstanding shares of Aviragen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28"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The proxy accompanying this proxy statement/prospectus/information statement is solicited on behalf of the Aviragen board of directors for use at the Aviragen special meeting.</w:t>
      </w:r>
    </w:p>
    <w:p>
      <w:pPr>
        <w:spacing w:after="0" w:line="170"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If you are a stockholder of record of Aviragen as of the record date referred to above, you may vote in person at the Aviragen special meeting or vote by proxy using the enclosed proxy card. Whether or not you plan to attend the Aviragen special meeting, Aviragen urges you to vote by proxy to ensure your vote is counted. You may still attend the Aviragen special meeting and vote in person if you have already voted by proxy. As a stockholder of record you are entitled:</w:t>
      </w:r>
    </w:p>
    <w:p>
      <w:pPr>
        <w:spacing w:after="0" w:line="148" w:lineRule="exact"/>
        <w:rPr>
          <w:sz w:val="20"/>
          <w:szCs w:val="20"/>
          <w:color w:val="auto"/>
        </w:rPr>
      </w:pPr>
    </w:p>
    <w:p>
      <w:pPr>
        <w:ind w:left="660" w:hanging="329"/>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vote in person, come to the Aviragen special meeting and Aviragen will give you a ballot when you arrive.</w:t>
      </w:r>
    </w:p>
    <w:p>
      <w:pPr>
        <w:spacing w:after="0" w:line="223" w:lineRule="exact"/>
        <w:rPr>
          <w:rFonts w:ascii="Arial" w:cs="Arial" w:eastAsia="Arial" w:hAnsi="Arial"/>
          <w:sz w:val="18"/>
          <w:szCs w:val="18"/>
          <w:color w:val="auto"/>
        </w:rPr>
      </w:pPr>
    </w:p>
    <w:p>
      <w:pPr>
        <w:ind w:left="660" w:right="100" w:hanging="329"/>
        <w:spacing w:after="0" w:line="306"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vote using the proxy card, simply mark, sign and date your proxy card and return it promptly in the postage-paid envelope provided. If you return your signed proxy card to Aviragen before the Aviragen special meeting, Aviragen will vote your shares as you direct.</w:t>
      </w:r>
    </w:p>
    <w:p>
      <w:pPr>
        <w:spacing w:after="0" w:line="147" w:lineRule="exact"/>
        <w:rPr>
          <w:rFonts w:ascii="Arial" w:cs="Arial" w:eastAsia="Arial" w:hAnsi="Arial"/>
          <w:sz w:val="17"/>
          <w:szCs w:val="17"/>
          <w:color w:val="auto"/>
        </w:rPr>
      </w:pPr>
    </w:p>
    <w:p>
      <w:pPr>
        <w:ind w:left="660" w:hanging="329"/>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vote by telephone, submit your proxy by following the telephone voting instructions on the proxy card or voting instruction card sent to you.</w:t>
      </w:r>
    </w:p>
    <w:p>
      <w:pPr>
        <w:spacing w:after="0" w:line="235" w:lineRule="exact"/>
        <w:rPr>
          <w:rFonts w:ascii="Arial" w:cs="Arial" w:eastAsia="Arial" w:hAnsi="Arial"/>
          <w:sz w:val="17"/>
          <w:szCs w:val="17"/>
          <w:color w:val="auto"/>
        </w:rPr>
      </w:pPr>
    </w:p>
    <w:p>
      <w:pPr>
        <w:ind w:left="660" w:right="400" w:hanging="329"/>
        <w:spacing w:after="0" w:line="276"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vote on the Internet, go to the website on the proxy card or voting instruction form to complete an electronic proxy card. You will be asked to provide the company number and control number from the enclosed proxy card.</w:t>
      </w:r>
    </w:p>
    <w:p>
      <w:pPr>
        <w:spacing w:after="0" w:line="16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you vote by telephone or Internet, your vote must be received by 11:59 p.m. Eastern Time on February 5, 2018 to be counted.</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your Aviragen shares are held by your broker as your nominee, that is, in “street name,” the enclosed voting instruction card is sent by the institution that holds your shares. Please follow the instructions included on that proxy card regarding how to instruct your broker to vote your Aviragen shares. If you do not give instructions to your broker, your broker can vote your Aviragen shares with respect to “discretionary” items but not with respect to “non-discretionary” items. Discretionary items are proposals considered routine under the rules of the Nasdaq Capital Market on which your broker may vote shares held in “street name” in the absence of your voting instructions. On non-discretionary items for which you do not give your broker instructions, the Aviragen shares will be treated as broker non-votes. It is anticipated that the Stock Issuance Proposal, the Executive Merger Compensation Proposal, the Say-on-Pay Frequency Proposal and the Adjournment Proposal will be non-discretionary items and the Reverse Stock Split Proposal will be a discretionary item.</w:t>
      </w:r>
    </w:p>
    <w:p>
      <w:pPr>
        <w:spacing w:after="0" w:line="166"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All properly executed proxies that are not revoked will be voted at the Aviragen special meeting and at any adjournments or postponements of the Aviragen special meeting in accordance with the instructions contained in the proxy. If a holder of Aviragen common stock executes and returns a proxy and does not specify otherwise, the shares represented by that proxy will be voted</w:t>
      </w:r>
    </w:p>
    <w:p>
      <w:pPr>
        <w:spacing w:after="0" w:line="179" w:lineRule="exact"/>
        <w:rPr>
          <w:sz w:val="20"/>
          <w:szCs w:val="20"/>
          <w:color w:val="auto"/>
        </w:rPr>
      </w:pPr>
    </w:p>
    <w:p>
      <w:pPr>
        <w:ind w:left="660" w:hanging="329"/>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Stock Issuance Proposal to approve the issuance of shares of Aviragen common stock pursuant to the Merger Agreement;</w:t>
      </w:r>
    </w:p>
    <w:p>
      <w:pPr>
        <w:spacing w:after="0" w:line="250" w:lineRule="exact"/>
        <w:rPr>
          <w:rFonts w:ascii="Arial" w:cs="Arial" w:eastAsia="Arial" w:hAnsi="Arial"/>
          <w:sz w:val="18"/>
          <w:szCs w:val="18"/>
          <w:color w:val="auto"/>
        </w:rPr>
      </w:pPr>
    </w:p>
    <w:p>
      <w:pPr>
        <w:jc w:val="both"/>
        <w:ind w:left="660" w:right="40" w:hanging="329"/>
        <w:spacing w:after="0" w:line="313"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Reverse Stock Split Proposal to approve the amendment to the certificate of incorporation of Aviragen effecting a reverse stock split at a ratio in the range of 10 and 20-for-1, with such specific ratio to be mutually agreed upon by Aviragen and Vaxart or, if the Stock Issuance Proposal is not approved by Aviragen stockholders, determined solely by the Aviragen board of directors following the special meeting;</w:t>
      </w:r>
    </w:p>
    <w:p>
      <w:pPr>
        <w:spacing w:after="0" w:line="141" w:lineRule="exact"/>
        <w:rPr>
          <w:rFonts w:ascii="Arial" w:cs="Arial" w:eastAsia="Arial" w:hAnsi="Arial"/>
          <w:sz w:val="16"/>
          <w:szCs w:val="16"/>
          <w:color w:val="auto"/>
        </w:rPr>
      </w:pPr>
    </w:p>
    <w:p>
      <w:pPr>
        <w:ind w:left="660" w:right="780" w:hanging="329"/>
        <w:spacing w:after="0" w:line="28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Executive Merger Compensation Proposal to vote in favor of Aviragen seeking a non-binding advisory stockholder vote on the compensation of Aviragen’s named executive officers;</w:t>
      </w:r>
    </w:p>
    <w:p>
      <w:pPr>
        <w:spacing w:after="0" w:line="163" w:lineRule="exact"/>
        <w:rPr>
          <w:rFonts w:ascii="Arial" w:cs="Arial" w:eastAsia="Arial" w:hAnsi="Arial"/>
          <w:sz w:val="18"/>
          <w:szCs w:val="18"/>
          <w:color w:val="auto"/>
        </w:rPr>
      </w:pPr>
    </w:p>
    <w:p>
      <w:pPr>
        <w:ind w:left="660" w:right="420" w:hanging="329"/>
        <w:spacing w:after="0" w:line="28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ONCE EVERY YEAR</w:t>
      </w:r>
      <w:r>
        <w:rPr>
          <w:rFonts w:ascii="Arial" w:cs="Arial" w:eastAsia="Arial" w:hAnsi="Arial"/>
          <w:sz w:val="18"/>
          <w:szCs w:val="18"/>
          <w:color w:val="auto"/>
        </w:rPr>
        <w:t>” for the Say-on-Pay Frequency Proposal regarding the frequency of non-binding advisory votes to vote on Aviragen’s compensation of its executive officers; and</w:t>
      </w:r>
    </w:p>
    <w:p>
      <w:pPr>
        <w:spacing w:after="0" w:line="163" w:lineRule="exact"/>
        <w:rPr>
          <w:rFonts w:ascii="Arial" w:cs="Arial" w:eastAsia="Arial" w:hAnsi="Arial"/>
          <w:sz w:val="18"/>
          <w:szCs w:val="18"/>
          <w:color w:val="auto"/>
        </w:rPr>
      </w:pPr>
    </w:p>
    <w:p>
      <w:pPr>
        <w:ind w:left="660" w:right="120" w:hanging="329"/>
        <w:spacing w:after="0" w:line="26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to adjourn the Aviragen special meeting, if necessary, to solicit additional proxies if there are not sufficient votes in favor of the Stock Issuance Proposal and/or the Reverse Stock Split Proposal in accordance with the recommendation of the Aviragen board of directors.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Aviragen stockholders of record, other than those Aviragen stockholders who have executed support agreements, may change their vote at any time before their proxy is voted at the Aviragen special meeting in one of three ways. First, a stockholder of record of Aviragen can send a written notice to the Secretary of Aviragen stating that the stockholder would like to revoke its proxy. Second, a stockholder of record of Aviragen can submit new proxy instructions either on a new proxy card or via the Internet. Third, a stockholder of record of Aviragen can attend the Aviragen special meeting and vote in person. Attendance alone will not revoke a proxy. If an Aviragen stockholder of record or a stockholder who owns Aviragen shares in “street name” has instructed a broker to vote its shares of Aviragen common stock, the stockholder must follow directions received from its broker to change those instructions.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presence, in person or represented by proxy, at the Aviragen special meeting of the holders of a majority of the shares of Aviragen common stock outstanding and entitled to vote at the Aviragen special meeting is necessary to constitute a quorum at the meeting. Abstentions and broker non-votes will be counted towards a quorum.</w:t>
      </w:r>
    </w:p>
    <w:p>
      <w:pPr>
        <w:sectPr>
          <w:pgSz w:w="11900" w:h="16838" w:orient="portrait"/>
          <w:cols w:equalWidth="0" w:num="1">
            <w:col w:w="11420"/>
          </w:cols>
          <w:pgMar w:left="240" w:top="118" w:right="239" w:bottom="1440" w:gutter="0" w:footer="0" w:header="0"/>
        </w:sect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Proposal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2538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118" w:lineRule="exact"/>
        <w:rPr>
          <w:sz w:val="20"/>
          <w:szCs w:val="20"/>
          <w:color w:val="auto"/>
        </w:rPr>
      </w:pPr>
    </w:p>
    <w:p>
      <w:pPr>
        <w:ind w:left="1420" w:hanging="623"/>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 Issuance Proposal</w:t>
      </w:r>
    </w:p>
    <w:p>
      <w:pPr>
        <w:spacing w:after="0" w:line="224" w:lineRule="exact"/>
        <w:rPr>
          <w:sz w:val="20"/>
          <w:szCs w:val="20"/>
          <w:color w:val="auto"/>
        </w:rPr>
      </w:pPr>
    </w:p>
    <w:p>
      <w:pPr>
        <w:ind w:left="1420" w:hanging="623"/>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Reverse Stock Split Proposal</w:t>
      </w:r>
    </w:p>
    <w:p>
      <w:pPr>
        <w:spacing w:after="0" w:line="116" w:lineRule="exact"/>
        <w:rPr>
          <w:sz w:val="20"/>
          <w:szCs w:val="20"/>
          <w:color w:val="auto"/>
        </w:rPr>
      </w:pPr>
    </w:p>
    <w:p>
      <w:pPr>
        <w:ind w:left="1420" w:hanging="623"/>
        <w:spacing w:after="0" w:line="182" w:lineRule="auto"/>
        <w:tabs>
          <w:tab w:leader="none" w:pos="1420" w:val="left"/>
        </w:tabs>
        <w:numPr>
          <w:ilvl w:val="0"/>
          <w:numId w:val="95"/>
        </w:numPr>
        <w:rPr>
          <w:rFonts w:ascii="Arial" w:cs="Arial" w:eastAsia="Arial" w:hAnsi="Arial"/>
          <w:sz w:val="34"/>
          <w:szCs w:val="34"/>
          <w:color w:val="auto"/>
          <w:vertAlign w:val="subscript"/>
        </w:rPr>
      </w:pPr>
      <w:r>
        <w:rPr>
          <w:rFonts w:ascii="Arial" w:cs="Arial" w:eastAsia="Arial" w:hAnsi="Arial"/>
          <w:sz w:val="17"/>
          <w:szCs w:val="17"/>
          <w:color w:val="auto"/>
        </w:rPr>
        <w:t>Executive Merger Compensation Proposal</w:t>
      </w:r>
    </w:p>
    <w:p>
      <w:pPr>
        <w:spacing w:after="0" w:line="94" w:lineRule="exact"/>
        <w:rPr>
          <w:sz w:val="20"/>
          <w:szCs w:val="20"/>
          <w:color w:val="auto"/>
        </w:rPr>
      </w:pPr>
    </w:p>
    <w:p>
      <w:pPr>
        <w:ind w:left="1420" w:hanging="623"/>
        <w:spacing w:after="0"/>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Say-on-Pay Frequency Proposal</w:t>
      </w:r>
    </w:p>
    <w:p>
      <w:pPr>
        <w:spacing w:after="0" w:line="2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6"/>
          <w:szCs w:val="16"/>
          <w:color w:val="auto"/>
        </w:rPr>
        <w:t>Adjournment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6066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properly cast at a meeting at which a quorum is present </w:t>
      </w: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-544830</wp:posOffset>
            </wp:positionV>
            <wp:extent cx="6879590" cy="273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79590" cy="27368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1270</wp:posOffset>
            </wp:positionV>
            <wp:extent cx="6879590" cy="273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79590" cy="27368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votes from the holders of a majority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cast at a meeting at which a quorum is present Highest number of votes at a meeting at which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1270</wp:posOffset>
            </wp:positionV>
            <wp:extent cx="6879590" cy="273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79590" cy="273685"/>
                    </a:xfrm>
                    <a:prstGeom prst="rect">
                      <a:avLst/>
                    </a:prstGeom>
                    <a:noFill/>
                  </pic:spPr>
                </pic:pic>
              </a:graphicData>
            </a:graphic>
          </wp:anchor>
        </w:drawing>
      </w:r>
    </w:p>
    <w:p>
      <w:pPr>
        <w:ind w:right="120"/>
        <w:spacing w:after="0" w:line="321"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votes from the holders of a majority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cast at a meeting at which a quorum is present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Effect of</w:t>
      </w:r>
    </w:p>
    <w:p>
      <w:pPr>
        <w:spacing w:after="0" w:line="38"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b w:val="1"/>
          <w:bCs w:val="1"/>
          <w:color w:val="auto"/>
        </w:rPr>
        <w:t>Effect of</w:t>
      </w:r>
      <w:r>
        <w:rPr>
          <w:sz w:val="20"/>
          <w:szCs w:val="20"/>
          <w:color w:val="auto"/>
        </w:rPr>
        <w:tab/>
      </w:r>
      <w:r>
        <w:rPr>
          <w:rFonts w:ascii="Arial" w:cs="Arial" w:eastAsia="Arial" w:hAnsi="Arial"/>
          <w:sz w:val="16"/>
          <w:szCs w:val="16"/>
          <w:b w:val="1"/>
          <w:bCs w:val="1"/>
          <w:color w:val="auto"/>
        </w:rPr>
        <w:t>Broker</w:t>
      </w:r>
    </w:p>
    <w:p>
      <w:pPr>
        <w:spacing w:after="0" w:line="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b w:val="1"/>
          <w:bCs w:val="1"/>
          <w:color w:val="auto"/>
        </w:rPr>
        <w:t>Abstentions</w:t>
      </w:r>
      <w:r>
        <w:rPr>
          <w:sz w:val="20"/>
          <w:szCs w:val="20"/>
          <w:color w:val="auto"/>
        </w:rPr>
        <w:tab/>
      </w:r>
      <w:r>
        <w:rPr>
          <w:rFonts w:ascii="Arial" w:cs="Arial" w:eastAsia="Arial" w:hAnsi="Arial"/>
          <w:sz w:val="15"/>
          <w:szCs w:val="15"/>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27305</wp:posOffset>
            </wp:positionV>
            <wp:extent cx="1581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129"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Against</w:t>
      </w:r>
    </w:p>
    <w:p>
      <w:pPr>
        <w:spacing w:after="0" w:line="22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24"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None</w:t>
      </w:r>
    </w:p>
    <w:p>
      <w:pPr>
        <w:spacing w:after="0" w:line="392" w:lineRule="exact"/>
        <w:rPr>
          <w:sz w:val="20"/>
          <w:szCs w:val="20"/>
          <w:color w:val="auto"/>
        </w:rPr>
      </w:pPr>
    </w:p>
    <w:p>
      <w:pPr>
        <w:sectPr>
          <w:pgSz w:w="11900" w:h="16838" w:orient="portrait"/>
          <w:cols w:equalWidth="0" w:num="3">
            <w:col w:w="3780" w:space="720"/>
            <w:col w:w="4080" w:space="340"/>
            <w:col w:w="2500"/>
          </w:cols>
          <w:pgMar w:left="240" w:top="118" w:right="239" w:bottom="1440" w:gutter="0" w:footer="0" w:header="0"/>
          <w:type w:val="continuous"/>
        </w:sectPr>
      </w:pPr>
    </w:p>
    <w:p>
      <w:pPr>
        <w:spacing w:after="0" w:line="15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If a quorum is present, and the Stock Issuance Proposal has received sufficient votes for approval, but the Reverse Stock Split Proposal has not received the requisite votes for approval, and votes representing 2% or less of the aggregate number of shares of Aviragen common stock are needed to obtain such approval, then the special meeting will be adjourned with respect to the Reverse Stock Split Proposal for a maximum of five calendar days, during which period Aviragen will use commercially reasonable efforts to obtain such additional votes.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 Aviragen Proposal is contingent upon any other Aviragen Proposal. Therefore, assuming all other closing conditions have been either satisfied or waived, the merger will be consummated even if the Reverse Stock Split Proposal is not approved by Aviragen’s stockholders. However, if Aviragen’s stockholders do not approve the Reverse Stock Split Proposal to effect the reverse stock split upon the closing of the merger, Aviragen has been advised that The Nasdaq Stock Market LLC will commence delisting proceedings immediately following the closing of the merger. In such event, then pursuant to the Merger Agreement,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The combined company is obligated to use commercially reasonable efforts to take such steps as necessary to ensure the continued listing of the combined company’s common stock on the Nasdaq Capital Market following the closing of the merger. If the Stock Issuance Proposal is not approved but the Reverse Stock Approval is approved,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27, 2017, the directors and executive officers of Aviragen owned less than 1% of the outstanding shares of Aviragen common stock entitled to vote at the Aviragen special meeting. The directors and executive officers of Aviragen owning these shares are subject to support agreement to vote all shares of Aviragen common stock owned by them as of the record date in favor of the issuance of shares of Aviragen common stock in the merger pursuant to the Merger Agreement and the reverse stock split. As of December 27, 2017, Aviragen is not aware of any affiliate of Vaxart owning any shares of Aviragen common stock entitled to vote at the Aviragen special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3" w:name="page84"/>
    <w:bookmarkEnd w:id="8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solicitation by mail, the directors, officers, employees and agents of Aviragen may solicit proxies from Aviragen stockholders by personal interview, telephone, telegram, email or otherwise. Aviragen and Vaxart will share equally the costs of printing and filing this proxy statement/prospectus/information statement and proxy card. Arrangements will also be made with brokerage firms and other custodians, nominees and fiduciaries who are record holders of Aviragen common stock for the forwarding of solicitation materials to the beneficial owners of Aviragen common stock. Aviragen and Vaxart will reimburse these brokers, custodians, nominees and fiduciaries for the reasonable out-of-pocket expenses they incur in connection with the forwarding of solicitation materials. Aviragen has engaged D.F. King &amp; Co, Inc. to assist in the solicitation of proxies and provide related advice and informational support, for a service fee, plus customary disbursements, which are not expected to exceed $15,000 in total, which amount shall be borne equally by Aviragen and Vaxart.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of the date of this proxy statement/prospectus/information statement, the Aviragen board of directors does not know of any business to be presented at the Aviragen special meeting other than as set forth in the notice accompanying this proxy statement/prospectus/information statement. If any other matters should properly come before the Aviragen special meeting, it is intended that the shares represented by proxies will be voted with respect to such matters in accordance with the judgment of the persons voting the proxies.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This section and the section titled “The Merger Agreement” in this proxy statement/prospectus/information statement describe the material aspects of the merger, including the Merger Agreement. While Aviragen and Vaxart believe that this description covers the material terms of the merger and the Merger Agreement, it may not contain all of the information that is important to you. You should read carefully this entire proxy statement/prospectus/information statement for a more complete understanding of the merger and the Merger Agreement, including the Merger Agreement attached as Annex A, the opinion of Stifel, Nicolaus &amp; Company, Incorporated attached as Annex C, and the other documents to which you are referred herein. See the section titled “Where You Can Find More Information” in this proxy statement/prospectus/information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Aviragen is a biopharmaceutical company focused on the discovery and development of direct-acting antivirals to treat infections that have limited therapeutic options and affect a significant number of patients globally. Aviragen has three Phase 2 clinical stage compounds: BTA074 (teslexivir), an antiviral treatment for condyloma caused by human papillomavirus types 6 &amp; 11; vapendavir, a capsid inhibitor for the prevention or treatment of rhinovirus, or HRV, upper respiratory infections; and BTA585 (enzaplatovir), a fusion protein inhibitor in development for the treatment of respiratory syncytial virus infections. Aviragen also has a preclinical RSV non-fusion inhibitor program.</w:t>
      </w:r>
    </w:p>
    <w:p>
      <w:pPr>
        <w:spacing w:after="0" w:line="188"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The Aviragen board of directors and management regularly review Aviragen’s operating and strategic plans in an effort to enhance stockholder value. This review involves, among other things, discussions of opportunities and risks associated with Aviragen’s product candidates, development programs, financial condition and market, as well as consideration of strategic alternatives and options available to Aviragen.</w:t>
      </w:r>
    </w:p>
    <w:p>
      <w:pPr>
        <w:spacing w:after="0" w:line="16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February 13, 2017, a telephonic conference call was held between Aviragen’s management team and the Aviragen board of directors and outside corporate counsel, Dechert LLP, or Dechert, to discuss the SPIRITUS clinical trial, or the SPIRITUS Trial, top-line and safety data. The top-line data from the SPIRITUS Trial, a multi-center, randomized, double-blind, placebo-controlled, dose-ranging study of vapendavir in moderate to severe asthmatics with a rhinovirus infection was publicly announced after the market close on February 13, 2017. A decision was also made to put on hold the planned Phase 2 trial with vapendavir in hematopoietic stem cell transplant patients until additional analysis on the antiviral data from the SPIRITUS Trial was available.</w:t>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Although additional data analysis of the SPIRITUS Trial results continued, in light of the negative SPIRITUS Trial results together with the negative clinical results from the BTA585 Phase 2 respiratory syncytial virus, RSV, challenge trial, the Aviragen board of directors shortly thereafter initiated a process to identify and evaluate strategic alternatives available to Aviragen that ultimately resulted in the execution of the Merger Agreement with Vaxart. The terms of the Merger Agreement are the result of extensive arm’s-length negotiations among members of the transactions committee, Aviragen’s management team, and the management team of Vaxart with the assistance of their respective advisors and under the guidance of each company’s board of directors, after an extensive strategic review process. From the beginning, Aviragen followed a careful process assisted by experienced outside financial, medical, scientific and legal advisors to rigorously examine potential transactions and transaction candidates in a broad and inclusive manner. The following is a summary of the background of the process undertaken by Aviragen, and the identification and evaluation of strategic alternatives and the negotiation of the Merger Agreement, including the circumstances surrounding Aviragen’s decision to review strategic alternatives available to it.</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21, 2017 a special meeting of the Aviragen board of directors was held with Aviragen’s management team and outside corporate counsel to review and discuss the clinical, regulatory and manufacturing status of Aviragen’s recently completed Phase 2 clinical programs, as well as its ongoing Phase 2 clinical trial with BTA074 for the treatment of condyloma caused by human papilloma virus. In addition to the scientific and clinical presentations, a financial presentation, as prepared by Aviragen management, was given which included a current balance sheet, a financial forecast through June 30, 2018, a preliminary valuation of the royalty streams, a preliminary liquidation valuation and staff reductions. Detailed discussions were held regarding the merits and risks associated with management’s proposed development plan, including market opportunities and risks, development risks, costs and resources required to conduct required research and development activities and to execute such a plan and the expected timeline to proof-of-efficacy and other events likely to result in value to Aviragen’s stockholders. The Aviragen board of directors elected to continue the ongoing Phase 2 clinical trial with BTA074 to completion given that the trial would be fully enrolled by year end and represented an opportunity for value creation. The decision of the board of directors to continue the trial was also influenced by ethical concerns about stopping the trial before completion, as well as Aviragen’s obligations under its agreement with the sellers of BTA074. Representatives of Stifel joined the meeting and the board of directors then discussed the risks and potential benefits and opportunities of a range of strategic alternatives including:</w:t>
      </w:r>
    </w:p>
    <w:p>
      <w:pPr>
        <w:spacing w:after="0" w:line="180" w:lineRule="exact"/>
        <w:rPr>
          <w:sz w:val="20"/>
          <w:szCs w:val="20"/>
          <w:color w:val="auto"/>
        </w:rPr>
      </w:pPr>
    </w:p>
    <w:p>
      <w:pPr>
        <w:ind w:left="980" w:right="220" w:hanging="326"/>
        <w:spacing w:after="0" w:line="276"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pursuing a status quo strategy that would focus on using existing cash and royalties to continue to fund the BTA074 Phase 2 trial and the RSV non-fusion inhibitor programs to reach data readouts in 2018 that might enable a capital raise, if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980" w:right="200" w:hanging="326"/>
        <w:spacing w:after="0" w:line="276"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selling Aviragen to or merging with another entity that would give value for the BTA074 program and RSV non-fusion inhibitor programs and the anticipated royalties;</w:t>
      </w:r>
    </w:p>
    <w:p>
      <w:pPr>
        <w:spacing w:after="0" w:line="169" w:lineRule="exact"/>
        <w:rPr>
          <w:rFonts w:ascii="Arial" w:cs="Arial" w:eastAsia="Arial" w:hAnsi="Arial"/>
          <w:sz w:val="18"/>
          <w:szCs w:val="18"/>
          <w:color w:val="auto"/>
        </w:rPr>
      </w:pPr>
    </w:p>
    <w:p>
      <w:pPr>
        <w:ind w:left="980" w:right="140" w:hanging="326"/>
        <w:spacing w:after="0" w:line="276"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acquiring a smaller company that was in the broader infectious disease space to increase scale and gain synergies and contained other programs and additional capabilities;</w:t>
      </w:r>
    </w:p>
    <w:p>
      <w:pPr>
        <w:spacing w:after="0" w:line="169" w:lineRule="exact"/>
        <w:rPr>
          <w:rFonts w:ascii="Arial" w:cs="Arial" w:eastAsia="Arial" w:hAnsi="Arial"/>
          <w:sz w:val="18"/>
          <w:szCs w:val="18"/>
          <w:color w:val="auto"/>
        </w:rPr>
      </w:pPr>
    </w:p>
    <w:p>
      <w:pPr>
        <w:ind w:left="980" w:right="40" w:hanging="326"/>
        <w:spacing w:after="0" w:line="276"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reverse merging with another company with which there were no synergies, which would enable Aviragen to monetize its public listing and cash balance, but would likely provide no value for the Aviragen’s clinical programs; or</w:t>
      </w:r>
    </w:p>
    <w:p>
      <w:pPr>
        <w:spacing w:after="0" w:line="169" w:lineRule="exact"/>
        <w:rPr>
          <w:rFonts w:ascii="Arial" w:cs="Arial" w:eastAsia="Arial" w:hAnsi="Arial"/>
          <w:sz w:val="18"/>
          <w:szCs w:val="18"/>
          <w:color w:val="auto"/>
        </w:rPr>
      </w:pPr>
    </w:p>
    <w:p>
      <w:pPr>
        <w:ind w:left="980" w:right="80" w:hanging="326"/>
        <w:spacing w:after="0" w:line="276"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liquidating Aviragen and returning cash to stockholders, which would provide no value for the existing programs or the public listing and would likely take several years to complete.</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Also at the March 21, 2017 meeting, the Aviragen board of directors then established a transactions committee (as defined below) of the board of directors consisting of John P. Richard (Chairman), Armando Anido and Russell H. Plumb, as a committee of convenience, to assist in the investigation and evaluation of such strategic options and to make recommendations to the Aviragen board of directors with respect to the day-to-day decisions as to process and strategy concerning an assessment of any potential strategic alternatives. The Aviragen board of directors also discussed the evaluation and retention of financial and legal advisors to advise and assist Aviragen in its exploration of a potential strategic transaction and to investigate, pursue and consummate a strategic transaction. Stifel was familiar with Aviragen and its programs. In addition, certain Aviragen board members had prior experience with Stifel and familiarity with the Stifel team from transactions involving other companies and were in favor of engaging Stifel based on such experiences. Following discussion, the Aviragen board of directors formally engaged Stifel as financial advisor and Dechert as legal counsel to assist and advise Aviragen in the evaluation of certain strategic alternatives and any related proposal which may be received by Aviragen.</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April 4, 2017, Aviragen publicly announced that based on a review of the status of its internal programs, resources and capabilities, it planned to explore a wide range of strategic alternatives that included a business combination or strategic merger, in-licensing clinical stage programs, an acquisition, or other transaction that would complement Aviragen’s current pipeline and could maximize both near and long-term value for its stockholders. Aviragen also announced that it had retained Stifel to serve as its financial advisor in the process. Aviragen further announced that it had determined to reduce headcount by 25% to conserve cash.</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Between April 4 and May 24, 2017, the transactions committee and members of Aviragen’s management, with assistance from Stifel, conducted a process of identifying and evaluating potential candidates for a strategic transaction. Members of management and representatives of Stifel had initially considered a universe of 167 companies as possible strategic transaction candidates. However, management, with the assistance of Stifel, narrowed that list and management, as well as Stifel at the instruction of management, contacted a broad set of private and public companies that met certain criteria established by the transactions committee consisting of an evaluation of each party’s financing risk at closing; the party’s product pipeline; upcoming milestones with respect to the party’s product candidates likely to occur after a closing that may create greater value for stockholders; the experience and expertise of the party’s management and scientific teams; the party’s investor base and capital structure; the party’s ability to maintain Aviragen’s Nasdaq listing and operate a public company after closing; the relative potential valuations of Aviragen and the party; the party’s ability to effectively fund operations after a closing; and the synergy of the party’s pipeline together with Aviragen’s pipeline. As a result of this process, between April 4 and May 23, 2017, at the direction of the transactions committee and Aviragen management, Stifel sent Aviragen non-confidential materials to a total of 65 parties. Vaxart received its first introductory call from Mark Colonnese on April 6, 2017, an email from Aviragen containing the non-confidential materials on April 10, 2017 and a copy of the form of confidential disclosure agreement, or the CDA, on April 18, 2017. Of those parties that received materials, 34 parties declined further discussions and did not sign CDAs, two parties were interested in alternative structures, and 29 parties, including Vaxart, signed CDAs.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25, 2017, a telephone conference call was held with the transactions committee, representatives from Stifel, Dechert and Aviragen management to discuss the strategic review process. Stifel discussed the status of the strategic alternative outreach and response. Based on the significant number of parties interested in considering a transaction with Aviragen, Stifel recommended a process whereby each party that had expressed an interest in a transaction would be invited to submit bids in writing to Aviragen pursuant to a bid instruction letter and process. The objective of the process would be to facilitate a comparison of the proposals as well as an evaluation of the transaction risks so that the transactions committee could narrow the field of potential parties. An extensive discussion ensued after which the transactions committee instructed Stifel to conduct the strategic review in the manner described and to open up the process to the parties that had expressed interest in participating. As a result, the 29 parties that signed CDAs were sent bid instruction letters with a bid date of May 31, 2017. Vaxart received its bid instruction letter on May 2, 2017. In addition, on that same call the transactions committee noted and discussed the fact that a party with which board member Dr. Dunne was affiliated had indicated an interest in participating in the process. The transactions committee concluded that Dr. Dunne should be recused from any board discussions relating to the strategic review process, at least until the affiliated company was no longer a part of the process.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Between May 4 and May 30, 2017, 25 individual diligence calls were held between parties that executed a CDA and received a bid letter and Aviragen management and representatives from Stifel.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1, May 4, May 5 and May 8, 2017, teleconference calls were held with representatives of Stifel and Aviragen’s management to discuss the status of the strategic review process. On May 9, 2017, the first due diligence call with Vaxart took place with Aviragen’s executive management team that included Dr. Patti, President and Chief Executive Officer, Mr. Colonnese, Executive Vice President and Chief Financial Officer, Dr. John Vernachio, Vice President of Preclinical Development, Dr. Edward Lee, Vice President of Chemistry, Manufacturing and Controls, Ms. Anna Novotney-Barry, Vice President of Clinical Development, Mr. Uday Patel, Vice President of Regulatory Affairs and Mr. Jonas Niaura, Vice President of Corporate Development and Strategy. Also participating by phone was the Vaxart executive management team that included Dr. Latour, President and Chief Executive Officer, Mr. John Harland, Chief Financial Officer and Mr. Samir Singh, Senior Vice President of Corporate Development &amp; Strategy, and representatives from Stifel.</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17, 2017, a meeting of the Aviragen board of directors was held with Aviragen’s management and a representative from Dechert. Mr. Dougherty was not present. Mr. Richard, chairman of the transactions committee, updated the board of directors on circumstances regarding the ability of certain directors to participate in the strategic review process. He first confirmed that Dr. Dunne, being affiliated with one of the parties in the strategic review process, would recuse himself from all deliberations and information relating to the strategic review process, at least until such company was no longer part of the process. He also reported that Dr. Cox, who was affiliated with another party in the strategic review process, had informed such other entity that he was recusing himself from that party’s activities and information in connection with the strategic review process. The representative of Dechert then reminded the board members of, and reviewed with them, the fiduciary duties of the board with respect to the strategic review process. Management then reviewed the estimated liquidation value of Aviragen, noting certain assumptions with respect to continuation of the BTA074 trial, royalties, expected expenses and timing. The meeting continued on May 18, 2017. Prior to the beginning of the continuation of the meeting, it was agreed that Mr. Dougherty would not participate in the meeting and it was subsequently agreed that he recuse himself from ongoing board activities due to a potential for a conflict of interest.</w:t>
      </w:r>
    </w:p>
    <w:p>
      <w:pPr>
        <w:spacing w:after="0" w:line="16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Representatives from Stifel joined the meeting on May 18 and were advised to keep the board informed of any conflicts with any of the bidders that Stifel might have. The representatives of Stifel then provided an overview of the biopharma market, including the increase in IPO activity and a rebound in mergers and acquisitions activity. The representatives of Stifel also discussed with the Aviragen board of directors the status of the strategic review process and potential next steps. Stifel was excused from the meeting and the board and management discussed each of the potential parties with Dr. Cox leaving the meeting during discussion of a party with which he was affiliated. The board also discussed other alternatives.</w:t>
      </w:r>
    </w:p>
    <w:p>
      <w:pPr>
        <w:spacing w:after="0" w:line="176"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On May 24, 2017, a teleconference call was held with representatives of Stifel and Aviragen’s management to discuss the status of the strategic review process.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June 8, 2017, a teleconference call was held with representatives of Stifel, the transactions committee and Aviragen’s management to discuss the status of the strategic review process. Indications of interest from 16 parties, including Vaxart, were received by May 31, 2017, the bid deadline. Following an extensive review and discussion of each party that submitted an indication of interest, the transactions committee instructed Stifel to contact Vaxart and four other parties, Party A, Party B, Party C and Party D, to invite them to the second round of the strategic review process and provide a second bid instruction letter. In addition, the transactions committee decided that Aviragen would distribute a merger agreement drafted by Dechert to be marked up by the interested parties and returned with each party’s bid. Following receipt of the second round of indications of interest and marked up merger agreements, the transactions committee would decide which party or parties would move forward into final due diligence and negotiations. The due date for the second indication of interest was fixed at July 19, 2017.</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From June 12, 2017 to August 4, 2017, Aviragen’s management team held multiple conference calls with external medical and scientific experts to discuss the programs of Vaxart, Party A, Party B, Party C and Party D.</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On June 13, 2017, a telephone conference call was held with the transactions committee, representatives from Stifel, Dechert and Aviragen management to discuss strategy for keeping all five companies engaged in the process.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June 16, 2017, a telephone conference call was held with the transactions committee, representatives from Stifel, Dechert and Aviragen management to discuss the second bid letter and the merger agreement. In addition, representatives from an investment bank for one of the parties not selected to move forward in round two indicated that its client would be open to returning a sizeable amount of cash back to Aviragen stockholders after the close of the merger. With this new information in hand, this Party E was added to the strategic review process.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Also on June 16, 2017, Vaxart received its second bid letter instructions from Stifel and was instructed that the form of merger agreement would be placed in the data room and that the revised offer should include a markup of the merger agreement.</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27 and June 28, 2017, Aviragen management including Dr. Patti, Mr. Colonnese, Mr. Novotney-Barry, Dr. Vernachio, Mr. Patel, Mr. Niaura and Dr. Lee (by phone) and representatives from Stifel held individual face to face meetings with Dr. Latour, Vaxart’s President and Chief Executive Officer, Dr. Liebowitz, Vaxart’s Chief Medical Officer, Mr. Singh, Dr. Tucker, Vaxart’s Chief Scientific Officer (by phone) and Dave Ingamells, Vaxart’s Vice President of Manufacturing (by phone), as well as the executive management teams from Party A, Party B, Party C, Party D and Party E at the offices of Dechert in New York City. The purpose of the meetings was to have additional dialogue regarding the party’s clinical development plans for their programs. During such meetings, each party presented information about its company and the terms of its non-binding proposal, and responded to questions from Aviragen’s management team and Stifel representatives.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On July 1, 2017, management of Party A contacted representatives from Stifel to tell them that Party A was dropping out of the strategic review process.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July 19, 2017, Vaxart submitted its revised offer including a markup of the merger agreement to Stifel.</w:t>
      </w:r>
    </w:p>
    <w:p>
      <w:pPr>
        <w:spacing w:after="0" w:line="224"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On July 19, 2017, a telephone conference call was held with representatives from Stifel and Aviragen’s management. A representative from the investment bank representing Party E indicated that Party E was not interested in participating in the strategic review process and was going to explore other avenues. However, if a return of the cash was not a requirement, then they may make a different decision. Stifel noted that Vaxart, Party B, Party C and Party D had submitted a second round of indications of interest and marked up merger agreements.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On July 20, 2017, a telephone conference call was held with representatives from Stifel, Dechert and Aviragen management to discuss the second round bid-letters and the strategic review process going forward.</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In response to additional questions from Aviragen and Stifel, on July 21 and July 24, 2017, Vaxart provided additional diligence materials to support the July 19, 2017 revised offer.</w:t>
      </w:r>
    </w:p>
    <w:p>
      <w:pPr>
        <w:spacing w:after="0" w:line="170"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On July 25, 2017, a telephone conference call was held with the transactions committee, representatives from Stifel, Dechert and Aviragen management to discuss the second bid-letters and the marked-up merger agreements. In depth scientific, clinical, financial, and marketing discussions about Vaxart, Party B, Party C and Party D took place. Based on the financial requirements to sufficiently fund the clinical program, the risk associated with the clinical program, and the overall structure of the second indication of interest, the transactions committee decided to terminate discussions with Party B.</w:t>
      </w:r>
    </w:p>
    <w:p>
      <w:pPr>
        <w:spacing w:after="0" w:line="157"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color w:val="auto"/>
        </w:rPr>
        <w:t>On July 28, 2017, Party E submitted a second indication of interest adding to its offer contingent value rights relating to potential milestone payments from 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to the achievement of clinical and regulatory development milestones for BTA074.</w:t>
      </w:r>
    </w:p>
    <w:p>
      <w:pPr>
        <w:spacing w:after="0" w:line="38" w:lineRule="exact"/>
        <w:rPr>
          <w:sz w:val="20"/>
          <w:szCs w:val="20"/>
          <w:color w:val="auto"/>
        </w:rPr>
      </w:pPr>
    </w:p>
    <w:p>
      <w:pPr>
        <w:jc w:val="both"/>
        <w:ind w:right="320"/>
        <w:spacing w:after="0" w:line="285" w:lineRule="auto"/>
        <w:rPr>
          <w:sz w:val="20"/>
          <w:szCs w:val="20"/>
          <w:color w:val="auto"/>
        </w:rPr>
      </w:pPr>
      <w:r>
        <w:rPr>
          <w:rFonts w:ascii="Arial" w:cs="Arial" w:eastAsia="Arial" w:hAnsi="Arial"/>
          <w:sz w:val="17"/>
          <w:szCs w:val="17"/>
          <w:color w:val="auto"/>
        </w:rPr>
        <w:t>On July 30 and 31, 2017, Vaxart provided additional due diligence information in support of its offer. Later in the day on July 31, 2017, Dr. Patti and Mr. Colonnese from Aviragen, Dr. Latour, Mr. Harland, Dr. Liebowitz, Dr. Tucker and Mr. Singh from Vaxart, and representatives from Stifel participated in a conference call to review the details of the Vaxart offer, the Vaxart business plan and strategy and Vaxart finances.</w:t>
      </w:r>
    </w:p>
    <w:p>
      <w:pPr>
        <w:spacing w:after="0" w:line="1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August 3, 2017, a telephone conference call was held with the transactions committee, representatives from Stifel, Dechert and Aviragen management to discuss the second bid-letters and the marked up merger agreements from Vaxart, Party C, Party D and Party E. The transactions committee, with the assistance of its advisors, compared the indications of interest from and discussed each of the four parties. The transactions committee reviewed the terms reflected in the letters and considered, among other things, preliminary analysis by Stifel with respect to each of the four potential parties, consisting of, for each such party, a preliminary pro forma analysis of a combination with Aviragen, a selected publicly-traded company analysis, a selected precedent IPO transactions analysis, and a discounted cash flow analysis based on projections provided by Aviragen management. After in-depth discussion, the transactions committee decided not move forward with Vaxart at that time due to the expected timing of upcoming data from a Phase 1 norovirus vaccine study and a Phase 2 influenza challenge study, which was not conducive to concluding a merger within the time frame Aviragen was anticipating. The transactions committee instructed Stifel to contact Party C and Party E to discuss revisions to the terms in their second indication of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August 7, 2017, representatives from Stifel received a call from Party C indicating that it was withdrawing from the strategic review process.</w:t>
      </w:r>
    </w:p>
    <w:p>
      <w:pPr>
        <w:spacing w:after="0" w:line="224"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On August 9, 2017, representatives from Stifel had in-depth conversations with Party E concerning the contingent value rights, proposed ownership split, and funding commitments from existing shareholders. These discussions were shared with Aviragen’s management team later that same day.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August 11, 2017, the board of directors met and concluded that Mr. Dougherty could resume his full participation in board and committee matters, because the potential for a conflict of interest no longer existed.</w:t>
      </w:r>
    </w:p>
    <w:p>
      <w:pPr>
        <w:spacing w:after="0" w:line="17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On August 15, 2017, the board of directors held its regularly-scheduled meeting, with representatives of Stifel and Dechert participating in all or portions of the meeting. The representatives of Stifel and management discussed with the Aviragen board of directors the bids from each of the parties still in the process. The board of directors also discussed liquidation and the status quo scenarios presented by management at the Aviragen board of directors’ request.</w:t>
      </w:r>
    </w:p>
    <w:p>
      <w:pPr>
        <w:spacing w:after="0" w:line="148"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On August 17, 2017, representatives from Stifel and Aviragen’s management had a teleconference with investment banking representatives from Party E and with Party E’s chairman of the board and chief executive officer to discuss the timing and nature of funding commitments from existing shareholders.</w:t>
      </w:r>
    </w:p>
    <w:p>
      <w:pPr>
        <w:spacing w:after="0" w:line="125"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On August 21, 2017, a teleconference was held between representatives of Dechert and the legal counsel for Party E to discuss a number of issues related to the merger agreement.</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From August 28, 2017 through September 13, 2017, numerous interactions occurred among representatives of Stifel and Aviragen’s management and Party E’s investment bank and management, and between counsel to Party E and representatives of Dechert to discuss the merger agreement and other deal terms. Discussion included a focus on the importance to Aviragen of Party E’s existing investors providing additional funding to Party E as part of a transaction with Aviragen.</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September 11, 2017, Mr. Colonnese attended the Rodman &amp; Renshaw Global Investment Conference in New York City to participate in meetings with investors. During one such meeting a board member and major shareholder of a new party, or Party F, indicated that the shareholder of Party F was prepared to submit a non-binding cash bid to acquire Aviragen.</w:t>
      </w:r>
    </w:p>
    <w:p>
      <w:pPr>
        <w:spacing w:after="0" w:line="183"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On September 12, 2017, a telephone conference call was held with representatives from Stifel and Aviragen management. Stifel informed management that Party E was unsure if an investment into Party E was going to occur as planned. Legal representatives for Party E also raised additional concerns that they believed would add risk to successfully closing the transaction. Given the uncertainty of Party E continuing to participate in the strategic review process, Aviragen management instructed Stifel to re-engage with Vaxart to find out if it had any updates on the progress of its clinical programs.</w:t>
      </w:r>
    </w:p>
    <w:p>
      <w:pPr>
        <w:spacing w:after="0" w:line="157"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Later on September 12, 2017, Dr. Latour received a telephone call from a representative of Stifel stating that Aviragen may be interested in re-engaging in discussions with Vaxart and to be prepared to provide an update on the status of Vaxart’s clinical programs.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On September 13, 2017, a teleconference was held with the transactions committee, representatives from Stifel, Dechert and Aviragen management to discuss the appropriate approach to understanding the investment dynamics of Party E.</w:t>
      </w:r>
    </w:p>
    <w:p>
      <w:pPr>
        <w:spacing w:after="0" w:line="17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On September 13, 2017, Dr. Patti sent Dr. Latour an email stating that there may be an opportunity to re-open discussions with Aviragen and expressing an interest in the results of Vaxart’s norovirus and influenza trials. On September 13, 2017, representatives from Stifel were informed by the representatives of Party E’s investment bank that Party E was dropping out of the strategic review process.</w:t>
      </w:r>
    </w:p>
    <w:p>
      <w:pPr>
        <w:spacing w:after="0" w:line="183"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On September 18, 2017, Dr. Patti and Dr. Wouter Latour, had a telephone call in which Dr. Latour provided Dr. Patti and update on Vaxart’s clinical trials. Dr. Latour reported that the data from Vaxart’s two ongoing clinical trials had been received earlier than expected and that both trials met their primary objectives, and as a consequence, that Vaxart was open to re-engaging with Aviragen. Following that call, a telephone conference call was held with representatives from Stifel and Aviragen management to discuss the update on the progress of Vaxart’s clinical programs.</w:t>
      </w:r>
    </w:p>
    <w:p>
      <w:pPr>
        <w:spacing w:after="0" w:line="17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On September 19, 2017, an Aviragen board of directors meeting was held by phone with Aviragen’s management and representatives from Dechert and Stifel. Representatives of Stifel discussed with the board the termination of negotiations with Party E and a potential cash offer from Party F. The board of directors also discussed the status of discussions with Vaxart.</w:t>
      </w:r>
    </w:p>
    <w:p>
      <w:pPr>
        <w:spacing w:after="0" w:line="18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On September 20, 2017, Dr. Patti met with Dr. Latour and Mr. Harland at Vaxart’s corporate headquarters in South San Francisco, California to discuss its new clinical trial data, timing of planned clinical trials, the status of Vaxart’s preparedness to participate in the strategic review process and financial projections.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23, 2017, Vaxart provided top level due diligence materials to Aviragen regarding Vaxart’s clinical trial data.</w:t>
      </w:r>
    </w:p>
    <w:p>
      <w:pPr>
        <w:spacing w:after="0" w:line="224"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On September 25, 2017, the Vaxart board of directors held a telephonic meeting with management and Vaxart’s legal advisors, Cooley LLP during which the status of discussions with Aviragen was reviewed.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September 25, 2017, a teleconference was held with the transactions committee, representatives from Stifel, Dechert and Aviragen management to discuss a nonbinding, conditional offer received from Party F the previous day to acquire all the outstanding shares of Aviragen for $0.81/share in cash. Based on Aviragen management’s financial analysis, Aviragen’s management and the transactions committee believed this price significantly undervalued Aviragen’s financial and clinical assets. It was noted that in discussions between Party F and representatives of Aviragen, Party F had advised that it intended to make the offer directly to stockholders if its offer was not accepted. The transactions committee discussed a proposed response to Party F. Given that Party F could be seeking to commence a tender offer directly to Aviragen’s stockholders, which would prevent the board from negotiating a transaction that would maximize stockholder value, the transactions committee also authorized Dechert to commence preparation of a shareholder rights plan for consideration by the board.</w:t>
      </w:r>
    </w:p>
    <w:p>
      <w:pPr>
        <w:spacing w:after="0" w:line="16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On September 25, 2017, a teleconference was held between Dr. Patti, Mr. Colonnese, Ms. Novotney-Barry, Dr. Vernachio, Mr. Patel, Dr. Lee, and Mr. Niaura and Vaxart’s management that included Dr. Latour, Dr. Liebowitz and Dr. Tucker to discuss the detailed data from the Phase 1 norovirus vaccine trial and the Phase 2 influenza challenge trial.</w:t>
      </w:r>
    </w:p>
    <w:p>
      <w:pPr>
        <w:spacing w:after="0" w:line="183" w:lineRule="exact"/>
        <w:rPr>
          <w:sz w:val="20"/>
          <w:szCs w:val="20"/>
          <w:color w:val="auto"/>
        </w:rPr>
      </w:pPr>
    </w:p>
    <w:p>
      <w:pPr>
        <w:ind w:right="520"/>
        <w:spacing w:after="0" w:line="306" w:lineRule="auto"/>
        <w:rPr>
          <w:sz w:val="20"/>
          <w:szCs w:val="20"/>
          <w:color w:val="auto"/>
        </w:rPr>
      </w:pPr>
      <w:r>
        <w:rPr>
          <w:rFonts w:ascii="Arial" w:cs="Arial" w:eastAsia="Arial" w:hAnsi="Arial"/>
          <w:sz w:val="17"/>
          <w:szCs w:val="17"/>
          <w:color w:val="auto"/>
        </w:rPr>
        <w:t>On September 26, 2017, a call was held between Dr. Patti and Dr. Latour to discuss clinical development plans for Vaxart’s oral tablet vaccine pipeline, Vaxart’s financial model and a general discussion of the position of the Vaxart board of directors regarding a potential transaction.</w:t>
      </w:r>
    </w:p>
    <w:p>
      <w:pPr>
        <w:spacing w:after="0" w:line="14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September 26, 2017, an Aviragen board of directors meeting was held by phone with Aviragen’s management and representatives from Dechert and Stifel. The Aviragen board of directors, with its advisors, discussed the status of the overture from Party F including its current proposed offer and its unwillingness, following multiple requests, to sign a CDA containing customary standstill provisions in order to receive confidential information that might enable it to increase its bid. It was noted that every other participant in the process had signed such a CDA. The Aviragen board of directors then discussed (i) Aviragen’s potential valuation as compared to a liquidation scenario and a status quo scenario prepared by Aviragen management; (ii) Party F’s offer; and (iii) a potential merger with Vaxart. Following discussion and, taking into account additional input from Aviragen management, the Aviragen board of directors determined that Party F was not ascribing sufficient value to Aviragen and that its offer accordingly was inadequate. Dr. Cox reported on a recent call he had received from a representative of Party F in which the representative indicated that Party F was considering going public with its offer or otherwise waiting for Aviragen to announce a transaction and then seeking to "jump our deal" with a third-party. It was also noted that the offer from Party F was subject to due diligence, but its unwillingness to sign a CDA with a standstill precluded Party F from undertaking that due diligence. The board agreed, despite being of the view that the offer from Party F was inadequate and highly conditional, that Aviragen should continue to engage with Party F in order to leave no stone unturned in maximizing stockholder value. The board also received an update on the status of a potential transaction with Vaxart. Stifel was then excused from the call and the board engaged in an initial discussion of whether to implement a shareholder rights plan in light of the overtures from Party F. Presentations were made by Dechert regarding how such a plan would work and its potential benefits. The board authorized counsel to move forward with a shareholder rights plan in order to be best prepared to respond to the tactics that had been threatened by Party F, which could handcuff the board in its ongoing efforts to maximize stockholder value.</w:t>
      </w:r>
    </w:p>
    <w:p>
      <w:pPr>
        <w:spacing w:after="0" w:line="18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On September 27, 2017, representatives from Stifel had a call with Party F’s main investor and their management to discuss their refusal to sign a CDA with a standstill as had been signed by every other party in the process. The representatives of Stifel also indicated that Party F’s first offer was inadequate and reiterated that by reviewing confidential information Party F could be in a better position to make an offer that the Aviragen board of directors would reconsider. Party F reiterated its position that it would be submitting a revised non-binding offer contingent on diligence.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28, 2017, Dr. Patti and Mr. Colonnese had a call with Dr. Latour and Mr. Harland to further discuss Vaxart’s financial projections, their clinical development plans for their oral tablet vaccine pipeline and their norovirus commercialization plans, which was followed by the email delivery to Aviragen of updated development plans and other financial information regarding Vaxart. Also on September 28, 2017, a teleconference was held with the transactions committee, representatives from Stifel, Dechert and Aviragen management to review the revised non-binding, conditional offer from Party F. It was noted, that in response to a communication from Stifel that the original offer was inadequate, Party F had increased its offer from $0.81 per share to $0.84 per share and added a contingent value right, or CVR, that would be payable upon FDA approval of any one of the Aviragen’s current assets. It was also noted that Party F continued to be unwilling to execute a confidentiality agreement with a standstill in order to review information which would provide a fuller picture regarding Aviragen’s value. The transactions committee directed the representatives of Stifel to inform Party F that it would respond to the counter-proposal next week after the planned board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September 28 to October 14, 2017, additional diligence materials were provided and multiple calls were held between Dr. Patti, Mr. Colonnese and Mr. Niaura, on the one hand, and Dr. Latour and Mr. Harland, on the other, to conduct detailed due diligence and discuss Vaxart’s investor relations plan, the status of its intellectual property portfolio, Vaxart’s financial statements and the status of a potential debt financing by Vaxart, and the status of their press releases related to the Phase 1 norovirus oral tablet vaccine trial results and Phase 2 influenza challenge vaccine trial results. On October 2, 2017, a teleconference was held with the transactions committee, representatives from Stifel, Dechert and Aviragen management to discuss the status of the strategic review process. In addition, the representatives of Stifel discussed a preliminary analysis of the potential value of Aviragen as compared to a liquidation scenario and a status quo scenario as presented by Aviragen’s management. The representatives of Stifel also discussed a preliminary valuation analysis of the revised proposal by Party F and a preliminary valuation analysis of the proposed transaction with Vaxart. The transactions committee engaged in an extensive discussion of Aviragen’s valuation and compared that valuation against the proposals of Vaxart and of Party F. The transactions committee then discussed a potential response to Party F, directing Stifel to inform Party F that it would need to increase its offer.</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October 3, 2017, representatives from Stifel had a call with Party F’s main investor and its management to discuss Aviragen’s valuation. Party F demanded a formal written response to its non-binding offer.</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October 4, 2017, an Aviragen board of directors meeting was held by phone with Aviragen’s management and representatives from Dechert and Stifel. The representatives of Stifel discussed with the Aviragen board of directors the preliminary analyses of Aviragen and the revised proposal by Party F and the proposed transaction Vaxart that had been discussed by the transactions committee. The board engaged in an extensive discussion regarding the alternatives and determined that Aviragen should continue moving forward with negotiations with Vaxart, and declined to further engage with Party F unless it signed a CDA.</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On October 6, 2017, the Vaxart board of directors held a telephonic meeting with management and Cooley LLP where the status of discussions with Aviragen was reviewed.</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October 10 and 11, 2017, Dr. Latour and Dr. Liebowitz made presentations to Dr. Patti and Mr. Colonnese as well as to several Aviragen board members at Dechert’s offices in New York City. The presentations described in detail Vaxart’s oral recombinant vaccines based on its proprietary delivery platform, Vaxart’s recent clinical data from Phase 1 norovirus oral tablet vaccine trial results and Phase 2 influenza challenge vaccine trial, the market opportunity for a norovirus oral tablet vaccine and its financial projections.</w:t>
      </w:r>
    </w:p>
    <w:p>
      <w:pPr>
        <w:spacing w:after="0" w:line="18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On October 12, 2017, the Vaxart board of directors held a telephonic meeting with management and Cooley LLP. During this meeting, Vaxart’s legal advisors reviewed the terms of the merger and the merger agreement with the board, including the economic terms, key provisions including closing conditions and termination rights. A representative of Cooley LLP also outlined for the board their fiduciary duties in connection with the proposed merger with Aviragen, discussed certain interests of various board members by virtue of certain directors’ affiliations with venture capital funds that hold securities of Vaxart and interests of members of management in connection with their continued employment after the completion of the proposed merger and described for the board the actions they would be required to be taking in connection with approving the transaction in a subsequent meeting.</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13, 2017, an Aviragen board of directors meeting was held by phone with Aviragen’s management and representatives from Dechert and Stifel. Dr. Patti updated the board on the status of discussions with Vaxart. He also noted that most of the board members had utilized the opportunity earlier in the week to meet with management of Vaxart and to better understand its technology and prospects. He informed the board that there had not been any interaction with Party F since it was advised that its offer was not adequate. Stifel reviewed its preliminary financial analysis of the proposed transaction with Vaxart. A review was led by Dechert of the current terms of the merger agreement with Vaxart. Several questions were asked and answered, and a general discussion ensued.</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October 16, 2017, a telephone conference call was held with representatives from Stifel, Dechert and Aviragen management to discuss the latest version of the merger agreement, the proposed exchange ratio, the status of the various press releases and updated balance sheets of the individual and combined Aviragen and Vaxart.</w:t>
      </w:r>
    </w:p>
    <w:p>
      <w:pPr>
        <w:spacing w:after="0" w:line="18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Between October 16, 2017 and October 26, 2017, representatives of Dechert and counsel to Vaxart discussed various terms of the Merger Agreement and exchanged drafts of the Merger Agreement, as well as of the support agreements and other documentation. Representatives of Dechert discussed with counsel to Vaxart and counsel for Vaxart’s principal lender, the terms of Oxford’s consent to the merger. The parties also continued their legal diligence of each other.</w:t>
      </w:r>
    </w:p>
    <w:p>
      <w:pPr>
        <w:spacing w:after="0" w:line="1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October 27, 2017, the Vaxart board of directors held a telephonic meeting with Cooley LLP. The directors acknowledged and discussed that they had met and discussed on numerous occasions, both formerly and informally, the potential merits and risks to Vaxart and its stockholders of the merger and the Merger Agreement, the chronology of events leading to the proposals to approve the merger, the negotiations with the investors in such financing and with Vaxart with respect to the merger, and the terms and conditions of the merger, including of the potential merits and risks of the proposed transactions. A representative of Cooley LLP, Vaxart’s outside legal counsel, summarized the process undertaken by Vaxart leading to the proposed merger. The Vaxart board of directors acknowledged the fact that the merger contemplated by the merger agreement may constitute a potential interested party transaction under Delaware law by virtue of certain directors’ affiliations with venture capital funds that hold securities of Vaxart. During the meeting, a representative of Cooley LLP reviewed with the Vaxart board of directors the fiduciary duties of the board members in the context of the proposed merger contemplated by the merger agreement. A representative of Cooley LLP also summarized to the board the changes to the terms and conditions of the proposed merger, the merger agreement and the related ancillary documents since the meeting on October 12, 2017 when a more detailed summary of terms was discussed, including support agreements signed by certain directors and officers owning securities of Vaxart and Aviragen, and answered directors’ questions. After discussion, the Vaxart board of directors unanimously (i) approved and adopted the merger agreement, determined that the merger agreement and the transactions contemplated thereby, including the merger, are advisable and fair to, and in the best interests of, Vaxart and its stockholders, (ii) authorized and approved the merger, (iii) approved and adopted the related transaction documents, including the support agreements, (iv) resolved to recommend that the stockholders of Vaxart approve and adopt the merger agreement and (v) approved certain other related matters.</w:t>
      </w:r>
    </w:p>
    <w:p>
      <w:pPr>
        <w:sectPr>
          <w:pgSz w:w="11900" w:h="16838" w:orient="portrait"/>
          <w:cols w:equalWidth="0" w:num="1">
            <w:col w:w="11420"/>
          </w:cols>
          <w:pgMar w:left="240" w:top="118"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1" w:name="page92"/>
    <w:bookmarkEnd w:id="9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On October 27, 2017, representatives of Dechert provided the fully negotiated and final transaction documents consisting of the Merger Agreement, disclosure schedules, support agreements and lock-up agreements for dissemination to the transactions committee and board of directors.</w:t>
      </w:r>
    </w:p>
    <w:p>
      <w:pPr>
        <w:spacing w:after="0" w:line="14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Later on October 27, 2017, the Aviragen board of directors held a telephonic meeting with members of Aviragen executive management with representatives of Stifel and Dechert present. During the meeting, representatives of Dechert reviewed with the Aviragen board of directors the terms of the Merger Agreement. Representatives of Stifel reviewed the results of its financial analysis with respect to the merger and presented and delivered to the Aviragen board of directors Stifel’s oral opinion, which opinion was confirmed in writing on the same date, that, as of such date, and based upon and subject to the various limitations, matters, qualifications and assumptions set forth in its written opinion, the merger consideration to be paid by Aviragen to Vaxart stockholders in the merger pursuant to the Merger Agreement was fair to Aviragen, from a financial point of view, as more fully described in the section titled “The Merger— Opinion of the Financial Advisor to the Aviragen Board of Directors.” Stifel representatives then responded to questions from the Aviragen board of directors regarding its financial analysis. After the presentations and discussions, the Aviragen board of directors unanimously (a) determined that the transaction, the issuance of shares of Aviragen common stock pursuant to the transaction and the other transactions contemplated by the Merger Agreement are fair to, advisable and in the best interests of Aviragen and its stockholders, (b) approved the issuance of shares of Aviragen common stock pursuant to the transaction, the Merger Agreement and the other transactions contemplated thereby, (c) approved and declared advisable the Merger Agreement and the transactions contemplated thereby, and (d) resolved to recommend that the Aviragen stockholders vote to approve the issuance of shares of Aviragen common stock in the transaction pursuant to the terms of the Merger Agreement.</w:t>
      </w:r>
    </w:p>
    <w:p>
      <w:pPr>
        <w:spacing w:after="0" w:line="188" w:lineRule="exact"/>
        <w:rPr>
          <w:sz w:val="20"/>
          <w:szCs w:val="20"/>
          <w:color w:val="auto"/>
        </w:rPr>
      </w:pPr>
    </w:p>
    <w:p>
      <w:pPr>
        <w:ind w:right="520"/>
        <w:spacing w:after="0" w:line="340" w:lineRule="auto"/>
        <w:rPr>
          <w:sz w:val="20"/>
          <w:szCs w:val="20"/>
          <w:color w:val="auto"/>
        </w:rPr>
      </w:pPr>
      <w:r>
        <w:rPr>
          <w:rFonts w:ascii="Arial" w:cs="Arial" w:eastAsia="Arial" w:hAnsi="Arial"/>
          <w:sz w:val="16"/>
          <w:szCs w:val="16"/>
          <w:color w:val="auto"/>
        </w:rPr>
        <w:t>Following the Aviragen board meeting through the early morning of October 28, 2017, the legal counsels of Aviragen and Vaxart finalized the ancillary documents and exchanged signature pages to the Merger Agreement and related documents and the Merger Agreement was formally signed.</w:t>
      </w:r>
    </w:p>
    <w:p>
      <w:pPr>
        <w:spacing w:after="0" w:line="12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Before the opening of the Nasdaq Stock Market on October 30, 2017, Aviragen and Vaxart issued a joint press release announcing the execution of the Merger Agreement and the plans of Aviragen and Vaxart to consummate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 Reasons for the Merger</w:t>
      </w:r>
    </w:p>
    <w:p>
      <w:pPr>
        <w:spacing w:after="0" w:line="22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As noted above, the Aviragen board of directors and executive management team have regularly reviewed and discussed Aviragen’s operating and strategic plans, both near-term and long-term, as well as potential partnerships and strategic transactions, in an effort to enhance stockholder value. These reviews and discussions have focused, among other things, on the opportunities and risks associated with Aviragen’s business and financial condition and strategic relationships and other strategic options. In particular, recent setbacks in the clinical development of certain of Aviragen’s product candidates have prompted the Aviragen board of directors to focus on alternative means for providing returns to stockholders.</w:t>
      </w:r>
    </w:p>
    <w:p>
      <w:pPr>
        <w:spacing w:after="0" w:line="176"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In the course of its evaluation of the merger and the Merger Agreement, the Aviragen board of directors held numerous meetings, consulted with Aviragen’s executive management, legal counsel and financial advisor, and reviewed and assessed a significant amount of information and, in reaching its unanimous decision to approve the merger, the issuance of shares of Aviragen common stock pursuant to the Merger Agreement and the other transactions contemplated by the Merger Agreement, the Aviragen board of directors considered a number of factors, including, among others, the following:</w:t>
      </w:r>
    </w:p>
    <w:p>
      <w:pPr>
        <w:spacing w:after="0" w:line="157" w:lineRule="exact"/>
        <w:rPr>
          <w:sz w:val="20"/>
          <w:szCs w:val="20"/>
          <w:color w:val="auto"/>
        </w:rPr>
      </w:pPr>
    </w:p>
    <w:p>
      <w:pPr>
        <w:ind w:left="660" w:right="20" w:hanging="329"/>
        <w:spacing w:after="0" w:line="274"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Aviragen board of directors considered the historical and current information concerning Aviragen’s business, financial performance, financial condition, including Aviragen’s cash position, operations, management and competitive position, the prospects of Aviragen and its product candidates, the nature of the biotechnology industry generally, including financial projections of Aviragen under various scenarios and its short- and long-term strategic objectives and the related risks and the belief that the combination of Aviragen’s and Vaxart’s businesses would create more value for Aviragen stockholders in the long-term than Aviragen could create as an independent, stand-alone company.</w:t>
      </w:r>
    </w:p>
    <w:p>
      <w:pPr>
        <w:spacing w:after="0" w:line="176" w:lineRule="exact"/>
        <w:rPr>
          <w:rFonts w:ascii="Arial" w:cs="Arial" w:eastAsia="Arial" w:hAnsi="Arial"/>
          <w:sz w:val="17"/>
          <w:szCs w:val="17"/>
          <w:color w:val="auto"/>
        </w:rPr>
      </w:pPr>
    </w:p>
    <w:p>
      <w:pPr>
        <w:ind w:left="660" w:right="340" w:hanging="329"/>
        <w:spacing w:after="0" w:line="295"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Aviragen board of directors’ belief, based in part on the judgment, advice and analysis of Aviragen management with respect to the potential strategic, financial and operational benefits of the merger (which judgment, advice and analysis was informed in part by the business, technical, financial, accounting and legal due diligence investigation performed by Aviragen with respect to Vaxart), that Vaxart’s proprietary technology platform, with its broad applicability in the pharmaceutical industry, as well as its product pipeline, which includes clinical stage candidates that address sizeable market opportunities, and may provide new medical benefits for patients and returns for investors.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160" w:hanging="329"/>
        <w:spacing w:after="0" w:line="295"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Aviragen board of directors also reviewed with the management of Aviragen the current development plans of Vaxart to confirm the likelihood that the combined company would possess sufficient resources, or have access to sufficient resources, to allow the management team to focus on its plans for the continued development of Vaxart’s product pipeline, as well as the continued development of BTA 074, assuming a successful Phase 2 trial. The Aviragen board of directors also considered the possibility that the combined company would be able to take advantage of the potential benefits resulting from the combination of the Aviragen public company structure with the Vaxart business to raise additional funds in the future.</w:t>
      </w:r>
    </w:p>
    <w:p>
      <w:pPr>
        <w:spacing w:after="0" w:line="161" w:lineRule="exact"/>
        <w:rPr>
          <w:rFonts w:ascii="Arial" w:cs="Arial" w:eastAsia="Arial" w:hAnsi="Arial"/>
          <w:sz w:val="16"/>
          <w:szCs w:val="16"/>
          <w:color w:val="auto"/>
        </w:rPr>
      </w:pPr>
    </w:p>
    <w:p>
      <w:pPr>
        <w:ind w:left="660" w:hanging="329"/>
        <w:spacing w:after="0" w:line="270"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Aviragen board of directors also considered the valuation and business prospects of all the potential strategic transaction candidates. In particular, their collective view was that Vaxart was the most attractive candidate because of the promising results of previous clinical trials with its influenza vaccine and its norovirus vaccine, the possibility for expedited regulatory review of certain of its products in the United States and the large market opportunities that Vaxart’s products address. After considering the comprehensive diligence review that Aviragen management had completed of other prospective transaction partners, the board concluded that the merger with Vaxart would create a publicly traded company focused on advancing its proprietary technology platform, with its broad applicability in the pharmaceutical industry, as well as its product pipeline, which includes clinical stage candidates that address sizeable market opportunities, and that would create more value for Aviragen’s stockholders than any of the other alternatives the board had considered.</w:t>
      </w:r>
    </w:p>
    <w:p>
      <w:pPr>
        <w:spacing w:after="0" w:line="178" w:lineRule="exact"/>
        <w:rPr>
          <w:rFonts w:ascii="Arial" w:cs="Arial" w:eastAsia="Arial" w:hAnsi="Arial"/>
          <w:sz w:val="17"/>
          <w:szCs w:val="17"/>
          <w:color w:val="auto"/>
        </w:rPr>
      </w:pPr>
    </w:p>
    <w:p>
      <w:pPr>
        <w:ind w:left="660" w:right="240" w:hanging="329"/>
        <w:spacing w:after="0" w:line="27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Aviragen board of directors concluded that the merger would provide existing Aviragen stockholders a significant opportunity to participate in the potential growth of the combined company following the merger.</w:t>
      </w:r>
    </w:p>
    <w:p>
      <w:pPr>
        <w:spacing w:after="0" w:line="169" w:lineRule="exact"/>
        <w:rPr>
          <w:rFonts w:ascii="Arial" w:cs="Arial" w:eastAsia="Arial" w:hAnsi="Arial"/>
          <w:sz w:val="18"/>
          <w:szCs w:val="18"/>
          <w:color w:val="auto"/>
        </w:rPr>
      </w:pPr>
    </w:p>
    <w:p>
      <w:pPr>
        <w:ind w:left="660" w:right="80" w:hanging="329"/>
        <w:spacing w:after="0" w:line="276"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Aviragen board of directors also considered that the combined company will be led by an experienced senior management team from Vaxart and a board of directors with representation from each of the current boards of directors of Aviragen and Vaxart.</w:t>
      </w:r>
    </w:p>
    <w:p>
      <w:pPr>
        <w:spacing w:after="0" w:line="169" w:lineRule="exact"/>
        <w:rPr>
          <w:rFonts w:ascii="Arial" w:cs="Arial" w:eastAsia="Arial" w:hAnsi="Arial"/>
          <w:sz w:val="18"/>
          <w:szCs w:val="18"/>
          <w:color w:val="auto"/>
        </w:rPr>
      </w:pPr>
    </w:p>
    <w:p>
      <w:pPr>
        <w:ind w:left="660" w:right="80" w:hanging="329"/>
        <w:spacing w:after="0" w:line="25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Aviragen board of directors considered the financial analyses of Stifel, which Aviragen had engaged to act as its financial advisor in connection with the merger, including in connection with the Aviragen board of directors’ consideration and evaluation of certain potential strategic alternatives, and the opinion of Stifel that, as of the date of such opinion, and based upon and subject to the various limitations, matters, qualifications and assumptions set forth in its written opinion, the merger consideration to be paid by Aviragen to Vaxart stockholders in the merger pursuant to the Merger Agreement, was fair to Aviragen, from a financial point of view, as more fully described in the section titled “The Merger—Opinion of the Financial Advisor to the Aviragen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Aviragen board of directors also reviewed the recent results of operations and financial condition of Aviragen, including:</w:t>
      </w:r>
    </w:p>
    <w:p>
      <w:pPr>
        <w:spacing w:after="0" w:line="224" w:lineRule="exact"/>
        <w:rPr>
          <w:sz w:val="20"/>
          <w:szCs w:val="20"/>
          <w:color w:val="auto"/>
        </w:rPr>
      </w:pPr>
    </w:p>
    <w:p>
      <w:pPr>
        <w:ind w:left="660" w:right="260" w:hanging="329"/>
        <w:spacing w:after="0" w:line="27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failure of vapendavir to meet the primary endpoint in its Phase 2 SPIRITUS trial and the failure of BTA585 to meet the primary endpoint in its Phase 2 challenge trial;</w:t>
      </w:r>
    </w:p>
    <w:p>
      <w:pPr>
        <w:spacing w:after="0" w:line="169" w:lineRule="exact"/>
        <w:rPr>
          <w:rFonts w:ascii="Arial" w:cs="Arial" w:eastAsia="Arial" w:hAnsi="Arial"/>
          <w:sz w:val="18"/>
          <w:szCs w:val="18"/>
          <w:color w:val="auto"/>
        </w:rPr>
      </w:pPr>
    </w:p>
    <w:p>
      <w:pPr>
        <w:ind w:left="660" w:right="400" w:hanging="329"/>
        <w:spacing w:after="0" w:line="27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clinical development risks associated with continuing to develop vapendavir and BTA585, including additional clinical studies that would be required and the potential market value of each product;</w:t>
      </w:r>
    </w:p>
    <w:p>
      <w:pPr>
        <w:spacing w:after="0" w:line="169" w:lineRule="exact"/>
        <w:rPr>
          <w:rFonts w:ascii="Arial" w:cs="Arial" w:eastAsia="Arial" w:hAnsi="Arial"/>
          <w:sz w:val="18"/>
          <w:szCs w:val="18"/>
          <w:color w:val="auto"/>
        </w:rPr>
      </w:pPr>
    </w:p>
    <w:p>
      <w:pPr>
        <w:ind w:left="660" w:right="60" w:hanging="329"/>
        <w:spacing w:after="0" w:line="262"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loss of the certain operational capabilities of Aviragen, and the risks associated with continuing to operate Aviragen on a stand-alone basis, including the resources needed to continue to develop vapendavir and the need to develop its remaining pipeline of product candidates to continue its operations;</w:t>
      </w:r>
    </w:p>
    <w:p>
      <w:pPr>
        <w:spacing w:after="0" w:line="183" w:lineRule="exact"/>
        <w:rPr>
          <w:rFonts w:ascii="Arial" w:cs="Arial" w:eastAsia="Arial" w:hAnsi="Arial"/>
          <w:sz w:val="18"/>
          <w:szCs w:val="18"/>
          <w:color w:val="auto"/>
        </w:rPr>
      </w:pPr>
    </w:p>
    <w:p>
      <w:pPr>
        <w:ind w:left="660" w:right="240" w:hanging="329"/>
        <w:spacing w:after="0" w:line="262"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results of substantial efforts made over a significant period of time by Aviragen’s senior management and financial advisor to solicit strategic alternatives for Aviragen to the merger, including the discussions that Aviragen management, Aviragen’s representatives and the Aviragen board of directors had in 2017 with other potential strategic transaction candidates;</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current financial market conditions and historical market prices, volatility and trading information with respect to Aviragen common stock; and</w:t>
      </w:r>
    </w:p>
    <w:p>
      <w:pPr>
        <w:spacing w:after="0" w:line="235" w:lineRule="exact"/>
        <w:rPr>
          <w:rFonts w:ascii="Arial" w:cs="Arial" w:eastAsia="Arial" w:hAnsi="Arial"/>
          <w:sz w:val="17"/>
          <w:szCs w:val="17"/>
          <w:color w:val="auto"/>
        </w:rPr>
      </w:pPr>
    </w:p>
    <w:p>
      <w:pPr>
        <w:ind w:left="660" w:right="20" w:hanging="329"/>
        <w:spacing w:after="0" w:line="267"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risks, costs and timing and limited amount, if any, that would be distributable to Aviragen stockholders associated with a potential liquidation of the company. Based upon Aviragen’s estimated cash balance of approximately $31.5 million as of October 31, 2017 and Aviragen management’s estimates of future liabilities with respect to clinical and contingent contractual obligations, including a $10 million contingent payment related to the Anaconda stock purchase agreement, insurance, professional costs and other corporate expenses, lease expenses, compensation and severance expenses, debt repayment expenses and other wind-down expenses, Aviragen management estimated that Aviragen would have a base case liquidation value (including the value of projected royalty amounts) of approximately $22.4 million ($0.58 per share) that would be distributable to Aviragen stockholders. The timing of paying this estimated liquidation distribution is unknown and could take a significant period of time. In addition to the liquidation analysis, the Aviragen board of directors also considered pursuing a status quo strategy that would focus on using existing cash and royalties to continue to fund the BTA074 Phase 2 trial and the RSV non-fusion inhibitor programs to reach data readouts in 2018 that might enable a capital raise. Based on Aviragen management’s estimates of cash, future liabilities with respect to clinical and contingent contractual obligations, insurance and professional costs, other corporate expenses, lease expenses, compensation and severance expenses, debt repayment expenses and other expenses, and assuming the $10 million contingent payment related to the Anaconda stock purchase agreement would not be payable, Aviragen management’s estimated that Aviragen would have a post Phase 2 clinical trial base case status quo value of $25 million ($0.65 per share).</w:t>
      </w:r>
    </w:p>
    <w:p>
      <w:pPr>
        <w:sectPr>
          <w:pgSz w:w="11900" w:h="16838" w:orient="portrait"/>
          <w:cols w:equalWidth="0" w:num="1">
            <w:col w:w="11420"/>
          </w:cols>
          <w:pgMar w:left="240" w:top="118"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3" w:name="page94"/>
    <w:bookmarkEnd w:id="9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Aviragen board of directors also reviewed the terms of the Merger Agreement and associated transactions, including:</w:t>
      </w:r>
    </w:p>
    <w:p>
      <w:pPr>
        <w:spacing w:after="0" w:line="224" w:lineRule="exact"/>
        <w:rPr>
          <w:sz w:val="20"/>
          <w:szCs w:val="20"/>
          <w:color w:val="auto"/>
        </w:rPr>
      </w:pPr>
    </w:p>
    <w:p>
      <w:pPr>
        <w:ind w:left="660" w:hanging="329"/>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relative percentage ownership of Aviragen securityholders and Vaxart securityholders immediately following the closing of the merger;</w:t>
      </w:r>
    </w:p>
    <w:p>
      <w:pPr>
        <w:spacing w:after="0" w:line="235" w:lineRule="exact"/>
        <w:rPr>
          <w:rFonts w:ascii="Arial" w:cs="Arial" w:eastAsia="Arial" w:hAnsi="Arial"/>
          <w:sz w:val="17"/>
          <w:szCs w:val="17"/>
          <w:color w:val="auto"/>
        </w:rPr>
      </w:pPr>
    </w:p>
    <w:p>
      <w:pPr>
        <w:ind w:left="660" w:right="100" w:hanging="329"/>
        <w:spacing w:after="0" w:line="27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number and nature of the conditions to Vaxart’s obligation to consummate the merger and the limited risk of non-satisfaction of such conditions as well as the likelihood that the merger will be consummated on a timely basis;</w:t>
      </w:r>
    </w:p>
    <w:p>
      <w:pPr>
        <w:spacing w:after="0" w:line="169" w:lineRule="exact"/>
        <w:rPr>
          <w:rFonts w:ascii="Arial" w:cs="Arial" w:eastAsia="Arial" w:hAnsi="Arial"/>
          <w:sz w:val="18"/>
          <w:szCs w:val="18"/>
          <w:color w:val="auto"/>
        </w:rPr>
      </w:pPr>
    </w:p>
    <w:p>
      <w:pPr>
        <w:ind w:left="660" w:right="820" w:hanging="329"/>
        <w:spacing w:after="0" w:line="27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of, and limitations on, Aviragen under the Merger Agreement to consider certain unsolicited acquisition proposals under certain circumstances, should Aviragen receive a “superior offer” (as defined below);</w:t>
      </w:r>
    </w:p>
    <w:p>
      <w:pPr>
        <w:spacing w:after="0" w:line="169" w:lineRule="exact"/>
        <w:rPr>
          <w:rFonts w:ascii="Arial" w:cs="Arial" w:eastAsia="Arial" w:hAnsi="Arial"/>
          <w:sz w:val="18"/>
          <w:szCs w:val="18"/>
          <w:color w:val="auto"/>
        </w:rPr>
      </w:pPr>
    </w:p>
    <w:p>
      <w:pPr>
        <w:ind w:left="660" w:right="380" w:hanging="329"/>
        <w:spacing w:after="0" w:line="27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reasonableness of the potential termination fee of up to $1.95 million, which could become payable by Aviragen if the Merger Agreement is terminated in certain circumstances and certain events occur;</w:t>
      </w:r>
    </w:p>
    <w:p>
      <w:pPr>
        <w:spacing w:after="0" w:line="169" w:lineRule="exact"/>
        <w:rPr>
          <w:rFonts w:ascii="Arial" w:cs="Arial" w:eastAsia="Arial" w:hAnsi="Arial"/>
          <w:sz w:val="18"/>
          <w:szCs w:val="18"/>
          <w:color w:val="auto"/>
        </w:rPr>
      </w:pPr>
    </w:p>
    <w:p>
      <w:pPr>
        <w:ind w:left="660" w:right="100" w:hanging="329"/>
        <w:spacing w:after="0" w:line="340"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agreement by the stockholders of Vaxart holding the requisite number of shares of Vaxart capital stock to vote such shares in favor of approving the transactions contemplated by the Merger Agreement and against actions that could adversely affect the closing of the merger; and</w:t>
      </w:r>
    </w:p>
    <w:p>
      <w:pPr>
        <w:spacing w:after="0" w:line="124" w:lineRule="exact"/>
        <w:rPr>
          <w:rFonts w:ascii="Arial" w:cs="Arial" w:eastAsia="Arial" w:hAnsi="Arial"/>
          <w:sz w:val="16"/>
          <w:szCs w:val="16"/>
          <w:color w:val="auto"/>
        </w:rPr>
      </w:pPr>
    </w:p>
    <w:p>
      <w:pPr>
        <w:ind w:left="660" w:right="520" w:hanging="329"/>
        <w:spacing w:after="0" w:line="27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170"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In the course of its deliberations, the Aviragen board of directors also considered a variety of risks and other countervailing factors related to the merger, including:</w:t>
      </w:r>
    </w:p>
    <w:p>
      <w:pPr>
        <w:spacing w:after="0" w:line="170" w:lineRule="exact"/>
        <w:rPr>
          <w:sz w:val="20"/>
          <w:szCs w:val="20"/>
          <w:color w:val="auto"/>
        </w:rPr>
      </w:pPr>
    </w:p>
    <w:p>
      <w:pPr>
        <w:ind w:left="660" w:right="80" w:hanging="329"/>
        <w:spacing w:after="0" w:line="306"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up to $1.95 million termination fee payable by Aviragen upon the occurrence of certain events and the potential effect of such termination fee in deterring other potential acquirors from proposing an alternative transaction that may be more advantageous to Aviragen stockholders;</w:t>
      </w:r>
    </w:p>
    <w:p>
      <w:pPr>
        <w:spacing w:after="0" w:line="147" w:lineRule="exact"/>
        <w:rPr>
          <w:rFonts w:ascii="Arial" w:cs="Arial" w:eastAsia="Arial" w:hAnsi="Arial"/>
          <w:sz w:val="17"/>
          <w:szCs w:val="17"/>
          <w:color w:val="auto"/>
        </w:rPr>
      </w:pPr>
    </w:p>
    <w:p>
      <w:pPr>
        <w:ind w:left="660" w:hanging="329"/>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substantial expenses to be incurred in connection with the merger;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possible volatility, at least in the short term, of the trading price of the Aviragen common stock resulting from the announcement of the merger;</w:t>
      </w:r>
    </w:p>
    <w:p>
      <w:pPr>
        <w:spacing w:after="0" w:line="246" w:lineRule="exact"/>
        <w:rPr>
          <w:rFonts w:ascii="Arial" w:cs="Arial" w:eastAsia="Arial" w:hAnsi="Arial"/>
          <w:sz w:val="16"/>
          <w:szCs w:val="16"/>
          <w:color w:val="auto"/>
        </w:rPr>
      </w:pPr>
    </w:p>
    <w:p>
      <w:pPr>
        <w:ind w:left="660" w:right="260" w:hanging="329"/>
        <w:spacing w:after="0" w:line="276"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at all and the potential adverse effect of the public announcement of the merger or on the delay or failure to complete the merger on the reputation of Aviragen;</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risk to the business of Aviragen, operations and financial results in the event that the merger is not consummated;</w:t>
      </w:r>
    </w:p>
    <w:p>
      <w:pPr>
        <w:spacing w:after="0" w:line="223" w:lineRule="exact"/>
        <w:rPr>
          <w:rFonts w:ascii="Arial" w:cs="Arial" w:eastAsia="Arial" w:hAnsi="Arial"/>
          <w:sz w:val="18"/>
          <w:szCs w:val="18"/>
          <w:color w:val="auto"/>
        </w:rPr>
      </w:pPr>
    </w:p>
    <w:p>
      <w:pPr>
        <w:ind w:left="660" w:right="200" w:hanging="329"/>
        <w:spacing w:after="0" w:line="340"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strategic direction of the continuing entity following the closing of the merger, which will be determined by a combination of individuals from Vaxart’s management team and a board of directors initially comprised of a combination of Aviragen’s and the Vaxart board of directors; and</w:t>
      </w:r>
    </w:p>
    <w:p>
      <w:pPr>
        <w:spacing w:after="0" w:line="124" w:lineRule="exact"/>
        <w:rPr>
          <w:rFonts w:ascii="Arial" w:cs="Arial" w:eastAsia="Arial" w:hAnsi="Arial"/>
          <w:sz w:val="16"/>
          <w:szCs w:val="16"/>
          <w:color w:val="auto"/>
        </w:rPr>
      </w:pPr>
    </w:p>
    <w:p>
      <w:pPr>
        <w:ind w:left="660" w:right="560" w:hanging="329"/>
        <w:spacing w:after="0" w:line="276"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merger, including those described in the sections titled “Risk Factors” and “Cautionary Statement Concerning Forward-Looking Statements.”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foregoing information and factors considered by the Aviragen board of directors are not intended to be exhaustive but are believed to include all of the material factors considered by the Aviragen board of directors. In view of the wide variety of factors considered in connection with its evaluation of the merger and the complexity of these matters, the Aviragen board of directors did not find it useful, and did not attempt, to quantify, rank or otherwise assign relative weights to these factors. In considering the factors described above, individual members of the Aviragen board of directors may have given different weight to different factors. The Aviragen board of directors conducted an overall analysis of the factors described above, including thorough discussions with, and questioning of, the Aviragen management team and the legal and financial advisors of Aviragen, and considered the factors overall to be favorable to, and to support, its determination.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 Reasons for the Merger</w:t>
      </w:r>
    </w:p>
    <w:p>
      <w:pPr>
        <w:spacing w:after="0" w:line="22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In the course of reaching its decision to approve the merger, the Vaxart board of directors consulted with its senior management, financial advisor and legal counsel, reviewed a significant amount of information and considered a number of factors, including, among others:</w:t>
      </w:r>
    </w:p>
    <w:p>
      <w:pPr>
        <w:spacing w:after="0" w:line="170" w:lineRule="exact"/>
        <w:rPr>
          <w:sz w:val="20"/>
          <w:szCs w:val="20"/>
          <w:color w:val="auto"/>
        </w:rPr>
      </w:pPr>
    </w:p>
    <w:p>
      <w:pPr>
        <w:ind w:left="660" w:hanging="329"/>
        <w:spacing w:after="0" w:line="276"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potential increased access to sources of capital at a lower cost and a broader range of investors to support Vaxart’s commercialization efforts than it could otherwise obtain if it continued to operate as a privately-held company;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potential to provide its current stockholders with greater liquidity by owning stock in a public company;</w:t>
      </w:r>
    </w:p>
    <w:p>
      <w:pPr>
        <w:spacing w:after="0" w:line="223" w:lineRule="exact"/>
        <w:rPr>
          <w:rFonts w:ascii="Arial" w:cs="Arial" w:eastAsia="Arial" w:hAnsi="Arial"/>
          <w:sz w:val="18"/>
          <w:szCs w:val="18"/>
          <w:color w:val="auto"/>
        </w:rPr>
      </w:pPr>
    </w:p>
    <w:p>
      <w:pPr>
        <w:ind w:left="660" w:right="120" w:hanging="329"/>
        <w:spacing w:after="0" w:line="340"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Vaxart board of directors’ belief that no alternatives to the merger were reasonably likely to create greater value for the Vaxart stockholders after reviewing the various strategic options to enhance stockholder value that were considered by the Vaxart board of directors;</w:t>
      </w:r>
    </w:p>
    <w:p>
      <w:pPr>
        <w:spacing w:after="0" w:line="124" w:lineRule="exact"/>
        <w:rPr>
          <w:rFonts w:ascii="Arial" w:cs="Arial" w:eastAsia="Arial" w:hAnsi="Arial"/>
          <w:sz w:val="16"/>
          <w:szCs w:val="16"/>
          <w:color w:val="auto"/>
        </w:rPr>
      </w:pPr>
    </w:p>
    <w:p>
      <w:pPr>
        <w:ind w:left="660" w:hanging="329"/>
        <w:spacing w:after="0" w:line="27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cash resources of the combined company expected to be available at the closing of the merger, including Aviragen’s cash balance of $32.7 million as of October 31, 2017;</w:t>
      </w:r>
    </w:p>
    <w:p>
      <w:pPr>
        <w:spacing w:after="0" w:line="169" w:lineRule="exact"/>
        <w:rPr>
          <w:rFonts w:ascii="Arial" w:cs="Arial" w:eastAsia="Arial" w:hAnsi="Arial"/>
          <w:sz w:val="18"/>
          <w:szCs w:val="18"/>
          <w:color w:val="auto"/>
        </w:rPr>
      </w:pPr>
    </w:p>
    <w:p>
      <w:pPr>
        <w:ind w:left="660" w:right="200" w:hanging="329"/>
        <w:spacing w:after="0" w:line="262"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availability of appraisal rights under the DGCL to holders of Vaxart common stock who comply with the required procedures under the DGCL, which allow such holders to seek appraisal of the fair value of their shares of Vaxart common stock as determined by the Delaware Court of Chancery;</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expectation that the merger with Aviragen would be a more time- and cost-effective means to access capital than other options considered;</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without limitation, the following:</w:t>
      </w:r>
    </w:p>
    <w:p>
      <w:pPr>
        <w:spacing w:after="0" w:line="223" w:lineRule="exact"/>
        <w:rPr>
          <w:rFonts w:ascii="Arial" w:cs="Arial" w:eastAsia="Arial" w:hAnsi="Arial"/>
          <w:sz w:val="18"/>
          <w:szCs w:val="18"/>
          <w:color w:val="auto"/>
        </w:rPr>
      </w:pPr>
    </w:p>
    <w:p>
      <w:pPr>
        <w:jc w:val="both"/>
        <w:ind w:left="980" w:right="460" w:hanging="326"/>
        <w:spacing w:after="0" w:line="310" w:lineRule="auto"/>
        <w:tabs>
          <w:tab w:leader="none" w:pos="9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determination that the expected relative percentage ownership of Aviragen securityholders and Vaxart securityholders in the combined company was appropriate based, in the judgment of the Vaxart board of directors, on the board of directors’ assessment of the approximate valuations of Aviragen and Vaxart and the comparative costs and risks associated with alternatives to the merger.</w:t>
      </w:r>
    </w:p>
    <w:p>
      <w:pPr>
        <w:spacing w:after="0" w:line="148" w:lineRule="exact"/>
        <w:rPr>
          <w:rFonts w:ascii="Arial" w:cs="Arial" w:eastAsia="Arial" w:hAnsi="Arial"/>
          <w:sz w:val="16"/>
          <w:szCs w:val="16"/>
          <w:color w:val="auto"/>
        </w:rPr>
      </w:pPr>
    </w:p>
    <w:p>
      <w:pPr>
        <w:ind w:left="980" w:right="160" w:hanging="326"/>
        <w:spacing w:after="0" w:line="262"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expectation that the merger will be treated as a reorganization for U.S. federal income tax purposes, with the result that the Vaxart stockholders will generally not recognize taxable gain or loss for U.S. federal income tax purposes upon the exchange of Vaxart common stock for Aviragen common stock pursuant to the merger.</w:t>
      </w:r>
    </w:p>
    <w:p>
      <w:pPr>
        <w:spacing w:after="0" w:line="183" w:lineRule="exact"/>
        <w:rPr>
          <w:rFonts w:ascii="Arial" w:cs="Arial" w:eastAsia="Arial" w:hAnsi="Arial"/>
          <w:sz w:val="18"/>
          <w:szCs w:val="18"/>
          <w:color w:val="auto"/>
        </w:rPr>
      </w:pPr>
    </w:p>
    <w:p>
      <w:pPr>
        <w:ind w:left="980" w:hanging="32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limited number and nature of the conditions of the obligation of Aviragen to consummate the merger.</w:t>
      </w:r>
    </w:p>
    <w:p>
      <w:pPr>
        <w:spacing w:after="0" w:line="223" w:lineRule="exact"/>
        <w:rPr>
          <w:rFonts w:ascii="Arial" w:cs="Arial" w:eastAsia="Arial" w:hAnsi="Arial"/>
          <w:sz w:val="18"/>
          <w:szCs w:val="18"/>
          <w:color w:val="auto"/>
        </w:rPr>
      </w:pPr>
    </w:p>
    <w:p>
      <w:pPr>
        <w:ind w:left="980" w:right="700" w:hanging="326"/>
        <w:spacing w:after="0" w:line="276"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conclusion of the Vaxart board of directors that the potential termination fee of $1.95 million payable by Aviragen to Vaxart and the circumstances when such fee may be payable, were reasonable.</w:t>
      </w:r>
    </w:p>
    <w:p>
      <w:pPr>
        <w:spacing w:after="0" w:line="169" w:lineRule="exact"/>
        <w:rPr>
          <w:rFonts w:ascii="Arial" w:cs="Arial" w:eastAsia="Arial" w:hAnsi="Arial"/>
          <w:sz w:val="18"/>
          <w:szCs w:val="18"/>
          <w:color w:val="auto"/>
        </w:rPr>
      </w:pPr>
    </w:p>
    <w:p>
      <w:pPr>
        <w:ind w:left="660" w:right="80" w:hanging="329"/>
        <w:spacing w:after="0" w:line="276"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that shares of Aviragen common stock issued to Vaxart stockholders will be registered on a Form S-4 registration statement by Aviragen and will become freely tradable;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likelihood that the merger will be consummated on a timely basis.</w:t>
      </w:r>
    </w:p>
    <w:p>
      <w:pPr>
        <w:spacing w:after="0" w:line="224"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color w:val="auto"/>
        </w:rPr>
        <w:t>The Vaxart board of directors also considered a number of uncertainties and risks in its deliberations concerning the merger and the other transactions contemplated by the Merger Agreement, including the following:</w:t>
      </w:r>
    </w:p>
    <w:p>
      <w:pPr>
        <w:spacing w:after="0" w:line="170" w:lineRule="exact"/>
        <w:rPr>
          <w:sz w:val="20"/>
          <w:szCs w:val="20"/>
          <w:color w:val="auto"/>
        </w:rPr>
      </w:pPr>
    </w:p>
    <w:p>
      <w:pPr>
        <w:ind w:left="660" w:right="80" w:hanging="329"/>
        <w:spacing w:after="0" w:line="27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possibility that the merger might not be completed and the potential adverse effect of the public announcement of the merger on the reputation of Vaxart and the ability of Vaxart to obtain financing in the future in the event the merger is not completed;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risk that the merger might not be consummated in a timely manner or at all;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expenses to be incurred in connection with the merger and related administrative challenges associated with combining the companies;</w:t>
      </w:r>
    </w:p>
    <w:p>
      <w:pPr>
        <w:spacing w:after="0" w:line="235" w:lineRule="exact"/>
        <w:rPr>
          <w:rFonts w:ascii="Arial" w:cs="Arial" w:eastAsia="Arial" w:hAnsi="Arial"/>
          <w:sz w:val="17"/>
          <w:szCs w:val="17"/>
          <w:color w:val="auto"/>
        </w:rPr>
      </w:pPr>
    </w:p>
    <w:p>
      <w:pPr>
        <w:ind w:left="660" w:right="100" w:hanging="329"/>
        <w:spacing w:after="0" w:line="27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additional public company expenses and obligations that Vaxart’s business will be subject to following the merger that it has not previously been subject to; and</w:t>
      </w:r>
    </w:p>
    <w:p>
      <w:pPr>
        <w:spacing w:after="0" w:line="169" w:lineRule="exact"/>
        <w:rPr>
          <w:rFonts w:ascii="Arial" w:cs="Arial" w:eastAsia="Arial" w:hAnsi="Arial"/>
          <w:sz w:val="18"/>
          <w:szCs w:val="18"/>
          <w:color w:val="auto"/>
        </w:rPr>
      </w:pPr>
    </w:p>
    <w:p>
      <w:pPr>
        <w:ind w:left="660" w:right="300" w:hanging="329"/>
        <w:spacing w:after="0" w:line="276"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merger, including the risks described in the section titled “Risk Factors” in this proxy statement/prospectus/information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the Financial Advisor to the Aviragen Board of Directors</w:t>
      </w:r>
    </w:p>
    <w:p>
      <w:pPr>
        <w:spacing w:after="0" w:line="22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Aviragen engaged Stifel to act as its financial advisor in connection with the merger. On October 27, 2017, Stifel delivered to the Aviragen board of directors its oral opinion, subsequently confirmed in writing by delivery of a written opinion dated October 27, 2017, or the Opinion, that, as of that date and based upon and subject to the assumptions made, procedures followed, matters considered and qualifications and limitations of review set forth therein, the aggregate number of shares of Aviragen common stock issuable in the merger by Aviragen to holders of shares of Vaxart common stock (other than shares held by Vaxart as treasury stock or held or owned by Vaxart, any subsidiary of Vaxart, or Merger Sub, and shares owned by stockholders who are entitled to and who properly exercise and perfect appraisal rights, or dissenting shares), referred to in this section as the Merger Consideration, pursuant to the Merger Agreement was fair to Aviragen, from a financial point of view.</w:t>
      </w:r>
    </w:p>
    <w:p>
      <w:pPr>
        <w:sectPr>
          <w:pgSz w:w="11900" w:h="16838" w:orient="portrait"/>
          <w:cols w:equalWidth="0" w:num="1">
            <w:col w:w="11400"/>
          </w:cols>
          <w:pgMar w:left="240" w:top="118"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5" w:name="page96"/>
    <w:bookmarkEnd w:id="9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Aviragen did not impose any limitations on Stifel with respect to the investigations made or procedures followed in rendering its Opinion. In selecting Stifel, the Aviragen board of directors considered, among other things, the fact that Stifel is a reputable investment banking firm with substantial experience advising companies in the healthcare and biopharmaceutical sectors and in providing strategic advisory services in general. Stifel, as part of its investment banking business, is regularly engaged in the independent valuation of businesses and securities in connection with mergers, acquisitions, underwritings, sales and distributions of listed and unlisted securities, private placements and valuations for estate, corporate and other purposes. In the ordinary course of business, Stifel and its clients may transact in the equity securities of Aviragen and may at any time hold a long or short position in such securities.</w:t>
      </w:r>
    </w:p>
    <w:p>
      <w:pPr>
        <w:spacing w:after="0" w:line="160"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color w:val="auto"/>
        </w:rPr>
        <w:t xml:space="preserve">The full text of the written Opinion that Stifel delivered to the Aviragen board of directors is attached to this registration statement as </w:t>
      </w:r>
      <w:r>
        <w:rPr>
          <w:rFonts w:ascii="Arial" w:cs="Arial" w:eastAsia="Arial" w:hAnsi="Arial"/>
          <w:sz w:val="16"/>
          <w:szCs w:val="16"/>
          <w:b w:val="1"/>
          <w:bCs w:val="1"/>
          <w:i w:val="1"/>
          <w:iCs w:val="1"/>
          <w:color w:val="auto"/>
        </w:rPr>
        <w:t>Annex C</w:t>
      </w:r>
      <w:r>
        <w:rPr>
          <w:rFonts w:ascii="Arial" w:cs="Arial" w:eastAsia="Arial" w:hAnsi="Arial"/>
          <w:sz w:val="16"/>
          <w:szCs w:val="16"/>
          <w:b w:val="1"/>
          <w:bCs w:val="1"/>
          <w:color w:val="auto"/>
        </w:rPr>
        <w:t xml:space="preserve"> and is incorporated into this document by reference. The summary of Stifel’s Opinion set forth in this registration statement is qualified in its entirety by reference to the full text of the Opinion. Aviragen stockholders are urged to read the Opinion carefully and in its entirety for a discussion of the assumptions made, procedures followed, matters considered and limits of the review undertaken by Stifel in connection with such Opinion.</w:t>
      </w:r>
    </w:p>
    <w:p>
      <w:pPr>
        <w:spacing w:after="0" w:line="15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Stifel’s Opinion was for the information of, and directed to, the Aviragen board of directors for its information and assistance in connection with its consideration of the financial terms of the merger. Stifel’s Opinion did not constitute a recommendation to the Aviragen board of directors or any other person as to how the Aviragen board of directors or any other person should vote or otherwise act with respect to the merger or any other matter, or to any stockholder of Aviragen or Vaxart as to how any such stockholder should vote or act with respect to the merger or any other matter, including whether or not any stockholder of Aviragen or Vaxart should exercise any dissenters’, appraisal or similar rights that may be available to such stockholder. In addition, Stifel’s Opinion did not compare the relative merits of the merger with any other alternative transactions or business strategies which may have been available to Aviragen and did not address the underlying business decision of the Aviragen board of directors to proceed with or effect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its Opinion, Stifel, among other things:</w:t>
      </w:r>
    </w:p>
    <w:p>
      <w:pPr>
        <w:spacing w:after="0" w:line="224" w:lineRule="exact"/>
        <w:rPr>
          <w:sz w:val="20"/>
          <w:szCs w:val="20"/>
          <w:color w:val="auto"/>
        </w:rPr>
      </w:pPr>
    </w:p>
    <w:p>
      <w:pPr>
        <w:ind w:left="660" w:hanging="329"/>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the financial terms contained in a draft dated October 26, 2017 of the Merger Agreement;</w:t>
      </w:r>
    </w:p>
    <w:p>
      <w:pPr>
        <w:spacing w:after="0" w:line="223" w:lineRule="exact"/>
        <w:rPr>
          <w:rFonts w:ascii="Arial" w:cs="Arial" w:eastAsia="Arial" w:hAnsi="Arial"/>
          <w:sz w:val="18"/>
          <w:szCs w:val="18"/>
          <w:color w:val="auto"/>
        </w:rPr>
      </w:pPr>
    </w:p>
    <w:p>
      <w:pPr>
        <w:ind w:left="660" w:right="34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for Aviragen and Vaxart, respectively, and certain other relevant financial and operating data furnished to Stifel by the management of Aviragen;</w:t>
      </w:r>
    </w:p>
    <w:p>
      <w:pPr>
        <w:spacing w:after="0" w:line="169" w:lineRule="exact"/>
        <w:rPr>
          <w:rFonts w:ascii="Arial" w:cs="Arial" w:eastAsia="Arial" w:hAnsi="Arial"/>
          <w:sz w:val="18"/>
          <w:szCs w:val="18"/>
          <w:color w:val="auto"/>
        </w:rPr>
      </w:pPr>
    </w:p>
    <w:p>
      <w:pPr>
        <w:ind w:left="660" w:right="4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certain relevant historical financial and operating data concerning Aviragen and Vaxart furnished to Stifel by the management of Aviragen;</w:t>
      </w:r>
    </w:p>
    <w:p>
      <w:pPr>
        <w:spacing w:after="0" w:line="169" w:lineRule="exact"/>
        <w:rPr>
          <w:rFonts w:ascii="Arial" w:cs="Arial" w:eastAsia="Arial" w:hAnsi="Arial"/>
          <w:sz w:val="18"/>
          <w:szCs w:val="18"/>
          <w:color w:val="auto"/>
        </w:rPr>
      </w:pPr>
    </w:p>
    <w:p>
      <w:pPr>
        <w:ind w:left="660" w:right="80" w:hanging="329"/>
        <w:spacing w:after="0" w:line="25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certain internal financial analyses, financial projections, reports and other information concerning Aviragen and Vaxart prepared by the management of Aviragen, including projections for Aviragen and Vaxart provided by the management of Aviragen and reflecting the probabilities of technical success determined by the management of Aviragen, or the Aviragen Projections and the Vaxart Projections, respectively, and utilized per instruction of Aviragen;</w:t>
      </w:r>
    </w:p>
    <w:p>
      <w:pPr>
        <w:spacing w:after="0" w:line="186" w:lineRule="exact"/>
        <w:rPr>
          <w:rFonts w:ascii="Arial" w:cs="Arial" w:eastAsia="Arial" w:hAnsi="Arial"/>
          <w:sz w:val="18"/>
          <w:szCs w:val="18"/>
          <w:color w:val="auto"/>
        </w:rPr>
      </w:pPr>
    </w:p>
    <w:p>
      <w:pPr>
        <w:ind w:left="660" w:right="140" w:hanging="329"/>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pro forma projections for Aviragen and Vaxart giving effect to the merger, or the Pro Forma Projections, and reflecting the probabilities of technical success determined by the management of Aviragen, provided to Stifel by the management of Aviragen, and utilized per instruction of Aviragen;</w:t>
      </w:r>
    </w:p>
    <w:p>
      <w:pPr>
        <w:spacing w:after="0" w:line="18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discussed with certain members of the management of Aviragen the historical and current business operations, financial condition and prospects of Aviragen and Vaxart and such other matters as Stifel deemed relevant;</w:t>
      </w:r>
    </w:p>
    <w:p>
      <w:pPr>
        <w:spacing w:after="0" w:line="169" w:lineRule="exact"/>
        <w:rPr>
          <w:rFonts w:ascii="Arial" w:cs="Arial" w:eastAsia="Arial" w:hAnsi="Arial"/>
          <w:sz w:val="18"/>
          <w:szCs w:val="18"/>
          <w:color w:val="auto"/>
        </w:rPr>
      </w:pPr>
    </w:p>
    <w:p>
      <w:pPr>
        <w:ind w:left="660" w:right="52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certain operating results of Aviragen and Vaxart as compared to the operating results and the reported price and trading histories of certain publicly traded companies that Stifel deemed relevant;</w:t>
      </w:r>
    </w:p>
    <w:p>
      <w:pPr>
        <w:spacing w:after="0" w:line="169"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the merger as compared to the financial terms of certain selected business combinations that Stifel deemed relevant for Aviragen and Vaxart;</w:t>
      </w:r>
    </w:p>
    <w:p>
      <w:pPr>
        <w:spacing w:after="0" w:line="169" w:lineRule="exact"/>
        <w:rPr>
          <w:rFonts w:ascii="Arial" w:cs="Arial" w:eastAsia="Arial" w:hAnsi="Arial"/>
          <w:sz w:val="18"/>
          <w:szCs w:val="18"/>
          <w:color w:val="auto"/>
        </w:rPr>
      </w:pPr>
    </w:p>
    <w:p>
      <w:pPr>
        <w:ind w:left="660" w:right="40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certain initial public offerings that certain companies completed that Stifel deemed relevant for Vaxart;</w:t>
      </w:r>
    </w:p>
    <w:p>
      <w:pPr>
        <w:spacing w:after="0" w:line="169"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based on the Aviragen Projections and the Vaxart Projections, the cash flows generated by Aviragen and Vaxart on stand-alone bases to determine the respective present values of those discounted cash flows;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merger;</w:t>
      </w:r>
    </w:p>
    <w:p>
      <w:pPr>
        <w:spacing w:after="0" w:line="223"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considered the results of Aviragen’s efforts and Stifel’s efforts, at the direction of Aviragen, to solicit indications of interest from selected third parties with respect to a transaction involving Aviragen; and</w:t>
      </w:r>
    </w:p>
    <w:p>
      <w:pPr>
        <w:spacing w:after="0" w:line="169" w:lineRule="exact"/>
        <w:rPr>
          <w:rFonts w:ascii="Arial" w:cs="Arial" w:eastAsia="Arial" w:hAnsi="Arial"/>
          <w:sz w:val="18"/>
          <w:szCs w:val="18"/>
          <w:color w:val="auto"/>
        </w:rPr>
      </w:pPr>
    </w:p>
    <w:p>
      <w:pPr>
        <w:ind w:left="660" w:right="40" w:hanging="329"/>
        <w:spacing w:after="0" w:line="25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reviewed and analyzed such other information and such other factors, and conducted such other financial studies, analyses and investigations, as Stifel deemed relevant for purposes of Stifel’s Opinion. In addition, Stifel took into account Stifel’s assessment of general economic, market and financial conditions and Stifel’s experience in other transactions, as well as Stifel’s experience in securities valuations and Stifel’s general knowledge of the industry in which Aviragen and Vaxart operate.</w:t>
      </w:r>
    </w:p>
    <w:p>
      <w:pPr>
        <w:sectPr>
          <w:pgSz w:w="11900" w:h="16838" w:orient="portrait"/>
          <w:cols w:equalWidth="0" w:num="1">
            <w:col w:w="11400"/>
          </w:cols>
          <w:pgMar w:left="240" w:top="118"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6" w:name="page97"/>
    <w:bookmarkEnd w:id="9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conducting its review and rendering its Opinion, Stifel relied upon and assumed, without independent verification, the accuracy and completeness of all of the financial and other information that was provided to Stifel by or on behalf of Aviragen or Vaxart, or that was otherwise reviewed by Stifel, and Stifel did not assume any responsibility for independently verifying any of such information. With respect to the financial forecasts and projections supplied to Stifel by Aviragen (including, without limitation, the Aviragen Projections, the Vaxart Projections and the Pro Forma Projections), Stifel assumed, at the direction of Aviragen, that they were reasonably prepared on the basis reflecting the best currently available estimates and judgments of the management of Aviragen as to the future operating and financial performance of Aviragen and Vaxart, as applicable, and that they provided a reasonable basis upon which Stifel could form its Opinion. Such forecasts and projections were not prepared with the expectation of public disclosure. All such forecasts and projections were based on numerous variables and assumptions that are inherently uncertain, including, without limitation, factors related to general economic and competitive conditions. Accordingly, actual results could vary significantly from those set forth in such forecasted and projected financial information. Stifel relied on these forecasts and projections without independent verification or analyses and did not in any respect assume any responsibility for the accuracy or completeness thereof. Stifel expressed no opinion as to the Aviragen Projections, the Vaxart Projections, the Pro Forma Projections or any other estimates, forecasts or projections or the assumptions on which they were made.</w:t>
      </w:r>
    </w:p>
    <w:p>
      <w:pPr>
        <w:spacing w:after="0" w:line="180"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Stifel also assumed that there were no material changes in the assets, liabilities, financial condition, results of operations, business or prospects of either Aviragen or Vaxart since the date of the last financial statements of Aviragen and Vaxart made available to Stifel. Stifel did not make or obtain any independent evaluation, appraisal or physical inspection of either Aviragen’s or Vaxart’s assets or liabilities, nor was Stifel furnished with any such evaluation or appraisal. Estimates of values of companies and assets do not purport to be appraisals or necessarily reflect the prices at which companies or assets may actually be sold. Because such estimates are inherently subject to uncertainty, Stifel assumed no responsibility for their accuracy.</w:t>
      </w:r>
    </w:p>
    <w:p>
      <w:pPr>
        <w:spacing w:after="0" w:line="16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Stifel assumed, with the Aviragen board of directors’ consent, that there were no factors that would delay or subject to any adverse conditions any necessary regulatory or governmental approval and that all conditions to the merger would be satisfied and not waived. In addition, Stifel assumed that the Merger Agreement would not differ materially from the draft Stifel reviewed. Stifel also assumed that the merger would be consummated substantially on the terms and conditions described in the Merger Agreement and by the management of Aviragen, without any waiver of material terms or conditions by Aviragen or any other party and without any anti-dilution or other adjustment to the Merger Consideration, and that obtaining any necessary regulatory or other approvals or satisfying any other conditions for the closing of the merger would not have an adverse effect on Aviragen, Vaxart or the merger. Stifel assumed that the merger would be consummated in a manner that complies with the applicable provisions of the Securities Act, the Exchange Act and all other applicable federal and state statutes, rules and regulations. Stifel further assumed that Aviragen has relied upon the advice of its counsel, independent accountants and other advisors (other than Stifel) as to all legal, financial reporting, tax, accounting and regulatory matters with respect to Aviragen, the merger, and the Merger Agreement.</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Stifel’s Opinion was limited to whether, as of the date of the Opinion, the Merger Consideration to be paid by Aviragen to the holders of shares of Vaxart common stock (other than shares held by Vaxart as treasury stock or held or owned by Vaxart, any subsidiary of Vaxart, or Merger Sub, and dissenting shares) was fair to Aviragen, from a financial point of view, and did not address any other terms, aspects or implications of the merger, including, without limitation, the form or structure of the merger, any consequences of the merger on Aviragen, its stockholders, creditors or otherwise, or any terms, aspects or implications of any voting, support, stockholder or other agreements, arrangements or understandings contemplated or entered into in connection with the merger or otherwise. Without limiting the generality of the foregoing, Stifel assumed that the Exchange Ratio will not be adjusted for Aviragen cash or Vaxart cash or for equity financings by Vaxart. Stifel’s Opinion also did not consider, address or include: (i) any other strategic alternatives currently (or which have been or may be) contemplated by the Aviragen board of directors or Aviragen; (ii) the legal, financial reporting, tax, accounting or regulatory consequences of the merger on Aviragen or the holders of any class of securities of Aviragen, including, without limitation, whether or not the merger will qualify as a tax-free reorganization pursuant to Section 368 of the Code; (iii) the fairness of the amount or nature of any compensation to any of Aviragen’s officers, directors or employees, or class of such persons, relative to the compensation to the holders of Aviragen’s securities; or (iv) the effect of the merger on, or the fairness of the consideration to be received by, holders of any class of securities of Aviragen, or any class of securities of any other party to any transaction contemplated by the Merger Agreement. Furthermore, Stifel did not express any opinion as to the prices, trading range or volume at which Aviragen’s securities would trade following public announcement or the closing of the merger.</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Stifel’s Opinion was necessarily based on economic, market, financial and other conditions as they existed on, and on the information made available to Stifel by or on behalf of Aviragen or its advisors, or information otherwise reviewed by Stifel, as of the date of its Opinion. It is understood that subsequent developments may affect the conclusion reached in its Opinion and that Stifel does not have any obligation to update, revise or reaffirm its Opinion. Stifel is not legal, tax, regulatory or bankruptcy advisors. Stifel did not consider any potential legislative or regulatory changes currently being considered or recently enacted by the United States Congress, the various federal banking agencies, the SEC, or any other regulatory bodies, or any changes in accounting methods or generally accepted accounting principles that may be adopted by the SEC or the Financial Accounting Standards Board, or any changes in regulatory accounting principles that may be adopted by any or all of the federal banking agencies. Stifel’s Opinion was not a solvency opinion and did not in any way address the solvency or financial condition of Aviragen or Vaxart. Stifel’s Opinion was approved by its fairness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accordance with customary investment banking practice, Stifel employed generally accepted valuation methods and financial analyses in reaching its Opinion. The following is a brief summary of the material financial analyses performed by Stifel in arriving at its Opinion. These summaries of financial analyses alone do not constitute a complete description of the financial analyses Stifel employed in reaching its conclusions. None of the analyses performed by Stifel were assigned a greater significance by Stifel than any other, nor does the order of analyses described represent relative importance or weight given to those analyses by Stifel. The financial analyses summarized below include information presented in tabular format. In order to fully understand the financial analyses used by Stifel, the tables must be read together with the text of each summary. The tables alone do not constitute a complete description of the financial analyses. The summary text describing each financial analysis does not constitute a complete description of Stifel’s financial analyses, including the methodologies and assumptions underlying the analyses, and if viewed in isolation could create a misleading or incomplete view of the financial analyses performed by Stifel. The summary text set forth below does not represent and should not be viewed by anyone as constituting conclusions reached by Stifel with respect to any of the analyses performed by it in connection with its Opinion. Rather, Stifel made its determination as to the fairness, from a financial point of view, to Aviragen of the Merger Consideration to be paid by Aviragen to the holders of shares of Vaxart common stock (other than shares held by Aviragen as treasury stock or held or owned by Vaxart, any subsidiary of Vaxart, or Merger Sub, and dissenting shares) in the merger pursuant to the Merger Agreement on the basis of its experience and professional judgment after considering the results of all of the analyses performed.</w:t>
      </w:r>
    </w:p>
    <w:p>
      <w:pPr>
        <w:spacing w:after="0" w:line="174"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Except as otherwise noted, the information utilized by Stifel in its analyses, to the extent based on market data, was based on market data as it existed on or before October 26, 2017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spacing w:after="0" w:line="15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Stifel was informed by Aviragen management that the Exchange Ratio in the merger will result in Aviragen securityholders owning approximately 40% of the shares of the combined common’s common stock outstanding immediately after the Effective Date, on a fully-diluted basis.</w:t>
      </w:r>
    </w:p>
    <w:p>
      <w:pPr>
        <w:spacing w:after="0" w:line="148"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In connection with its Opinion, Stifel conducted an analysis of the ratios of the pre-Merger stand-alone equity value of Aviragen relative to the pre-Merger stand-alone equity value of Vaxart, in each case as implied by valuation analyses conducted by Stifel and described below. In conducting its analysis, Stifel used four primary methodologies: selected publicly traded companies analysis; selected precedent transactions analysis; discounted cash flow, or DCF, analysis; and, in the case of Vaxart, selected precedent initial public offerings, or IPO, analysis.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Publicly Traded Companies Analysis</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Aviragen:</w:t>
      </w:r>
    </w:p>
    <w:p>
      <w:pPr>
        <w:spacing w:after="0" w:line="224"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Stifel reviewed certain publicly available financial information for the following nine publicly traded biotechnology companies whose lead value generating asset was in the infectious disease space, including antibacterial, antiviral, antifungal or antiparasitic indications and was in Phase 2, Phase 3 Ready or in Phase 3 of development with no Phase 3 data for such product, and excluding prophylactic vaccine and platform companies:</w:t>
      </w:r>
    </w:p>
    <w:p>
      <w:pPr>
        <w:spacing w:after="0" w:line="165" w:lineRule="exact"/>
        <w:rPr>
          <w:sz w:val="20"/>
          <w:szCs w:val="20"/>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AmpliPhi BioSciences Corporation</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Cidara Therapeutics,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ContraFect Corp.</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ContraVir Pharmaceuticals,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Eiger BioPharmaceuticals,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Matinas BioPharma Holdings,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SCYNEXIS,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Synthetic Biologics,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Vical Incorporated</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each of the selected companies, Stifel calculated an enterprise value (calculated as equity value based on closing stock prices on October 26, 2017, plus total debt less cash and equivalents, as obtained from publicly available sources). The mean and median enterprise values calculated for the selected companies are shown in the table below:</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Enterprise Value of Selected Publicly Traded Companies</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3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w:t>
            </w:r>
          </w:p>
        </w:tc>
        <w:tc>
          <w:tcPr>
            <w:tcW w:w="2540" w:type="dxa"/>
            <w:vAlign w:val="bottom"/>
            <w:shd w:val="clear" w:color="auto" w:fill="CCEEFF"/>
          </w:tcPr>
          <w:p>
            <w:pPr>
              <w:ind w:left="1580"/>
              <w:spacing w:after="0"/>
              <w:rPr>
                <w:sz w:val="20"/>
                <w:szCs w:val="20"/>
                <w:color w:val="auto"/>
              </w:rPr>
            </w:pPr>
            <w:r>
              <w:rPr>
                <w:rFonts w:ascii="Arial" w:cs="Arial" w:eastAsia="Arial" w:hAnsi="Arial"/>
                <w:sz w:val="18"/>
                <w:szCs w:val="18"/>
                <w:color w:val="auto"/>
                <w:w w:val="92"/>
              </w:rPr>
              <w:t>$42.4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Median</w:t>
            </w:r>
          </w:p>
        </w:tc>
        <w:tc>
          <w:tcPr>
            <w:tcW w:w="2540" w:type="dxa"/>
            <w:vAlign w:val="bottom"/>
          </w:tcPr>
          <w:p>
            <w:pPr>
              <w:ind w:left="1580"/>
              <w:spacing w:after="0"/>
              <w:rPr>
                <w:sz w:val="20"/>
                <w:szCs w:val="20"/>
                <w:color w:val="auto"/>
              </w:rPr>
            </w:pPr>
            <w:r>
              <w:rPr>
                <w:rFonts w:ascii="Arial" w:cs="Arial" w:eastAsia="Arial" w:hAnsi="Arial"/>
                <w:sz w:val="18"/>
                <w:szCs w:val="18"/>
                <w:color w:val="auto"/>
                <w:w w:val="92"/>
              </w:rPr>
              <w:t>$30.7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the mean and median enterprise values of the selected companies, Stifel calculated a range of implied equity values for Aviragen by adding Aviragen net cash, which Stifel defined as total cash and equivalents less total debt, as of September 30, 2017, as provided by Aviragen management. This analysis resulted in the following range of implied equity values for Aviragen:</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Aviragen Implied Equity Value</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3540" w:type="dxa"/>
            <w:vAlign w:val="bottom"/>
            <w:shd w:val="clear" w:color="auto" w:fill="CCEEFF"/>
          </w:tcPr>
          <w:p>
            <w:pPr>
              <w:ind w:left="2560"/>
              <w:spacing w:after="0"/>
              <w:rPr>
                <w:sz w:val="20"/>
                <w:szCs w:val="20"/>
                <w:color w:val="auto"/>
              </w:rPr>
            </w:pPr>
            <w:r>
              <w:rPr>
                <w:rFonts w:ascii="Arial" w:cs="Arial" w:eastAsia="Arial" w:hAnsi="Arial"/>
                <w:sz w:val="18"/>
                <w:szCs w:val="18"/>
                <w:color w:val="auto"/>
                <w:w w:val="94"/>
              </w:rPr>
              <w:t>$62.0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High</w:t>
            </w:r>
          </w:p>
        </w:tc>
        <w:tc>
          <w:tcPr>
            <w:tcW w:w="3540" w:type="dxa"/>
            <w:vAlign w:val="bottom"/>
          </w:tcPr>
          <w:p>
            <w:pPr>
              <w:ind w:left="2560"/>
              <w:spacing w:after="0"/>
              <w:rPr>
                <w:sz w:val="20"/>
                <w:szCs w:val="20"/>
                <w:color w:val="auto"/>
              </w:rPr>
            </w:pPr>
            <w:r>
              <w:rPr>
                <w:rFonts w:ascii="Arial" w:cs="Arial" w:eastAsia="Arial" w:hAnsi="Arial"/>
                <w:sz w:val="18"/>
                <w:szCs w:val="18"/>
                <w:color w:val="auto"/>
                <w:w w:val="94"/>
              </w:rPr>
              <w:t>$73.7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Vaxart:</w:t>
      </w:r>
    </w:p>
    <w:p>
      <w:pPr>
        <w:spacing w:after="0" w:line="22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Stifel reviewed certain publicly available financial information for the following ten publicly traded biotechnology companies whose lead value generating asset was a clinical stage vaccine in the United States:</w:t>
      </w:r>
    </w:p>
    <w:p>
      <w:pPr>
        <w:spacing w:after="0" w:line="170" w:lineRule="exact"/>
        <w:rPr>
          <w:sz w:val="20"/>
          <w:szCs w:val="20"/>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Agenus Inc.</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Altimmune,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Bavarian Nordic A/S</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BiondVax Pharmaceuticals Ltd.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Genocea Biosciences,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Heat Biologics,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Inovio Pharmaceuticals,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Novavax,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VBI Vaccines, Inc.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Vical Incorporated</w:t>
      </w:r>
    </w:p>
    <w:p>
      <w:pPr>
        <w:spacing w:after="0" w:line="20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each of the selected companies, Stifel calculated an enterprise value (calculated as equity value based on closing stock prices on October 26, 2017, plus total debt less cash and equivalents, as obtained from publicly available sources). The mean and median enterprise values calculated for the selected companies are shown in the table below:</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Enterprise Value of Selected Publicly Traded Companies</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3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Median</w:t>
            </w:r>
          </w:p>
        </w:tc>
        <w:tc>
          <w:tcPr>
            <w:tcW w:w="2660" w:type="dxa"/>
            <w:vAlign w:val="bottom"/>
          </w:tcPr>
          <w:p>
            <w:pPr>
              <w:jc w:val="right"/>
              <w:spacing w:after="0"/>
              <w:rPr>
                <w:sz w:val="20"/>
                <w:szCs w:val="20"/>
                <w:color w:val="auto"/>
              </w:rPr>
            </w:pPr>
            <w:r>
              <w:rPr>
                <w:rFonts w:ascii="Arial" w:cs="Arial" w:eastAsia="Arial" w:hAnsi="Arial"/>
                <w:sz w:val="18"/>
                <w:szCs w:val="18"/>
                <w:color w:val="auto"/>
              </w:rPr>
              <w:t>$83.2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Based on the mean and median enterprise values of the selected companies, Stifel calculated a range of implied equity values for Vaxart by adding Vaxart net cash, which Stifel defined as total cash and equivalents less total debt, as of September 30, 2017, as provided by Aviragen management. This analysis resulted in the following range of implied equity values for Vaxart:</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Vaxart Implied Equity Value</w:t>
            </w: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3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High</w:t>
            </w:r>
          </w:p>
        </w:tc>
        <w:tc>
          <w:tcPr>
            <w:tcW w:w="3800" w:type="dxa"/>
            <w:vAlign w:val="bottom"/>
          </w:tcPr>
          <w:p>
            <w:pPr>
              <w:jc w:val="right"/>
              <w:ind w:right="10"/>
              <w:spacing w:after="0"/>
              <w:rPr>
                <w:sz w:val="20"/>
                <w:szCs w:val="20"/>
                <w:color w:val="auto"/>
              </w:rPr>
            </w:pPr>
            <w:r>
              <w:rPr>
                <w:rFonts w:ascii="Arial" w:cs="Arial" w:eastAsia="Arial" w:hAnsi="Arial"/>
                <w:sz w:val="18"/>
                <w:szCs w:val="18"/>
                <w:color w:val="auto"/>
              </w:rPr>
              <w:t>$226.6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Relative:</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these analyses, Stifel compared the low value of the Aviragen implied equity value to the high value of the Vaxart implied equity value and the high value of the Aviragen implied equity value to the low value of the Vaxart implied equity value. This analysis yielded a range of implied ownership percentages for Aviragen, as set forth in the following table: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Aviragen Implied Ownership Percentages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High</w:t>
            </w:r>
          </w:p>
        </w:tc>
        <w:tc>
          <w:tcPr>
            <w:tcW w:w="29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Stifel selected the companies on the basis of various factors, including the size of the companies, the current phase of the companies’ life cycles and the similarity of the lines of business, although, as noted above, no company used in this analysis is identical to either Aviragen or Vaxart. Accordingly, these analyses are not purely mathematical, but also involve complex considerations and judgments concerning the differences in financial and operating characteristics of the selected companies and other factors.</w:t>
      </w:r>
    </w:p>
    <w:p>
      <w:pPr>
        <w:sectPr>
          <w:pgSz w:w="11900" w:h="16838" w:orient="portrait"/>
          <w:cols w:equalWidth="0" w:num="1">
            <w:col w:w="11400"/>
          </w:cols>
          <w:pgMar w:left="240" w:top="118"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99" w:name="page100"/>
    <w:bookmarkEnd w:id="9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Precedent Transactions Analysis</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Aviragen:</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Stifel reviewed certain publicly available information for the following 16 business combinations of biotechnology companies, announced subsequent to January 1, 2011, with enterprise values greater than $20 million, involving targets whose lead value generating asset was in Phase 2 of development at the time of the acquisition and excluding option transactions and transactions involving companies with a platform technology, companies acquired for their HCV program or oncology programs or companies whose Phase 2 products were targeting multiple highly disparate therapeutic areas:</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Selected Precedent Transactions</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60" w:type="dxa"/>
            <w:vAlign w:val="bottom"/>
            <w:tcBorders>
              <w:top w:val="single" w:sz="8" w:color="auto"/>
            </w:tcBorders>
          </w:tcPr>
          <w:p>
            <w:pPr>
              <w:spacing w:after="0"/>
              <w:rPr>
                <w:sz w:val="18"/>
                <w:szCs w:val="18"/>
                <w:color w:val="auto"/>
              </w:rPr>
            </w:pP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Target</w:t>
            </w:r>
          </w:p>
        </w:tc>
        <w:tc>
          <w:tcPr>
            <w:tcW w:w="260" w:type="dxa"/>
            <w:vAlign w:val="bottom"/>
            <w:tcBorders>
              <w:top w:val="single" w:sz="8" w:color="auto"/>
            </w:tcBorders>
          </w:tcPr>
          <w:p>
            <w:pPr>
              <w:spacing w:after="0"/>
              <w:rPr>
                <w:sz w:val="18"/>
                <w:szCs w:val="18"/>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Acquiror</w:t>
            </w:r>
          </w:p>
        </w:tc>
      </w:tr>
      <w:tr>
        <w:trPr>
          <w:trHeight w:val="209"/>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11/17/16</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Atopix Therapeutics Limited</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Chiesi Farmaceutici S.p.A.</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06/30/16</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Transition Therapeutics</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OPKO Health</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04/21/16</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Topokine</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Allergan</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04/14/16</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Madrigal Pharmaceuticals</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Synta Pharmaceuticals</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11/02/15</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Cardioxyl Pharmaceuticals, Inc.</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Bristol-Myers Squibb Company</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08/03/15</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Foresight Biotherapeutics</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Shire plc</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06/29/15</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Spinifex Pharmaceuticals Inc.</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Novartis International AG</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05/15/15</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Aspireo Pharma</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Cortendo AB</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06/03/14</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Labrys Biologics, Inc.</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Teva Pharmaceutical Industries</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05/08/13</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Inviragen, Inc.</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Takeda Pharmaceutical Company</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08/30/12</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Elevation Pharmaceuticals</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Sunovion Pharmaceuticals</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03/15/12</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Ferrokin Biosciences Inc.</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Shire Pharmaceuticals LLC</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02/14/12</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Stromedix, Inc.</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Biogen Idec Inc.</w:t>
            </w:r>
          </w:p>
        </w:tc>
      </w:tr>
      <w:tr>
        <w:trPr>
          <w:trHeight w:val="215"/>
        </w:trPr>
        <w:tc>
          <w:tcPr>
            <w:tcW w:w="1920" w:type="dxa"/>
            <w:vAlign w:val="bottom"/>
          </w:tcPr>
          <w:p>
            <w:pPr>
              <w:jc w:val="center"/>
              <w:spacing w:after="0"/>
              <w:rPr>
                <w:sz w:val="20"/>
                <w:szCs w:val="20"/>
                <w:color w:val="auto"/>
              </w:rPr>
            </w:pPr>
            <w:r>
              <w:rPr>
                <w:rFonts w:ascii="Arial" w:cs="Arial" w:eastAsia="Arial" w:hAnsi="Arial"/>
                <w:sz w:val="18"/>
                <w:szCs w:val="18"/>
                <w:color w:val="auto"/>
                <w:w w:val="88"/>
              </w:rPr>
              <w:t>11/22/11</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Excaliard Pharmaceuticals</w:t>
            </w:r>
          </w:p>
        </w:tc>
        <w:tc>
          <w:tcPr>
            <w:tcW w:w="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Pfizer Inc.</w:t>
            </w:r>
          </w:p>
        </w:tc>
      </w:tr>
      <w:tr>
        <w:trPr>
          <w:trHeight w:val="215"/>
        </w:trPr>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06/13/11</w:t>
            </w: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Synageva BioPharma Corp.</w:t>
            </w:r>
          </w:p>
        </w:tc>
        <w:tc>
          <w:tcPr>
            <w:tcW w:w="2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Trimeris, Inc.</w:t>
            </w:r>
          </w:p>
        </w:tc>
      </w:tr>
      <w:tr>
        <w:trPr>
          <w:trHeight w:val="230"/>
        </w:trPr>
        <w:tc>
          <w:tcPr>
            <w:tcW w:w="1920" w:type="dxa"/>
            <w:vAlign w:val="bottom"/>
          </w:tcPr>
          <w:p>
            <w:pPr>
              <w:jc w:val="center"/>
              <w:spacing w:after="0"/>
              <w:rPr>
                <w:sz w:val="20"/>
                <w:szCs w:val="20"/>
                <w:color w:val="auto"/>
              </w:rPr>
            </w:pPr>
            <w:r>
              <w:rPr>
                <w:rFonts w:ascii="Arial" w:cs="Arial" w:eastAsia="Arial" w:hAnsi="Arial"/>
                <w:sz w:val="18"/>
                <w:szCs w:val="18"/>
                <w:color w:val="auto"/>
                <w:w w:val="91"/>
              </w:rPr>
              <w:t>01/10/11</w:t>
            </w: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Synosia Therapeutics Holding AG</w:t>
            </w:r>
          </w:p>
        </w:tc>
        <w:tc>
          <w:tcPr>
            <w:tcW w:w="2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Biotie Therapies Corp.</w:t>
            </w:r>
          </w:p>
        </w:tc>
      </w:tr>
    </w:tbl>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each of the selected transactions, Stifel calculated an enterprise value (calculated as equity value based on the purchase consideration at announcement plus total debt less cash and equivalents), as obtained from publicly available sources. The mean and median enterprise values calculated for the selected precedent transactions (not including the transaction for Cardioxyl Pharmaceuticals, Inc., because the available information was inclusive of undisclosed near-term milestones) are shown in the table below:</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Enterprise Value of Selected Precedent Transactions</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96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Median</w:t>
            </w:r>
          </w:p>
        </w:tc>
        <w:tc>
          <w:tcPr>
            <w:tcW w:w="3340" w:type="dxa"/>
            <w:vAlign w:val="bottom"/>
          </w:tcPr>
          <w:p>
            <w:pPr>
              <w:jc w:val="right"/>
              <w:spacing w:after="0"/>
              <w:rPr>
                <w:sz w:val="20"/>
                <w:szCs w:val="20"/>
                <w:color w:val="auto"/>
              </w:rPr>
            </w:pPr>
            <w:r>
              <w:rPr>
                <w:rFonts w:ascii="Arial" w:cs="Arial" w:eastAsia="Arial" w:hAnsi="Arial"/>
                <w:sz w:val="18"/>
                <w:szCs w:val="18"/>
                <w:color w:val="auto"/>
              </w:rPr>
              <w:t>$86.0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Based on the mean and median enterprise values of the selected precedent transactions, Stifel calculated a range of implied equity values for Aviragen by adding Aviragen net cash, which Stifel defined as total cash and equivalents less total debt, as of September 30, 2017, as provided by Aviragen management. This analysis resulted in the following range of implied equity values for Aviragen: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4"/>
          </w:tcPr>
          <w:p>
            <w:pPr>
              <w:ind w:left="120"/>
              <w:spacing w:after="0"/>
              <w:rPr>
                <w:sz w:val="20"/>
                <w:szCs w:val="20"/>
                <w:color w:val="auto"/>
              </w:rPr>
            </w:pPr>
            <w:r>
              <w:rPr>
                <w:rFonts w:ascii="Arial" w:cs="Arial" w:eastAsia="Arial" w:hAnsi="Arial"/>
                <w:sz w:val="18"/>
                <w:szCs w:val="18"/>
                <w:b w:val="1"/>
                <w:bCs w:val="1"/>
                <w:color w:val="auto"/>
              </w:rPr>
              <w:t>Aviragen Implied Equity Value</w:t>
            </w:r>
          </w:p>
        </w:tc>
        <w:tc>
          <w:tcPr>
            <w:tcW w:w="5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5660" w:type="dxa"/>
            <w:vAlign w:val="bottom"/>
            <w:shd w:val="clear" w:color="auto" w:fill="CCEEFF"/>
          </w:tcPr>
          <w:p>
            <w:pPr>
              <w:ind w:left="4600"/>
              <w:spacing w:after="0"/>
              <w:rPr>
                <w:sz w:val="20"/>
                <w:szCs w:val="20"/>
                <w:color w:val="auto"/>
              </w:rPr>
            </w:pPr>
            <w:r>
              <w:rPr>
                <w:rFonts w:ascii="Arial" w:cs="Arial" w:eastAsia="Arial" w:hAnsi="Arial"/>
                <w:sz w:val="18"/>
                <w:szCs w:val="18"/>
                <w:color w:val="auto"/>
                <w:w w:val="93"/>
              </w:rPr>
              <w:t>$117.3 million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High</w:t>
            </w:r>
          </w:p>
        </w:tc>
        <w:tc>
          <w:tcPr>
            <w:tcW w:w="5660" w:type="dxa"/>
            <w:vAlign w:val="bottom"/>
          </w:tcPr>
          <w:p>
            <w:pPr>
              <w:ind w:left="4580"/>
              <w:spacing w:after="0"/>
              <w:rPr>
                <w:sz w:val="20"/>
                <w:szCs w:val="20"/>
                <w:color w:val="auto"/>
              </w:rPr>
            </w:pPr>
            <w:r>
              <w:rPr>
                <w:rFonts w:ascii="Arial" w:cs="Arial" w:eastAsia="Arial" w:hAnsi="Arial"/>
                <w:sz w:val="18"/>
                <w:szCs w:val="18"/>
                <w:color w:val="auto"/>
                <w:w w:val="95"/>
              </w:rPr>
              <w:t>$159.6 million</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60" w:type="dxa"/>
            <w:vAlign w:val="bottom"/>
          </w:tcPr>
          <w:p>
            <w:pPr>
              <w:jc w:val="right"/>
              <w:ind w:right="3830"/>
              <w:spacing w:after="0"/>
              <w:rPr>
                <w:sz w:val="20"/>
                <w:szCs w:val="20"/>
                <w:color w:val="auto"/>
              </w:rPr>
            </w:pPr>
            <w:r>
              <w:rPr>
                <w:rFonts w:ascii="Arial" w:cs="Arial" w:eastAsia="Arial" w:hAnsi="Arial"/>
                <w:sz w:val="18"/>
                <w:szCs w:val="18"/>
                <w:color w:val="auto"/>
              </w:rPr>
              <w:t>89</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56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Vaxart:</w:t>
      </w:r>
    </w:p>
    <w:p>
      <w:pPr>
        <w:spacing w:after="0" w:line="22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Stifel reviewed certain publicly available information for the following nine business combinations of biotechnology companies, announced subsequent to January 1, 2006, with enterprise values greater than $20 million, involving targets whose lead value generating asset was a non-marketed vaccine and excluding biodefense focused companies: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2"/>
              </w:rPr>
              <w:t>Selected Precedent Transactions</w:t>
            </w:r>
          </w:p>
        </w:tc>
        <w:tc>
          <w:tcPr>
            <w:tcW w:w="2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r>
      <w:tr>
        <w:trPr>
          <w:trHeight w:val="209"/>
        </w:trPr>
        <w:tc>
          <w:tcPr>
            <w:tcW w:w="186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Target</w:t>
            </w: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Acquiror</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r>
      <w:tr>
        <w:trPr>
          <w:trHeight w:val="209"/>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07/11/17</w:t>
            </w: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Protein Sciences</w:t>
            </w:r>
          </w:p>
        </w:tc>
        <w:tc>
          <w:tcPr>
            <w:tcW w:w="3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Sanofi</w:t>
            </w:r>
          </w:p>
        </w:tc>
      </w:tr>
      <w:tr>
        <w:trPr>
          <w:trHeight w:val="215"/>
        </w:trPr>
        <w:tc>
          <w:tcPr>
            <w:tcW w:w="1860" w:type="dxa"/>
            <w:vAlign w:val="bottom"/>
          </w:tcPr>
          <w:p>
            <w:pPr>
              <w:jc w:val="center"/>
              <w:spacing w:after="0"/>
              <w:rPr>
                <w:sz w:val="20"/>
                <w:szCs w:val="20"/>
                <w:color w:val="auto"/>
              </w:rPr>
            </w:pPr>
            <w:r>
              <w:rPr>
                <w:rFonts w:ascii="Arial" w:cs="Arial" w:eastAsia="Arial" w:hAnsi="Arial"/>
                <w:sz w:val="18"/>
                <w:szCs w:val="18"/>
                <w:color w:val="auto"/>
                <w:w w:val="91"/>
              </w:rPr>
              <w:t>10/26/15</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VBI Vaccines</w:t>
            </w: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SciVAC Therapeutics</w:t>
            </w:r>
          </w:p>
        </w:tc>
      </w:tr>
      <w:tr>
        <w:trPr>
          <w:trHeight w:val="215"/>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07/12/13</w:t>
            </w: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Medicago Inc.</w:t>
            </w:r>
          </w:p>
        </w:tc>
        <w:tc>
          <w:tcPr>
            <w:tcW w:w="3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Mitsubishi Tanabe</w:t>
            </w:r>
          </w:p>
        </w:tc>
      </w:tr>
      <w:tr>
        <w:trPr>
          <w:trHeight w:val="215"/>
        </w:trPr>
        <w:tc>
          <w:tcPr>
            <w:tcW w:w="1860" w:type="dxa"/>
            <w:vAlign w:val="bottom"/>
          </w:tcPr>
          <w:p>
            <w:pPr>
              <w:jc w:val="center"/>
              <w:spacing w:after="0"/>
              <w:rPr>
                <w:sz w:val="20"/>
                <w:szCs w:val="20"/>
                <w:color w:val="auto"/>
              </w:rPr>
            </w:pPr>
            <w:r>
              <w:rPr>
                <w:rFonts w:ascii="Arial" w:cs="Arial" w:eastAsia="Arial" w:hAnsi="Arial"/>
                <w:sz w:val="18"/>
                <w:szCs w:val="18"/>
                <w:color w:val="auto"/>
                <w:w w:val="91"/>
              </w:rPr>
              <w:t>05/29/13</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Okairos AG</w:t>
            </w: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GlaxoSmithKline</w:t>
            </w:r>
          </w:p>
        </w:tc>
      </w:tr>
      <w:tr>
        <w:trPr>
          <w:trHeight w:val="215"/>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05/08/13</w:t>
            </w: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Inviragen</w:t>
            </w:r>
          </w:p>
        </w:tc>
        <w:tc>
          <w:tcPr>
            <w:tcW w:w="3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Takeda America Holdings</w:t>
            </w:r>
          </w:p>
        </w:tc>
      </w:tr>
      <w:tr>
        <w:trPr>
          <w:trHeight w:val="215"/>
        </w:trPr>
        <w:tc>
          <w:tcPr>
            <w:tcW w:w="1860" w:type="dxa"/>
            <w:vAlign w:val="bottom"/>
          </w:tcPr>
          <w:p>
            <w:pPr>
              <w:jc w:val="center"/>
              <w:spacing w:after="0"/>
              <w:rPr>
                <w:sz w:val="20"/>
                <w:szCs w:val="20"/>
                <w:color w:val="auto"/>
              </w:rPr>
            </w:pPr>
            <w:r>
              <w:rPr>
                <w:rFonts w:ascii="Arial" w:cs="Arial" w:eastAsia="Arial" w:hAnsi="Arial"/>
                <w:sz w:val="18"/>
                <w:szCs w:val="18"/>
                <w:color w:val="auto"/>
                <w:w w:val="91"/>
              </w:rPr>
              <w:t>10/04/12</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LigoCyte Pharmaceuticals, Inc.</w:t>
            </w: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Takeda America Holdings</w:t>
            </w:r>
          </w:p>
        </w:tc>
      </w:tr>
      <w:tr>
        <w:trPr>
          <w:trHeight w:val="215"/>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05/27/08</w:t>
            </w: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Protein Sciences Corporation</w:t>
            </w:r>
          </w:p>
        </w:tc>
        <w:tc>
          <w:tcPr>
            <w:tcW w:w="3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Emergent BioSolutions, Inc.</w:t>
            </w:r>
          </w:p>
        </w:tc>
      </w:tr>
      <w:tr>
        <w:trPr>
          <w:trHeight w:val="215"/>
        </w:trPr>
        <w:tc>
          <w:tcPr>
            <w:tcW w:w="1860" w:type="dxa"/>
            <w:vAlign w:val="bottom"/>
          </w:tcPr>
          <w:p>
            <w:pPr>
              <w:jc w:val="center"/>
              <w:spacing w:after="0"/>
              <w:rPr>
                <w:sz w:val="20"/>
                <w:szCs w:val="20"/>
                <w:color w:val="auto"/>
              </w:rPr>
            </w:pPr>
            <w:r>
              <w:rPr>
                <w:rFonts w:ascii="Arial" w:cs="Arial" w:eastAsia="Arial" w:hAnsi="Arial"/>
                <w:sz w:val="18"/>
                <w:szCs w:val="18"/>
                <w:color w:val="auto"/>
                <w:w w:val="91"/>
              </w:rPr>
              <w:t>05/12/08</w:t>
            </w:r>
          </w:p>
        </w:tc>
        <w:tc>
          <w:tcPr>
            <w:tcW w:w="4460" w:type="dxa"/>
            <w:vAlign w:val="bottom"/>
            <w:gridSpan w:val="2"/>
          </w:tcPr>
          <w:p>
            <w:pPr>
              <w:ind w:left="260"/>
              <w:spacing w:after="0"/>
              <w:rPr>
                <w:sz w:val="20"/>
                <w:szCs w:val="20"/>
                <w:color w:val="auto"/>
              </w:rPr>
            </w:pPr>
            <w:r>
              <w:rPr>
                <w:rFonts w:ascii="Arial" w:cs="Arial" w:eastAsia="Arial" w:hAnsi="Arial"/>
                <w:sz w:val="18"/>
                <w:szCs w:val="18"/>
                <w:color w:val="auto"/>
              </w:rPr>
              <w:t>IOMAI Corporation</w:t>
            </w:r>
          </w:p>
        </w:tc>
        <w:tc>
          <w:tcPr>
            <w:tcW w:w="3680" w:type="dxa"/>
            <w:vAlign w:val="bottom"/>
            <w:gridSpan w:val="2"/>
          </w:tcPr>
          <w:p>
            <w:pPr>
              <w:ind w:left="240"/>
              <w:spacing w:after="0"/>
              <w:rPr>
                <w:sz w:val="20"/>
                <w:szCs w:val="20"/>
                <w:color w:val="auto"/>
              </w:rPr>
            </w:pPr>
            <w:r>
              <w:rPr>
                <w:rFonts w:ascii="Arial" w:cs="Arial" w:eastAsia="Arial" w:hAnsi="Arial"/>
                <w:sz w:val="18"/>
                <w:szCs w:val="18"/>
                <w:color w:val="auto"/>
              </w:rPr>
              <w:t>Intercell AG</w:t>
            </w:r>
          </w:p>
        </w:tc>
      </w:tr>
      <w:tr>
        <w:trPr>
          <w:trHeight w:val="215"/>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01/25/06</w:t>
            </w:r>
          </w:p>
        </w:tc>
        <w:tc>
          <w:tcPr>
            <w:tcW w:w="4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GeoVax, Inc.</w:t>
            </w:r>
          </w:p>
        </w:tc>
        <w:tc>
          <w:tcPr>
            <w:tcW w:w="3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Dauphin Technology, Inc.</w:t>
            </w:r>
          </w:p>
        </w:tc>
      </w:tr>
    </w:tbl>
    <w:p>
      <w:pPr>
        <w:spacing w:after="0" w:line="20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each of the selected precedent transactions, Stifel calculated an enterprise value (calculated as equity value based on the purchase consideration at announcement plus total debt less cash and equivalents, as obtained from publicly available sources). The mean and median enterprise values calculated for the selected precedent transactions are shown in the table below:</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Enterprise Value of Selected Precedent Transactions</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96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w:t>
            </w:r>
          </w:p>
        </w:tc>
        <w:tc>
          <w:tcPr>
            <w:tcW w:w="3340" w:type="dxa"/>
            <w:vAlign w:val="bottom"/>
            <w:shd w:val="clear" w:color="auto" w:fill="CCEEFF"/>
          </w:tcPr>
          <w:p>
            <w:pPr>
              <w:ind w:left="2260"/>
              <w:spacing w:after="0"/>
              <w:rPr>
                <w:sz w:val="20"/>
                <w:szCs w:val="20"/>
                <w:color w:val="auto"/>
              </w:rPr>
            </w:pPr>
            <w:r>
              <w:rPr>
                <w:rFonts w:ascii="Arial" w:cs="Arial" w:eastAsia="Arial" w:hAnsi="Arial"/>
                <w:sz w:val="18"/>
                <w:szCs w:val="18"/>
                <w:color w:val="auto"/>
                <w:w w:val="95"/>
              </w:rPr>
              <w:t>$233.2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Median</w:t>
            </w:r>
          </w:p>
        </w:tc>
        <w:tc>
          <w:tcPr>
            <w:tcW w:w="3340" w:type="dxa"/>
            <w:vAlign w:val="bottom"/>
          </w:tcPr>
          <w:p>
            <w:pPr>
              <w:ind w:left="2260"/>
              <w:spacing w:after="0"/>
              <w:rPr>
                <w:sz w:val="20"/>
                <w:szCs w:val="20"/>
                <w:color w:val="auto"/>
              </w:rPr>
            </w:pPr>
            <w:r>
              <w:rPr>
                <w:rFonts w:ascii="Arial" w:cs="Arial" w:eastAsia="Arial" w:hAnsi="Arial"/>
                <w:sz w:val="18"/>
                <w:szCs w:val="18"/>
                <w:color w:val="auto"/>
                <w:w w:val="95"/>
              </w:rPr>
              <w:t>$173.9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Based on the mean and median enterprise values of the selected precedent transactions, Stifel calculated a range of implied equity values for Vaxart by adding Vaxart net cash, which Stifel defined as total cash and equivalents less total debt, as of September 30, 2017, as provided by Aviragen management. This analysis resulted in the following range of implied equity values for Vaxart:</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Vaxart Implied Equity Value</w:t>
            </w: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4240" w:type="dxa"/>
            <w:vAlign w:val="bottom"/>
            <w:shd w:val="clear" w:color="auto" w:fill="CCEEFF"/>
          </w:tcPr>
          <w:p>
            <w:pPr>
              <w:ind w:left="3160"/>
              <w:spacing w:after="0"/>
              <w:rPr>
                <w:sz w:val="20"/>
                <w:szCs w:val="20"/>
                <w:color w:val="auto"/>
              </w:rPr>
            </w:pPr>
            <w:r>
              <w:rPr>
                <w:rFonts w:ascii="Arial" w:cs="Arial" w:eastAsia="Arial" w:hAnsi="Arial"/>
                <w:sz w:val="18"/>
                <w:szCs w:val="18"/>
                <w:color w:val="auto"/>
                <w:w w:val="95"/>
              </w:rPr>
              <w:t>$173.6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High</w:t>
            </w:r>
          </w:p>
        </w:tc>
        <w:tc>
          <w:tcPr>
            <w:tcW w:w="4240" w:type="dxa"/>
            <w:vAlign w:val="bottom"/>
          </w:tcPr>
          <w:p>
            <w:pPr>
              <w:ind w:left="3160"/>
              <w:spacing w:after="0"/>
              <w:rPr>
                <w:sz w:val="20"/>
                <w:szCs w:val="20"/>
                <w:color w:val="auto"/>
              </w:rPr>
            </w:pPr>
            <w:r>
              <w:rPr>
                <w:rFonts w:ascii="Arial" w:cs="Arial" w:eastAsia="Arial" w:hAnsi="Arial"/>
                <w:sz w:val="18"/>
                <w:szCs w:val="18"/>
                <w:color w:val="auto"/>
                <w:w w:val="95"/>
              </w:rPr>
              <w:t>$232.8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Relative:</w:t>
      </w:r>
    </w:p>
    <w:p>
      <w:pPr>
        <w:spacing w:after="0" w:line="2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Based on these analyses, Stifel compared the low value of the Aviragen implied equity value to the high value of the Vaxart implied equity value and the high value of the Aviragen implied equity value to the low value of the Vaxart implied equity value. This analysis yielded a range of implied ownership percentages for Aviragen, as set forth in the following table: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Aviragen Implied Ownership Percentages</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High</w:t>
            </w:r>
          </w:p>
        </w:tc>
        <w:tc>
          <w:tcPr>
            <w:tcW w:w="364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Stifel selected the business combination transactions on the basis of various factors, including the size of the target company, the current phase of the companies’ life cycles and the similarity of the lines of business, as of the time of the announcement of the transaction, although, as noted above, no transaction used in this analysis is identical to the merger. Accordingly, these analyses are not purely mathematical, but also involve complex considerations and judgments concerning the differences in financial and operating characteristics associated with each of the transactions and other factors.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Precedent Initial Public Offerings Analysis.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Aviragen:</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Stifel did not conduct a selected precedent initial public offerings analysis for Aviragen given that Aviragen was already publicly traded. Instead, Stifel utilized the Aviragen selected publicly traded companies analysis for purposes of its relative calculation in this context. As described above, this analysis resulted in the following range of implied equity values for Aviragen:</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Aviragen Implied Equity Value</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4300" w:type="dxa"/>
            <w:vAlign w:val="bottom"/>
            <w:shd w:val="clear" w:color="auto" w:fill="CCEEFF"/>
          </w:tcPr>
          <w:p>
            <w:pPr>
              <w:ind w:left="3320"/>
              <w:spacing w:after="0"/>
              <w:rPr>
                <w:sz w:val="20"/>
                <w:szCs w:val="20"/>
                <w:color w:val="auto"/>
              </w:rPr>
            </w:pPr>
            <w:r>
              <w:rPr>
                <w:rFonts w:ascii="Arial" w:cs="Arial" w:eastAsia="Arial" w:hAnsi="Arial"/>
                <w:sz w:val="18"/>
                <w:szCs w:val="18"/>
                <w:color w:val="auto"/>
                <w:w w:val="94"/>
              </w:rPr>
              <w:t>$62.0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High</w:t>
            </w:r>
          </w:p>
        </w:tc>
        <w:tc>
          <w:tcPr>
            <w:tcW w:w="4300" w:type="dxa"/>
            <w:vAlign w:val="bottom"/>
          </w:tcPr>
          <w:p>
            <w:pPr>
              <w:ind w:left="3320"/>
              <w:spacing w:after="0"/>
              <w:rPr>
                <w:sz w:val="20"/>
                <w:szCs w:val="20"/>
                <w:color w:val="auto"/>
              </w:rPr>
            </w:pPr>
            <w:r>
              <w:rPr>
                <w:rFonts w:ascii="Arial" w:cs="Arial" w:eastAsia="Arial" w:hAnsi="Arial"/>
                <w:sz w:val="18"/>
                <w:szCs w:val="18"/>
                <w:color w:val="auto"/>
                <w:w w:val="94"/>
              </w:rPr>
              <w:t>$73.7 million</w:t>
            </w: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1" w:name="page102"/>
    <w:bookmarkEnd w:id="10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Vaxart:</w:t>
      </w:r>
    </w:p>
    <w:p>
      <w:pPr>
        <w:spacing w:after="0" w:line="2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Stifel reviewed certain publicly available information for the following 11 initial public offerings for biotechnology companies announced subsequent to January 1, 2013, involving predominantly human health, non-generic companies focused on infectious disease indications with products in Phase 2 or Phase 3 of development:</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Selected Precedent Initial Public Offerings</w:t>
            </w:r>
          </w:p>
        </w:tc>
      </w:tr>
      <w:tr>
        <w:trPr>
          <w:trHeight w:val="209"/>
        </w:trPr>
        <w:tc>
          <w:tcPr>
            <w:tcW w:w="1480" w:type="dxa"/>
            <w:vAlign w:val="bottom"/>
          </w:tcPr>
          <w:p>
            <w:pPr>
              <w:jc w:val="center"/>
              <w:ind w:left="250"/>
              <w:spacing w:after="0"/>
              <w:rPr>
                <w:sz w:val="20"/>
                <w:szCs w:val="20"/>
                <w:color w:val="auto"/>
              </w:rPr>
            </w:pPr>
            <w:r>
              <w:rPr>
                <w:rFonts w:ascii="Arial" w:cs="Arial" w:eastAsia="Arial" w:hAnsi="Arial"/>
                <w:sz w:val="18"/>
                <w:szCs w:val="18"/>
                <w:color w:val="auto"/>
                <w:w w:val="89"/>
              </w:rPr>
              <w:t>Date</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Company</w:t>
            </w:r>
          </w:p>
        </w:tc>
      </w:tr>
      <w:tr>
        <w:trPr>
          <w:trHeight w:val="20"/>
        </w:trPr>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11/18/16</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Motif Bio</w:t>
            </w:r>
          </w:p>
        </w:tc>
      </w:tr>
      <w:tr>
        <w:trPr>
          <w:trHeight w:val="215"/>
        </w:trPr>
        <w:tc>
          <w:tcPr>
            <w:tcW w:w="1480" w:type="dxa"/>
            <w:vAlign w:val="bottom"/>
          </w:tcPr>
          <w:p>
            <w:pPr>
              <w:jc w:val="center"/>
              <w:ind w:left="270"/>
              <w:spacing w:after="0"/>
              <w:rPr>
                <w:sz w:val="20"/>
                <w:szCs w:val="20"/>
                <w:color w:val="auto"/>
              </w:rPr>
            </w:pPr>
            <w:r>
              <w:rPr>
                <w:rFonts w:ascii="Arial" w:cs="Arial" w:eastAsia="Arial" w:hAnsi="Arial"/>
                <w:sz w:val="18"/>
                <w:szCs w:val="18"/>
                <w:color w:val="auto"/>
                <w:w w:val="91"/>
              </w:rPr>
              <w:t>05/06/16</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Spring Bank Pharmaceuticals</w:t>
            </w:r>
          </w:p>
        </w:tc>
      </w:tr>
      <w:tr>
        <w:trPr>
          <w:trHeight w:val="215"/>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09/17/15</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Nabriva Therapeutics AG</w:t>
            </w:r>
          </w:p>
        </w:tc>
      </w:tr>
      <w:tr>
        <w:trPr>
          <w:trHeight w:val="215"/>
        </w:trPr>
        <w:tc>
          <w:tcPr>
            <w:tcW w:w="1480" w:type="dxa"/>
            <w:vAlign w:val="bottom"/>
          </w:tcPr>
          <w:p>
            <w:pPr>
              <w:jc w:val="center"/>
              <w:ind w:left="270"/>
              <w:spacing w:after="0"/>
              <w:rPr>
                <w:sz w:val="20"/>
                <w:szCs w:val="20"/>
                <w:color w:val="auto"/>
              </w:rPr>
            </w:pPr>
            <w:r>
              <w:rPr>
                <w:rFonts w:ascii="Arial" w:cs="Arial" w:eastAsia="Arial" w:hAnsi="Arial"/>
                <w:sz w:val="18"/>
                <w:szCs w:val="18"/>
                <w:color w:val="auto"/>
                <w:w w:val="91"/>
              </w:rPr>
              <w:t>08/18/15</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Benitec Biopharma</w:t>
            </w:r>
          </w:p>
        </w:tc>
      </w:tr>
      <w:tr>
        <w:trPr>
          <w:trHeight w:val="215"/>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06/25/15</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Seres</w:t>
            </w:r>
          </w:p>
        </w:tc>
      </w:tr>
      <w:tr>
        <w:trPr>
          <w:trHeight w:val="215"/>
        </w:trPr>
        <w:tc>
          <w:tcPr>
            <w:tcW w:w="1480" w:type="dxa"/>
            <w:vAlign w:val="bottom"/>
          </w:tcPr>
          <w:p>
            <w:pPr>
              <w:jc w:val="center"/>
              <w:ind w:left="270"/>
              <w:spacing w:after="0"/>
              <w:rPr>
                <w:sz w:val="20"/>
                <w:szCs w:val="20"/>
                <w:color w:val="auto"/>
              </w:rPr>
            </w:pPr>
            <w:r>
              <w:rPr>
                <w:rFonts w:ascii="Arial" w:cs="Arial" w:eastAsia="Arial" w:hAnsi="Arial"/>
                <w:sz w:val="18"/>
                <w:szCs w:val="18"/>
                <w:color w:val="auto"/>
                <w:w w:val="91"/>
              </w:rPr>
              <w:t>03/05/15</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Summit Therapeutics</w:t>
            </w:r>
          </w:p>
        </w:tc>
      </w:tr>
      <w:tr>
        <w:trPr>
          <w:trHeight w:val="215"/>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03/12/14</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Achaogen</w:t>
            </w:r>
          </w:p>
        </w:tc>
      </w:tr>
      <w:tr>
        <w:trPr>
          <w:trHeight w:val="215"/>
        </w:trPr>
        <w:tc>
          <w:tcPr>
            <w:tcW w:w="1480" w:type="dxa"/>
            <w:vAlign w:val="bottom"/>
          </w:tcPr>
          <w:p>
            <w:pPr>
              <w:jc w:val="center"/>
              <w:ind w:left="270"/>
              <w:spacing w:after="0"/>
              <w:rPr>
                <w:sz w:val="20"/>
                <w:szCs w:val="20"/>
                <w:color w:val="auto"/>
              </w:rPr>
            </w:pPr>
            <w:r>
              <w:rPr>
                <w:rFonts w:ascii="Arial" w:cs="Arial" w:eastAsia="Arial" w:hAnsi="Arial"/>
                <w:sz w:val="18"/>
                <w:szCs w:val="18"/>
                <w:color w:val="auto"/>
                <w:w w:val="91"/>
              </w:rPr>
              <w:t>02/05/14</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Genocea Biosciences</w:t>
            </w:r>
          </w:p>
        </w:tc>
      </w:tr>
      <w:tr>
        <w:trPr>
          <w:trHeight w:val="215"/>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04/11/13</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Chimerix</w:t>
            </w:r>
          </w:p>
        </w:tc>
      </w:tr>
      <w:tr>
        <w:trPr>
          <w:trHeight w:val="215"/>
        </w:trPr>
        <w:tc>
          <w:tcPr>
            <w:tcW w:w="1480" w:type="dxa"/>
            <w:vAlign w:val="bottom"/>
          </w:tcPr>
          <w:p>
            <w:pPr>
              <w:jc w:val="center"/>
              <w:ind w:left="270"/>
              <w:spacing w:after="0"/>
              <w:rPr>
                <w:sz w:val="20"/>
                <w:szCs w:val="20"/>
                <w:color w:val="auto"/>
              </w:rPr>
            </w:pPr>
            <w:r>
              <w:rPr>
                <w:rFonts w:ascii="Arial" w:cs="Arial" w:eastAsia="Arial" w:hAnsi="Arial"/>
                <w:sz w:val="18"/>
                <w:szCs w:val="18"/>
                <w:color w:val="auto"/>
                <w:w w:val="91"/>
              </w:rPr>
              <w:t>03/21/13</w:t>
            </w:r>
          </w:p>
        </w:tc>
        <w:tc>
          <w:tcPr>
            <w:tcW w:w="380" w:type="dxa"/>
            <w:vAlign w:val="bottom"/>
          </w:tcPr>
          <w:p>
            <w:pPr>
              <w:spacing w:after="0"/>
              <w:rPr>
                <w:sz w:val="18"/>
                <w:szCs w:val="18"/>
                <w:color w:val="auto"/>
              </w:rPr>
            </w:pP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Enanta Pharmaceuticals</w:t>
            </w:r>
          </w:p>
        </w:tc>
      </w:tr>
      <w:tr>
        <w:trPr>
          <w:trHeight w:val="215"/>
        </w:trPr>
        <w:tc>
          <w:tcPr>
            <w:tcW w:w="14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03/20/13</w:t>
            </w:r>
          </w:p>
        </w:tc>
        <w:tc>
          <w:tcPr>
            <w:tcW w:w="38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Tetraphase Pharmaceuticals</w:t>
            </w:r>
          </w:p>
        </w:tc>
      </w:tr>
    </w:tbl>
    <w:p>
      <w:pPr>
        <w:spacing w:after="0" w:line="201"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For each of the selected precedent initial public offerings, Stifel calculated a pre-money equity value based on the pricing of their respective initial public offerings. The mean and median equity values calculated for the selected precedent initial public offerings are shown in the table below:</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Equity Value of Selected Precedent Initial Public Offerings</w:t>
            </w: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Mean</w:t>
            </w:r>
          </w:p>
        </w:tc>
        <w:tc>
          <w:tcPr>
            <w:tcW w:w="3420" w:type="dxa"/>
            <w:vAlign w:val="bottom"/>
            <w:shd w:val="clear" w:color="auto" w:fill="CCEEFF"/>
          </w:tcPr>
          <w:p>
            <w:pPr>
              <w:ind w:left="2360"/>
              <w:spacing w:after="0"/>
              <w:rPr>
                <w:sz w:val="20"/>
                <w:szCs w:val="20"/>
                <w:color w:val="auto"/>
              </w:rPr>
            </w:pPr>
            <w:r>
              <w:rPr>
                <w:rFonts w:ascii="Arial" w:cs="Arial" w:eastAsia="Arial" w:hAnsi="Arial"/>
                <w:sz w:val="18"/>
                <w:szCs w:val="18"/>
                <w:color w:val="auto"/>
                <w:w w:val="93"/>
              </w:rPr>
              <w:t>$163.0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Median</w:t>
            </w:r>
          </w:p>
        </w:tc>
        <w:tc>
          <w:tcPr>
            <w:tcW w:w="3420" w:type="dxa"/>
            <w:vAlign w:val="bottom"/>
          </w:tcPr>
          <w:p>
            <w:pPr>
              <w:ind w:left="2360"/>
              <w:spacing w:after="0"/>
              <w:rPr>
                <w:sz w:val="20"/>
                <w:szCs w:val="20"/>
                <w:color w:val="auto"/>
              </w:rPr>
            </w:pPr>
            <w:r>
              <w:rPr>
                <w:rFonts w:ascii="Arial" w:cs="Arial" w:eastAsia="Arial" w:hAnsi="Arial"/>
                <w:sz w:val="18"/>
                <w:szCs w:val="18"/>
                <w:color w:val="auto"/>
                <w:w w:val="93"/>
              </w:rPr>
              <w:t>$110.8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Stifel selected the initial public offerings on the basis of various factors, including the size of the companies, the current phase of the companies’ life cycles and the similarity of the lines of business, although, as noted above, no company used in this analysis is identical to Vaxart. Accordingly, this analysis is not purely mathematical, but also involves complex considerations and judgments concerning the differences in financial and operating characteristics of the selected companies and other factors.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Relative:</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these analyses, Stifel compared the low value of the Aviragen implied equity value to the high value of the Vaxart implied equity value and the high value of the Aviragen implied equity value to the low value of the Vaxart implied equity value. This analysis yielded a range of implied ownership percentages for Aviragen, as set forth in the following table:</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Aviragen Implied Ownership Percentages</w:t>
            </w: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High</w:t>
            </w:r>
          </w:p>
        </w:tc>
        <w:tc>
          <w:tcPr>
            <w:tcW w:w="378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Discounted Cash Flow Analysis.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Aviragen:</w:t>
      </w:r>
    </w:p>
    <w:p>
      <w:pPr>
        <w:spacing w:after="0" w:line="22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Stifel used the Aviragen Projections, as provided by Aviragen management, to perform discounted cash flow analyses based on the three variations of the Aviragen Projections provided by, and as instructed by, Aviragen management: (i) the Low Collaboration Case, (ii) the Base Collaboration Case, and (iii) the Acquisition Case. In the analyses utilizing the Low Collaboration Case and the Base Collaboration Case, Stifel calculated the terminal value of Aviragen’s projected unlevered free cash flow by applying a range of perpetuity growth rates of (70.0%) to (90.0%), as provided by and instructed by Aviragen management, to Aviragen’s projected calendar year 2034 free cash flow. Stifel then discounted these cash flows to present values using discount rates of</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14.0% to 16.0%, based on Aviragen’s weighted average cost of capital, considering Aviragen’s company-specific circumstances and Stifel’s judgment. These analyses yielded a range of enterprise values for Aviragen from which Stifel calculated a range of implied equity values for Aviragen by adding Aviragen net cash, which Stifel defined as total cash and equivalents less total debt, as of September 30, 2017, as provided by Aviragen management. In the analysis utilizing the Acquisition Case, Stifel calculated an implied equity value for Aviragen by adding (i) a probability adjusted projected acquisition value for BTA074 as of December 31, 2018, (ii) a value for Aviragen’s projected royalty streams discounted back to December 31, 2018 using discount rates of 14.0% to 16.0%, based on Aviragen’s weighted average cost of capital, considering Aviragen’s company-specific circumstances and Stifel’s judgment, and (iii) Aviragen’s projected net cash as of December 31, 2018, each as provided by and instructed by Aviragen management. Further, Stifel discounted this equity value to present value using discount rates of 14.0% to 16.0%, based on Aviragen’s weighted average cost of capital, considering Aviragen’s company-specific circumstances and Stifel’s judgment. These analyses resulted in the following range of implied equity values for Aviragen:</w:t>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Aviragen Implied Equity Value</w:t>
            </w: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444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92"/>
              </w:rPr>
              <w:t>$35.5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High</w:t>
            </w:r>
          </w:p>
        </w:tc>
        <w:tc>
          <w:tcPr>
            <w:tcW w:w="4440" w:type="dxa"/>
            <w:vAlign w:val="bottom"/>
          </w:tcPr>
          <w:p>
            <w:pPr>
              <w:ind w:left="3480"/>
              <w:spacing w:after="0"/>
              <w:rPr>
                <w:sz w:val="20"/>
                <w:szCs w:val="20"/>
                <w:color w:val="auto"/>
              </w:rPr>
            </w:pPr>
            <w:r>
              <w:rPr>
                <w:rFonts w:ascii="Arial" w:cs="Arial" w:eastAsia="Arial" w:hAnsi="Arial"/>
                <w:sz w:val="18"/>
                <w:szCs w:val="18"/>
                <w:color w:val="auto"/>
                <w:w w:val="92"/>
              </w:rPr>
              <w:t>$49.2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1">
            <w:col w:w="11400"/>
          </w:cols>
          <w:pgMar w:left="240" w:top="118"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02" w:name="page103"/>
    <w:bookmarkEnd w:id="10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Vaxart:</w:t>
      </w:r>
    </w:p>
    <w:p>
      <w:pPr>
        <w:spacing w:after="0" w:line="2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Stifel used the Vaxart Projections, as provided by Aviragen management, to perform a discounted cash flow analysis. Stifel calculated the terminal value of the projected unlevered free cash flow by applying a range of perpetuity growth rates of (25.0%) to (40.0%), as provided by and instructed by Aviragen management, to Vaxart’s projected calendar year 2035 free cash flow. Stifel then discounted these cash flows to present values using discount ranges from</w:t>
      </w:r>
    </w:p>
    <w:p>
      <w:pPr>
        <w:ind w:right="160"/>
        <w:spacing w:after="0" w:line="252" w:lineRule="auto"/>
        <w:rPr>
          <w:sz w:val="20"/>
          <w:szCs w:val="20"/>
          <w:color w:val="auto"/>
        </w:rPr>
      </w:pPr>
      <w:r>
        <w:rPr>
          <w:rFonts w:ascii="Arial" w:cs="Arial" w:eastAsia="Arial" w:hAnsi="Arial"/>
          <w:sz w:val="18"/>
          <w:szCs w:val="18"/>
          <w:color w:val="auto"/>
        </w:rPr>
        <w:t>13.5% to 15.5%, based on Vaxart’s weighted average cost of capital, considering Vaxart’s company-specific circumstances and Stifel’s business and industry knowledge. This analysis yielded a range of enterprise values for Vaxart from which Stifel calculated a range of implied equity values for Vaxart by adding Vaxart net cash, which Stifel defined as total cash and equivalents less total debt, as of September 30, 2017, and as provided by Aviragen management. This analysis resulted in the following range of implied equity values for Vaxart:</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Vaxart Implied Equity Value</w:t>
            </w: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4560" w:type="dxa"/>
            <w:vAlign w:val="bottom"/>
            <w:shd w:val="clear" w:color="auto" w:fill="CCEEFF"/>
          </w:tcPr>
          <w:p>
            <w:pPr>
              <w:ind w:left="3500"/>
              <w:spacing w:after="0"/>
              <w:rPr>
                <w:sz w:val="20"/>
                <w:szCs w:val="20"/>
                <w:color w:val="auto"/>
              </w:rPr>
            </w:pPr>
            <w:r>
              <w:rPr>
                <w:rFonts w:ascii="Arial" w:cs="Arial" w:eastAsia="Arial" w:hAnsi="Arial"/>
                <w:sz w:val="18"/>
                <w:szCs w:val="18"/>
                <w:color w:val="auto"/>
                <w:w w:val="93"/>
              </w:rPr>
              <w:t>$109.4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High</w:t>
            </w:r>
          </w:p>
        </w:tc>
        <w:tc>
          <w:tcPr>
            <w:tcW w:w="4560" w:type="dxa"/>
            <w:vAlign w:val="bottom"/>
          </w:tcPr>
          <w:p>
            <w:pPr>
              <w:ind w:left="3500"/>
              <w:spacing w:after="0"/>
              <w:rPr>
                <w:sz w:val="20"/>
                <w:szCs w:val="20"/>
                <w:color w:val="auto"/>
              </w:rPr>
            </w:pPr>
            <w:r>
              <w:rPr>
                <w:rFonts w:ascii="Arial" w:cs="Arial" w:eastAsia="Arial" w:hAnsi="Arial"/>
                <w:sz w:val="18"/>
                <w:szCs w:val="18"/>
                <w:color w:val="auto"/>
                <w:w w:val="93"/>
              </w:rPr>
              <w:t>$167.1 million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Relative:</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Based on these analyses, Stifel compared the low value of the Aviragen DCF analysis to the high value of the Vaxart DCF analysis and the high value of the Aviragen DCF analysis to the low value of the Vaxart DCF analysis. This analysis yielded a range of implied ownership percentages for Aviragen, as set forth in the following table:</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Aviragen Implied Ownership Percentages</w:t>
            </w: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High</w:t>
            </w:r>
          </w:p>
        </w:tc>
        <w:tc>
          <w:tcPr>
            <w:tcW w:w="378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Miscellaneous.</w:t>
      </w: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 individual methodology was given a specific weight, nor should any methodology be viewed individually. Additionally, no company or transaction used in any analysis as a comparison is identical to Aviragen or Vaxart or the merger, and they all differ in material ways. Accordingly, an analysis of the results described above is not mathematical; rather it involves complex considerations and judgments concerning differences in financial and operating characteristics of the companies and other factors that could affect the public trading value of the selected companies, transactions or offerings to which they are being compared.</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preparation of a fairness opinion is a complex process and is not necessarily susceptible to a partial analysis or summary description. In arriving at its Opinion, Stifel considered the results of all of its analyses as a whole and did not attribute any particular weight to any analysis or factor considered by it. Stifel believes that the summary provided and the analyses described above must be considered as a whole and that selecting portions of these analyses, without considering all of them, would create an incomplete view of the process underlying Stifel’s analyses and Opinion; therefore, the ranges of valuations and relative valuations resulting from any particular analysis described above should not be taken to be Stifel’s view of the actual valuation of either Aviragen or Vaxart or their relative valuation.</w:t>
      </w:r>
    </w:p>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Stifel is acting as financial advisor to Aviragen in connection with the merger. Aviragen agreed to pay Stifel a fee of $1,250,000 for its services, $500,000 of which became payable upon the delivery of Stifel’s Opinion, and the remaining portion of which is contingent upon the closing of the merger. In addition, Aviragen has agreed to reimburse Stifel for its expenses incurred in connection with Stifel’s engagement and to indemnify Stifel and its affiliates and their respective officers, directors, employees and agents, and any persons controlling Stifel or any of its affiliates, against specified liabilities. In the ordinary course of business Stifel and its clients may transaction in the equity securities of each of Aviragen and Vaxart and may at any time hold a long or short position in such securities. Stifel may seek to provide investment banking or financial advisory services to Aviragen, Vaxart or affiliates of either company in the future, for which Stifel would seek customary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Aviragen Directors and Executive Officers in the Merger</w:t>
      </w:r>
    </w:p>
    <w:p>
      <w:pPr>
        <w:spacing w:after="0" w:line="22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considering the recommendation of the Aviragen board of directors with respect to issuing shares of Aviragen common stock as contemplated by the Merger Agreement and the other matters to be acted upon by the Aviragen stockholders at the Aviragen special meeting, the Aviragen stockholders should be aware that certain members of the board of directors and executive officers of Aviragen have interests in the merger that may be different from, or in addition to, the interests of the Aviragen stockholders. These interests relate to or arise from the matters described below. The board of directors of each of Aviragen and Vaxart was aware of these potential conflicts of interest and considered them, among other matters, in reaching their respective decisions to approve the Merger Agreement and the transactions contemplated thereby, and to recommend, as applicable, that the Aviragen stockholders approve the Aviragen proposals to be presented to the Aviragen stockholders for consideration at the Aviragen special meeting as contemplated by this proxy statement/prospectus/information statement, and that the Vaxart stockholders sign and return the written consent as contemplated by this proxy statement/prospectus/information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Joseph M. Patti, Ph.D., Aviragen’s President and Chief Executive Officer, is expected to be cease to be President and Chief Executive Officer of Aviragen and an employee of Aviragen upon the closing of the merger. Under the terms of Dr. Patti’s existing employment agreement, in the event Dr. Patti’s employment is terminated by Dr. Patti for good reason (as defined in Dr. Patti’s employment agreement) or by Aviragen for any reason other than cause, death or disability, in either case, within three months prior to or one year after the consummation of a change in control, Aviragen will pay Dr. Patti, subject to Dr. Patti’s execution, delivery and nonrevocation of a release, a lump sum equal to the sum of (i) any cash incentive compensation earned and unpaid through such termination; plus</w:t>
      </w:r>
    </w:p>
    <w:p>
      <w:pPr>
        <w:spacing w:after="0" w:line="3" w:lineRule="exact"/>
        <w:rPr>
          <w:sz w:val="20"/>
          <w:szCs w:val="20"/>
          <w:color w:val="auto"/>
        </w:rPr>
      </w:pPr>
    </w:p>
    <w:p>
      <w:pPr>
        <w:ind w:firstLine="8"/>
        <w:spacing w:after="0" w:line="251" w:lineRule="auto"/>
        <w:tabs>
          <w:tab w:leader="none" w:pos="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Dr. Patti’s salary for 24 months; plus (iii) the product of two times (2x) the cash incentive compensation paid to Dr. Patti in respect of the most recent fiscal year prior to the year in which such termination occurs; plus (iv) an amount equal to the present value of the premium payments that would be made by Aviragen if Dr. Patti were to continue to be covered under Aviragen’s group health, life and disability insurance for 24 months, which amount will be determined by Aviragen in its sole discretion. Assuming the merger is consummated on February 7, 2018, and Dr. Patti then terminates his employment for good reason, in accordance with the terms of Dr. Patti’s employment agreement, Dr. Patti is expected to receive an aggregate of approximately $1,077,196 in cash severance benefits.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Mark P. Colonnese, Aviragen’s Executive Vice President and Chief Financial Officer, is expected to be cease to be Executive Vice President and Chief Financial Officer and an employee of Aviragen upon the closing of the merger. Under the terms of Mr. Colonnese’s existing employment agreement, in the event Mr. Colonnese’s employment is terminated by Mr. Colonnese for good reason (as defined in Mr. Colonnese’s employment agreement) or by Aviragen for any reason other than cause, death or disability, in either case, within 60 days prior to or one year after the consummation of a change in control, Aviragen will pay Mr. Colonnese, subject to Mr. Colonnese’s execution, delivery and nonrevocation of a release, a lump sum equal to the sum of (i) any earned but unpaid cash incentive compensation for the fiscal year immediately preceding the fiscal year in which such termination occurs; plus (ii) Mr. Colonnese’s base salary for 18 months; plus (iii) the product of one and a half times (1.5x) the cash incentive compensation paid to Mr. Colonnese in respect of the most recent fiscal year prior to the year in which such termination occurs, plus (iv) an amount equal to the present value of the premium payments that would be made by Aviragen if Mr. Colonnese were to continue to be covered under Aviragen’s group health, life and disability insurance for 18 months, which amount will be determined by Aviragen in its sole discretion. Assuming the merger is consummated on February 7, 2018, and Mr. Colonnese then terminates his employment for good reason, in accordance with the terms of Mr. Colonnese’s employment agreement, Mr. Colonnese is expected to receive an aggregate of approximately $556,439 in cash severance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 of Unvested Equity Awards</w:t>
      </w:r>
    </w:p>
    <w:p>
      <w:pPr>
        <w:spacing w:after="0" w:line="22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All outstanding stock options held by Aviragen executive officers and directors will be accelerated and fully vest in accordance with their terms upon the closing of the merger and/or the termination of optionholders’ employment in connection therewith. As of December 27, 2017 Aviragen’s executive officers held 985,601 unvested stock options and 1,902,703 vested stock options in the aggregate, with a weighted average exercise price of $1.76. All of the stock options held by Dr. Patti and Mr. Colonnese as of December 27, 2017 have an exercise price per share that exceeds the closing price of Aviragen common stock on such date, and will remain outstanding for up to 18 months following Dr. Patti’s or Mr. Colonnese’s termination, as applicable. As of December 7, 2017, Aviragen’s non-employee directors held 163,800 unvested stock options and 1,020,319 vested stock options in the aggregate, with a weighted average exercise price of $3.18.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Service</w:t>
      </w:r>
    </w:p>
    <w:p>
      <w:pPr>
        <w:spacing w:after="0" w:line="22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Additionally, certain of Aviragen’s existing directors are expected to remain directors of the combined company. Geoffrey F. Cox, Ph.D., John P. Richard and Anne M. VanLent are expected to continue as directors of the combined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Support Agreements</w:t>
      </w:r>
    </w:p>
    <w:p>
      <w:pPr>
        <w:spacing w:after="0" w:line="22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As of December 7, 2017, Aviragen directors and executive officers held 371,341 shares of Aviragen common stock in the aggregate. Aviragen directors and executive officers have entered into support agreements in connection with the merger. For a more detailed discussion of the support agreements see the section titled “Agreements Related to the Merger—Support Agreements and Written Consent.”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Disclosure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Item 402(t) of Regulation S-K of the Securities Act, which requires disclosure of information about compensation for Aviragen’s President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Chief Executive Officer and Executive Vice President and Chief Financial Officer as of the end of its last fiscal year, who are referred to as the named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that is based on or otherwise related to the merger, the information below sets forth the amount of payments and benefits that each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Aviragen’s named executive officers may receive in connection with the merger, assuming that the merger was consummated and such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experienced a qualifying termination on November 7, 2017. The amounts below were determined using a per share price of Aviragen common stock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$0.618, which represents the average closing trading price of Aviragen common stock over the first five business days following the first public announcement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of the transaction. As a result of the foregoing assumptions, the actual amounts, if any, to be received by a named executive officer may materially differ from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amounts set forth below.</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Cash ($) (1)</w:t>
            </w: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Equity ($) (2)</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 ($)(3)</w:t>
            </w: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Joseph M. Patti, Ph.D.</w:t>
            </w:r>
          </w:p>
        </w:tc>
        <w:tc>
          <w:tcPr>
            <w:tcW w:w="2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1,077,196</w:t>
            </w: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1,077,196</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Mark P. Colonnese</w:t>
            </w:r>
          </w:p>
        </w:tc>
        <w:tc>
          <w:tcPr>
            <w:tcW w:w="2820" w:type="dxa"/>
            <w:vAlign w:val="bottom"/>
          </w:tcPr>
          <w:p>
            <w:pPr>
              <w:jc w:val="right"/>
              <w:ind w:right="130"/>
              <w:spacing w:after="0"/>
              <w:rPr>
                <w:sz w:val="20"/>
                <w:szCs w:val="20"/>
                <w:color w:val="auto"/>
              </w:rPr>
            </w:pPr>
            <w:r>
              <w:rPr>
                <w:rFonts w:ascii="Arial" w:cs="Arial" w:eastAsia="Arial" w:hAnsi="Arial"/>
                <w:sz w:val="18"/>
                <w:szCs w:val="18"/>
                <w:color w:val="auto"/>
              </w:rPr>
              <w:t>556,439</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556,439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6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60" w:hanging="332"/>
        <w:spacing w:after="0" w:line="290"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Represents for Dr. Patti the following lump sum severance payments that are owed in the event Dr. Patti’s employment is terminated by Dr. Patti for good reason (as defined in Dr. Patti’s employment agreement) or by Aviragen for any reason other than cause, death or disability, in either case, within</w:t>
      </w:r>
    </w:p>
    <w:p>
      <w:pPr>
        <w:ind w:left="340"/>
        <w:spacing w:after="0" w:line="286" w:lineRule="auto"/>
        <w:rPr>
          <w:rFonts w:ascii="Arial" w:cs="Arial" w:eastAsia="Arial" w:hAnsi="Arial"/>
          <w:sz w:val="16"/>
          <w:szCs w:val="16"/>
          <w:color w:val="auto"/>
        </w:rPr>
      </w:pPr>
      <w:r>
        <w:rPr>
          <w:rFonts w:ascii="Arial" w:cs="Arial" w:eastAsia="Arial" w:hAnsi="Arial"/>
          <w:sz w:val="16"/>
          <w:szCs w:val="16"/>
          <w:color w:val="auto"/>
        </w:rPr>
        <w:t>three months prior to or one year after the consummation of a change in control; (i) Dr. Patti’s current salary of $515,000 per year for 24 months totaling $1,030,000, plus (ii) an estimate of the present value of the premium payments that would be made by Aviragen if Dr. Patti were to continue to be covered under Aviragen’s group health, life and disability insurance for 24 months of $47,196. Represents for Mr. Colonnese the following lump sum severance payments that are owed in the event Mr. Colonnese’s employment is terminated by Mr. Colonnese for good reason (as defined in Mr. Colonnese’s employment agreement) or by Aviragen for any reason other than cause, death or disability, in either case, within 60 days prior to or one year after the consummation of a change in control: (i) Mr. Colonnese’s current salary of $349,800 per year for 18 months totaling $524,700, plus (ii) an estimate of the present value of the premium payments that would be made by Aviragen if Mr. Colonnese were to continue to be covered under Aviragen’s group health, life and disability insurance for 18 months of $31,739. The amounts specified in this footnote (1) are double-trigger payments.</w:t>
      </w:r>
    </w:p>
    <w:p>
      <w:pPr>
        <w:spacing w:after="0" w:line="169" w:lineRule="exact"/>
        <w:rPr>
          <w:rFonts w:ascii="Arial" w:cs="Arial" w:eastAsia="Arial" w:hAnsi="Arial"/>
          <w:sz w:val="16"/>
          <w:szCs w:val="16"/>
          <w:color w:val="auto"/>
        </w:rPr>
      </w:pPr>
    </w:p>
    <w:p>
      <w:pPr>
        <w:jc w:val="both"/>
        <w:ind w:left="340" w:right="420" w:hanging="332"/>
        <w:spacing w:after="0" w:line="339" w:lineRule="auto"/>
        <w:tabs>
          <w:tab w:leader="none" w:pos="3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All of the unvested stock options held by Dr. Patti and Mr. Colonnese that are outstanding immediately prior to the Effective Time will become fully vested and exercisable, but each such stock option has an exercise price per share greater than the average closing market price of Aviragen common stock over the first five business days following the first public announcement of the transaction, and therefore, no value is reported in this column.</w:t>
      </w:r>
    </w:p>
    <w:p>
      <w:pPr>
        <w:spacing w:after="0" w:line="130" w:lineRule="exact"/>
        <w:rPr>
          <w:rFonts w:ascii="Arial" w:cs="Arial" w:eastAsia="Arial" w:hAnsi="Arial"/>
          <w:sz w:val="15"/>
          <w:szCs w:val="15"/>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total double trigger payments for Dr. Patti is $1,077,196 and for Mr. Colonnese is $556,439.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220" w:lineRule="exact"/>
        <w:rPr>
          <w:sz w:val="20"/>
          <w:szCs w:val="20"/>
          <w:color w:val="auto"/>
        </w:rPr>
      </w:pPr>
    </w:p>
    <w:p>
      <w:pPr>
        <w:jc w:val="both"/>
        <w:ind w:right="220"/>
        <w:spacing w:after="0" w:line="265"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s</w:t>
      </w:r>
      <w:r>
        <w:rPr>
          <w:rFonts w:ascii="Arial" w:cs="Arial" w:eastAsia="Arial" w:hAnsi="Arial"/>
          <w:sz w:val="18"/>
          <w:szCs w:val="18"/>
          <w:color w:val="auto"/>
        </w:rPr>
        <w:t xml:space="preserve"> described in this proxy statement/prospectus/information statement, including in “The Merger—Limitations of Liability and Indemnification,” certain of Aviragen’s directors and officers will be entitled to certain ongoing rights of indemnification and coverage under directors’ and officers’ liability insurance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Aviragen board of directors was aware of these interests and considered them, among other matters, in its decision to approve the Merger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Vaxart Directors and Executive Officers in the Merger</w:t>
      </w: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considering the recommendation of the Vaxart board of directors with respect to approving the merger and related transactions by written consent, Vaxart stockholders should be aware that certain members of the board of directors and executive officers of Vaxart have interests in the merger that may be different from, or in addition to, interests they have as Vaxart stockholders. All of Vaxart’s executive officers and its employee directors have options, subject to vesting, to purchase shares of Vaxart common stock which shall be converted into and become options to purchase shares of Aviragen common stock. Certain of Vaxart's directors and executive officers are expected to become directors and executive officers of the combined company upon the closing of the merger and all of Vaxart's directors and executive officers are entitled to certain indemnification and liability insurance coverage pursuant to the terms of the Merger Agreement.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Company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of the merger, the executive management team of the combined company is expected to be composed of the following members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Vaxart executive management team:</w:t>
      </w:r>
    </w:p>
    <w:p>
      <w:pPr>
        <w:spacing w:after="0" w:line="200" w:lineRule="exact"/>
        <w:rPr>
          <w:sz w:val="20"/>
          <w:szCs w:val="20"/>
          <w:color w:val="auto"/>
        </w:rPr>
      </w:pPr>
    </w:p>
    <w:p>
      <w:pPr>
        <w:spacing w:after="0" w:line="22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0" w:type="dxa"/>
            <w:vAlign w:val="bottom"/>
          </w:tcPr>
          <w:p>
            <w:pPr>
              <w:spacing w:after="0"/>
              <w:rPr>
                <w:sz w:val="20"/>
                <w:szCs w:val="20"/>
                <w:color w:val="auto"/>
              </w:rPr>
            </w:pPr>
          </w:p>
        </w:tc>
        <w:tc>
          <w:tcPr>
            <w:tcW w:w="6220" w:type="dxa"/>
            <w:vAlign w:val="bottom"/>
          </w:tcPr>
          <w:p>
            <w:pPr>
              <w:ind w:left="2920"/>
              <w:spacing w:after="0"/>
              <w:rPr>
                <w:sz w:val="20"/>
                <w:szCs w:val="20"/>
                <w:color w:val="auto"/>
              </w:rPr>
            </w:pPr>
            <w:r>
              <w:rPr>
                <w:rFonts w:ascii="Arial" w:cs="Arial" w:eastAsia="Arial" w:hAnsi="Arial"/>
                <w:sz w:val="18"/>
                <w:szCs w:val="18"/>
                <w:b w:val="1"/>
                <w:bCs w:val="1"/>
                <w:color w:val="auto"/>
              </w:rPr>
              <w:t>Title</w:t>
            </w:r>
          </w:p>
        </w:tc>
      </w:tr>
      <w:tr>
        <w:trPr>
          <w:trHeight w:val="209"/>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Wouter W. Latour, M.D.</w:t>
            </w:r>
          </w:p>
        </w:tc>
        <w:tc>
          <w:tcPr>
            <w:tcW w:w="380" w:type="dxa"/>
            <w:vAlign w:val="bottom"/>
            <w:shd w:val="clear" w:color="auto" w:fill="CCEEFF"/>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Sean N. Tucker, Ph.D</w:t>
            </w:r>
          </w:p>
        </w:tc>
        <w:tc>
          <w:tcPr>
            <w:tcW w:w="6600" w:type="dxa"/>
            <w:vAlign w:val="bottom"/>
            <w:gridSpan w:val="2"/>
          </w:tcPr>
          <w:p>
            <w:pPr>
              <w:ind w:left="380"/>
              <w:spacing w:after="0"/>
              <w:rPr>
                <w:sz w:val="20"/>
                <w:szCs w:val="20"/>
                <w:color w:val="auto"/>
              </w:rPr>
            </w:pPr>
            <w:r>
              <w:rPr>
                <w:rFonts w:ascii="Arial" w:cs="Arial" w:eastAsia="Arial" w:hAnsi="Arial"/>
                <w:sz w:val="18"/>
                <w:szCs w:val="18"/>
                <w:color w:val="auto"/>
              </w:rPr>
              <w:t>Chief Scientific Officer</w:t>
            </w:r>
          </w:p>
        </w:tc>
      </w:tr>
      <w:tr>
        <w:trPr>
          <w:trHeight w:val="215"/>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David Liebowitz, M.D., Ph.D</w:t>
            </w:r>
          </w:p>
        </w:tc>
        <w:tc>
          <w:tcPr>
            <w:tcW w:w="6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Chief Medical Officer</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John M. Harland</w:t>
            </w:r>
          </w:p>
        </w:tc>
        <w:tc>
          <w:tcPr>
            <w:tcW w:w="6600" w:type="dxa"/>
            <w:vAlign w:val="bottom"/>
            <w:gridSpan w:val="2"/>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Support Agreements</w:t>
      </w:r>
    </w:p>
    <w:p>
      <w:pPr>
        <w:spacing w:after="0" w:line="22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As of December 31, 2017, all directors and executive officers of Vaxart, together with their affiliates, owned 78.5% of the outstanding shares of Vaxart capital stock, on an as-converted to common stock basis. Following the closing of the merger, these same directors, executive officers, together with their affiliates are expected to own 53.9% of the outstanding shares of the combined company. Please see the sections titled “Principal Stockholders of Vaxart” and “Principal Stockholders of the Combined Company” for further information. In addition, certain Vaxart officers and directors, and their affiliates, have also entered into support agreements in connection with the merger. The support agreements are discussed in greater detail in the section titled “Agreements Related to the Merger—Support Agreements and Written Consent” in this proxy statement/prospectus/information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Payments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2017, Vaxart had approximately $13.9 million of cumulative but unpaid accruing dividends to the holders of its Series B Preferred Stock and Series C Preferred Stock. Based on an assumed payment date of February 7, 2018, immediately prior to the closing of the merger, Vaxart expects to issue 25,704,450 shares of common stock in payment of approximately $14.9 million of cumulative accrued dividends on its Series B Preferred Stock and Series C Preferred Stock. The following table summarizes the expected payments to Vaxart’s executive officers, directors and holders of more than 5% of Vaxart’s capital stock immediately prior to the closing of the merger.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 Additional Shares</w:t>
            </w:r>
          </w:p>
        </w:tc>
      </w:t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Vaxart Common Stock</w:t>
            </w:r>
          </w:p>
        </w:tc>
      </w:tr>
      <w:tr>
        <w:trPr>
          <w:trHeight w:val="249"/>
        </w:trPr>
        <w:tc>
          <w:tcPr>
            <w:tcW w:w="20" w:type="dxa"/>
            <w:vAlign w:val="bottom"/>
          </w:tcPr>
          <w:p>
            <w:pPr>
              <w:spacing w:after="0"/>
              <w:rPr>
                <w:sz w:val="21"/>
                <w:szCs w:val="21"/>
                <w:color w:val="auto"/>
              </w:rPr>
            </w:pPr>
          </w:p>
        </w:tc>
        <w:tc>
          <w:tcPr>
            <w:tcW w:w="7380" w:type="dxa"/>
            <w:vAlign w:val="bottom"/>
            <w:tcBorders>
              <w:top w:val="single" w:sz="8" w:color="auto"/>
            </w:tcBorders>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26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20,781,942</w:t>
            </w:r>
          </w:p>
        </w:tc>
        <w:tc>
          <w:tcPr>
            <w:tcW w:w="10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27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1,274,405</w:t>
            </w:r>
          </w:p>
        </w:tc>
        <w:tc>
          <w:tcPr>
            <w:tcW w:w="10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7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27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1,536,070</w:t>
            </w:r>
          </w:p>
        </w:tc>
        <w:tc>
          <w:tcPr>
            <w:tcW w:w="100" w:type="dxa"/>
            <w:vAlign w:val="bottom"/>
            <w:shd w:val="clear" w:color="auto" w:fill="CCEEFF"/>
          </w:tcPr>
          <w:p>
            <w:pPr>
              <w:spacing w:after="0"/>
              <w:rPr>
                <w:sz w:val="22"/>
                <w:szCs w:val="22"/>
                <w:color w:val="auto"/>
              </w:rPr>
            </w:pPr>
          </w:p>
        </w:tc>
      </w:tr>
      <w:tr>
        <w:trPr>
          <w:trHeight w:val="389"/>
        </w:trPr>
        <w:tc>
          <w:tcPr>
            <w:tcW w:w="2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27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126,906</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69" w:lineRule="exact"/>
        <w:rPr>
          <w:sz w:val="20"/>
          <w:szCs w:val="20"/>
          <w:color w:val="auto"/>
        </w:rPr>
      </w:pPr>
    </w:p>
    <w:p>
      <w:pPr>
        <w:ind w:left="500" w:right="20" w:hanging="492"/>
        <w:spacing w:after="0" w:line="276"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Care Capital Investments III, LP and Care Capital Offshore Investments III, LP. Messrs. Leschly and Markham, each a member of the Vaxart board of directors, are the Chairman and Managing Partner, and a partner, respectively, of Care Capital, LLC.</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Includes notes purchased by Dr. Tucker and his spouse. Dr. Tucker is Vaxart’s Chief Scientific Officer and a member of the Vaxart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Financing</w:t>
      </w:r>
    </w:p>
    <w:p>
      <w:pPr>
        <w:spacing w:after="0" w:line="22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December 2014 and November 2015, Vaxart issued and sold convertible promissory notes in the aggregate principal amount of $29.4 million. Based on an assumed conversion date of February 7, 2018, the notes will convert into approximately 77,899,708 shares of common stock immediately prior to the closing of this merger. The notes carry an interest rate of 8% per annum. The following table summarizes purchases of the notes by Vaxart’s executive officers, directors and holders of more than 5% of Vaxart’s capital stock and the expected number of shares of Vaxart common stock to be issued upon conversion immediately prior to the closing of the merger.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spacing w:after="0" w:line="19"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Aggregate Principal</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Shares of Vaxart</w:t>
            </w:r>
          </w:p>
        </w:tc>
        <w:tc>
          <w:tcPr>
            <w:tcW w:w="0" w:type="dxa"/>
            <w:vAlign w:val="bottom"/>
          </w:tcPr>
          <w:p>
            <w:pPr>
              <w:spacing w:after="0"/>
              <w:rPr>
                <w:sz w:val="1"/>
                <w:szCs w:val="1"/>
                <w:color w:val="auto"/>
              </w:rPr>
            </w:pPr>
          </w:p>
        </w:tc>
      </w:t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Amount of Notes</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678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66,212,172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1,055,000</w:t>
            </w: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2,813,594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2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4,664,575</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131,142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69" w:lineRule="exact"/>
        <w:rPr>
          <w:sz w:val="20"/>
          <w:szCs w:val="20"/>
          <w:color w:val="auto"/>
        </w:rPr>
      </w:pPr>
    </w:p>
    <w:p>
      <w:pPr>
        <w:ind w:left="500" w:hanging="492"/>
        <w:spacing w:after="0" w:line="306" w:lineRule="auto"/>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Includes notes purchased by Care Capital Investments III, LP and Care Capital Offshore Investments III, LP. Messrs. Leschly and Markham, each a member of the Vaxart board of directors, are the Chairman and Managing Partner, and a partner, respectively, of Care Capital, LLC.</w:t>
      </w:r>
    </w:p>
    <w:p>
      <w:pPr>
        <w:spacing w:after="0" w:line="147" w:lineRule="exact"/>
        <w:rPr>
          <w:rFonts w:ascii="Arial" w:cs="Arial" w:eastAsia="Arial" w:hAnsi="Arial"/>
          <w:sz w:val="17"/>
          <w:szCs w:val="17"/>
          <w:color w:val="auto"/>
        </w:rPr>
      </w:pPr>
    </w:p>
    <w:p>
      <w:pPr>
        <w:ind w:left="500" w:hanging="492"/>
        <w:spacing w:after="0"/>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Includes notes purchased by Dr. Tucker and his spouse. Dr. Tucker is Vaxart’s Chief Scientific Officer and a member of the Vaxart board of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Anti-Dilution Adjustment</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Vaxart’s existing amended and restated certificate of incorporation, the holders of Vaxart Series A Preferred Stock, Series B Preferred Stock and Series C Preferred Stock are entitled to certain adjustments to the effective conversion price of the Series A Preferred Stock, Series B Preferred or Series C Preferred Stock in the event Vaxart issues or sells any shares of Vaxart’s capital stock at a price per share less than the applicable conversion price of the Series A Preferred Stock, Series B Preferred Stock or Series C Preferred Stock immediately prior to such issuance. As a result of the closing of this merger, and after giving effect to the issuance of the dividends and the conversion of the convertible notes (each as described above), the conversion price of Vaxart’s Series A Preferred Stock, Series B Preferred Stock and Series C Preferred Stock will be adjusted such that the shares will be convertible into approximately 1.094, 1.1496 and 1.1496 shares of Vaxart common stock, respectively.</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Assuming the closing of the merger occurs on February 7, 2018, the following table shows the effect of the anti-dilution adjustment in terms of additional number of shares of Vaxart common stock that would be issuable to Vaxart executive officers, directors and holders of more than 5% of Vaxart capital stock. Such shares will not actually be issued to these parties and will instead be reflected in the number of shares of Aviragen common stock to be received by such parties in the merger.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Number of Additional Shares</w:t>
            </w:r>
          </w:p>
        </w:tc>
      </w:t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3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of Vaxart Common Stock</w:t>
            </w:r>
          </w:p>
        </w:tc>
      </w:tr>
      <w:tr>
        <w:trPr>
          <w:trHeight w:val="249"/>
        </w:trPr>
        <w:tc>
          <w:tcPr>
            <w:tcW w:w="20" w:type="dxa"/>
            <w:vAlign w:val="bottom"/>
          </w:tcPr>
          <w:p>
            <w:pPr>
              <w:spacing w:after="0"/>
              <w:rPr>
                <w:sz w:val="21"/>
                <w:szCs w:val="21"/>
                <w:color w:val="auto"/>
              </w:rPr>
            </w:pPr>
          </w:p>
        </w:tc>
        <w:tc>
          <w:tcPr>
            <w:tcW w:w="8300" w:type="dxa"/>
            <w:vAlign w:val="bottom"/>
            <w:tcBorders>
              <w:top w:val="single" w:sz="8" w:color="auto"/>
            </w:tcBorders>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80" w:type="dxa"/>
            <w:vAlign w:val="bottom"/>
            <w:shd w:val="clear" w:color="auto" w:fill="CCEEFF"/>
          </w:tcPr>
          <w:p>
            <w:pPr>
              <w:spacing w:after="0"/>
              <w:rPr>
                <w:sz w:val="21"/>
                <w:szCs w:val="21"/>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6,744,858</w:t>
            </w:r>
          </w:p>
        </w:tc>
        <w:tc>
          <w:tcPr>
            <w:tcW w:w="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30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525,695</w:t>
            </w:r>
          </w:p>
        </w:tc>
        <w:tc>
          <w:tcPr>
            <w:tcW w:w="6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8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30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586,629</w:t>
            </w:r>
          </w:p>
        </w:tc>
        <w:tc>
          <w:tcPr>
            <w:tcW w:w="60" w:type="dxa"/>
            <w:vAlign w:val="bottom"/>
            <w:shd w:val="clear" w:color="auto" w:fill="CCEEFF"/>
          </w:tcPr>
          <w:p>
            <w:pPr>
              <w:spacing w:after="0"/>
              <w:rPr>
                <w:sz w:val="22"/>
                <w:szCs w:val="22"/>
                <w:color w:val="auto"/>
              </w:rPr>
            </w:pPr>
          </w:p>
        </w:tc>
      </w:tr>
      <w:tr>
        <w:trPr>
          <w:trHeight w:val="389"/>
        </w:trPr>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3040" w:type="dxa"/>
            <w:vAlign w:val="bottom"/>
            <w:gridSpan w:val="2"/>
          </w:tcPr>
          <w:p>
            <w:pPr>
              <w:jc w:val="center"/>
              <w:ind w:left="70"/>
              <w:spacing w:after="0"/>
              <w:rPr>
                <w:sz w:val="20"/>
                <w:szCs w:val="20"/>
                <w:color w:val="auto"/>
              </w:rPr>
            </w:pPr>
            <w:r>
              <w:rPr>
                <w:rFonts w:ascii="Arial" w:cs="Arial" w:eastAsia="Arial" w:hAnsi="Arial"/>
                <w:sz w:val="18"/>
                <w:szCs w:val="18"/>
                <w:color w:val="auto"/>
                <w:w w:val="87"/>
              </w:rPr>
              <w:t>65,970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69" w:lineRule="exact"/>
        <w:rPr>
          <w:sz w:val="20"/>
          <w:szCs w:val="20"/>
          <w:color w:val="auto"/>
        </w:rPr>
      </w:pPr>
    </w:p>
    <w:p>
      <w:pPr>
        <w:ind w:left="500" w:hanging="492"/>
        <w:spacing w:after="0" w:line="290" w:lineRule="auto"/>
        <w:tabs>
          <w:tab w:leader="none" w:pos="5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Includes shares that would be issuable to Care Capital Investments III, LP and Care Capital Offshore Investments III, LP. Messrs. Leschly and Markham, each a member of the Vaxart board of directors, are the Chairman and Managing Partner, and a partner, respectively, of Care Capital, LLC.</w:t>
      </w:r>
    </w:p>
    <w:p>
      <w:pPr>
        <w:ind w:left="500" w:hanging="492"/>
        <w:spacing w:after="0"/>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8"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shares that would be issuable to Dr. Tucker and his spouse. Dr. Tucker is Vaxart’s Chief Scientific Officer and a member of the Vaxart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220"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s</w:t>
      </w:r>
      <w:r>
        <w:rPr>
          <w:rFonts w:ascii="Arial" w:cs="Arial" w:eastAsia="Arial" w:hAnsi="Arial"/>
          <w:sz w:val="18"/>
          <w:szCs w:val="18"/>
          <w:color w:val="auto"/>
        </w:rPr>
        <w:t xml:space="preserve"> described in this proxy statement/prospectus/information statement, including in “The Merger—Limitations of Liability and Indemnification,” certain of Vaxart’s directors and officers will be entitled to certain ongoing rights of indemnification and coverage under directors’ and officers’ liability insurance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Vaxart board of directors was aware of these interests and considered them, among other matters, in its decision to approve the Merger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2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addition to the indemnification required by Aviragen’s certificate of incorporation and bylaws, Aviragen has entered into indemnification agreements with each of its directors and officers. These agreements provide for the indemnification of such persons for all reasonable expenses and liabilities incurred in connection with any action or proceeding brought against them by reason of the fact that they are or were agents of Aviragen, or by reason of anything done or not done in their capacities as such. Aviragen believes that the indemnification provisions in its certificate of incorporation and bylaws and its indemnification agreements are necessary to attract and retain qualified persons as directors and officers of Aviragen.</w:t>
      </w:r>
    </w:p>
    <w:p>
      <w:pPr>
        <w:spacing w:after="0" w:line="17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Additionally, under the Merger Agreement, from the Effective Time through the sixth anniversary thereof, Aviragen and Vaxart, as the surviving corporation in the merger, shall indemnify and hold harmless each person who is now, has been at any time prior to October 27, 2017, or who becomes prior to the Effective Time, a director, officer, fiduciary or agent of Aviragen or Vaxart,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officer, fiduciary or agent of Aviragen or Vaxart, whether asserted or claimed prior to, at or after the Effective Time, to the fullest extent permitted under applicable law. In addition, each such person is entitled to advancement of expenses incurred in the defense of any such claim, action, suit, proceeding or investigation from each of Aviragen and Vaxart, as the surviving corporation in the merger, jointly and severally, upon receipt by either entity of a request therefor.</w:t>
      </w:r>
    </w:p>
    <w:p>
      <w:pPr>
        <w:spacing w:after="0" w:line="166"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Under the Merger Agreement, the provisions of Aviragen’s certificate of incorporation and bylaws with respect to indemnification, advancement of expenses and exculpation of present and former directors and officers of Aviragen shall not be amended, modified or repealed for a period of six years from the Effective Time in a manner that would adversely affect the rights thereunder of individuals who, at or prior to the Effective Time, were officers or directors of Aviragen. The certificate of incorporation and bylaws of Vaxart, as the surviving corporation in the merger, shall contain provisions no less favorable with</w:t>
      </w:r>
    </w:p>
    <w:p>
      <w:pPr>
        <w:sectPr>
          <w:pgSz w:w="11900" w:h="16857" w:orient="portrait"/>
          <w:cols w:equalWidth="0" w:num="1">
            <w:col w:w="11420"/>
          </w:cols>
          <w:pgMar w:left="240" w:top="118" w:right="239" w:bottom="0" w:gutter="0" w:footer="0" w:header="0"/>
        </w:sectPr>
      </w:pPr>
    </w:p>
    <w:bookmarkStart w:id="107" w:name="page108"/>
    <w:bookmarkEnd w:id="107"/>
    <w:p>
      <w:pPr>
        <w:spacing w:after="0" w:line="276" w:lineRule="auto"/>
        <w:rPr>
          <w:sz w:val="20"/>
          <w:szCs w:val="20"/>
          <w:color w:val="auto"/>
        </w:rPr>
      </w:pPr>
      <w:r>
        <w:rPr>
          <w:rFonts w:ascii="Arial" w:cs="Arial" w:eastAsia="Arial" w:hAnsi="Arial"/>
          <w:sz w:val="18"/>
          <w:szCs w:val="18"/>
          <w:color w:val="auto"/>
        </w:rPr>
        <w:t>respect to indemnification, advancement of expenses and exculpation of former and present directors and officers that are presently set forth in the Aviragen’s certificate of incorporation and bylaws.</w:t>
      </w:r>
    </w:p>
    <w:p>
      <w:pPr>
        <w:spacing w:after="0" w:line="17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Merger Agreement also provides that Aviragen shall maintain directors’ and officers’ liability insurance policies commencing on the closing time of the merger, on commercially available terms and conditions with coverage limits customary for U.S. public companies similarly situated to Aviragen. In addition, Aviragen shall purchase, prior to the Effective Time, a six-year prepaid “tail policy” for the non-cancellable extension of the directors’ and officers’ liability coverage of Aviragen’s existing directors’ and officers’ insurance policies for a claims reporting or discovery period of at least six years from and after the Effective Time with respect to any claim related to any period of time at or prior to the Effective Time.</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the Merger</w:t>
      </w:r>
    </w:p>
    <w:p>
      <w:pPr>
        <w:spacing w:after="0" w:line="228"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Merger Agreement provides that at the Effective Time, Merger Sub will be merged with and into Vaxart. Upon the closing of the merger, Vaxart will continue as the surviving corporation and will be a wholly-owned subsidiary of the combined company.</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After the closing of the merger, Aviragen will be renamed “Vaxart, Inc.” and, subject to satisfying the Nasdaq’s initial trading standards, expects to trade on the Nasdaq Global Market under the symbol “VXRT.”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228"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Immediately after the merger, based on the Exchange Ratio, Vaxart securityholders will own approximately 60% of the outstanding capital stock of the combined company, and Aviragen securityholders will own approximately 40% of the outstanding capital stock of the combined company. Adjustments to the Exchange Ratio are described in more detail in the Merger Agreement and in this proxy statement/prospectus/information statement.</w:t>
      </w:r>
    </w:p>
    <w:p>
      <w:pPr>
        <w:spacing w:after="0" w:line="16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Aviragen common stock that Vaxart stockholders will be entitled to receive for changes in the market price of Aviragen common stock.</w:t>
      </w:r>
    </w:p>
    <w:p>
      <w:pPr>
        <w:spacing w:after="0" w:line="17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No fractional shares of Aviragen common stock will be issuable pursuant to the Merger Agreement to Vaxart stockholders. Instead, each Vaxart stockholder who would otherwise be entitled to receive a fraction of a share of Aviragen common stock, after aggregating all fractional shares of Aviragen common stock issuable to such stockholder, will be entitled to receive in cash the dollar amount, rounded to the nearest whole cent, without interest, determined by multiplying such fraction by the volume weighted average trading price of a share of Aviragen common stock as quoted on Nasdaq for the five trading days ending the trading day immediately prior to the date upon which the merger becomes effective.</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Merger Agreement provides that, at the Effective Time, Aviragen will deposit with an exchange agent acceptable to Aviragen and Vaxart evidence of book-entry shares representing the shares of Aviragen common stock issuable to Vaxart stockholders and a sufficient amount of cash to make payments in lieu of fractional shares.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Merger Agreement provides that, promptly after the Effective Time, the exchange agent will mail to each record holder of Vaxart capital stock immediately prior to the Effective Time a letter of transmittal and instructions for surrendering and exchanging the record holder’s Vaxart stock certificates for shares of Aviragen common stock. Upon surrender of a Vaxart stock certificate for exchange to the exchange agent, together with a duly signed letter of transmittal and such other documents as the exchange agent or Aviragen may reasonably require, the Vaxart stock certificate surrendered will be cancelled and the holder of the Vaxart stock certificate will be entitled to receive the following:</w:t>
      </w:r>
    </w:p>
    <w:p>
      <w:pPr>
        <w:spacing w:after="0" w:line="188" w:lineRule="exact"/>
        <w:rPr>
          <w:sz w:val="20"/>
          <w:szCs w:val="20"/>
          <w:color w:val="auto"/>
        </w:rPr>
      </w:pPr>
    </w:p>
    <w:p>
      <w:pPr>
        <w:ind w:left="660" w:right="260" w:hanging="329"/>
        <w:spacing w:after="0" w:line="27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book-entry shares representing the number of whole shares of Aviragen common stock that such holder has the right to receive pursuant to the provisions of the Merger Agreement;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cash in lieu of any fractional share of Aviragen common stock.</w:t>
      </w:r>
    </w:p>
    <w:p>
      <w:pPr>
        <w:spacing w:after="0" w:line="22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From and after the Effective Time, until surrendered, all holders of certificates representing shares of Vaxart capital stock that were outstanding immediately prior to the Effective Time will be deemed to represent only the right to receive book-entry shares of Aviragen common stock, and cash in lieu of fractional shares of Aviragen common stock.</w:t>
      </w:r>
    </w:p>
    <w:p>
      <w:pPr>
        <w:spacing w:after="0" w:line="18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If any Vaxart stock certificate has been lost, stolen or destroyed, Aviragen may, in its discretion and as a condition to the delivery of any shares of Aviragen common stock, require the owner of such lost, stolen or destroyed certificate to deliver an affidavit claiming such certificate has been lost, stolen or destroyed.</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Aviragen will not pay dividends or other distributions on any shares of Aviragen common stock to be issued in exchange for any unsurrendered Vaxart stock certificate until the Vaxart stock certificate is surrendered as provided in the Merger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the Merger</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Merger Agreement requires the parties to consummate the merger as promptly as practicable (and in any event within two business days) after all of the conditions to the closing of the merger contained in the Merger Agreement are satisfied or waived, including the adoption of the Merger Agreement by the Vaxart stockholders and the approval by the Aviragen stockholders of the issuance of shares of Aviragen common stock. The merger will become effective upon the filing of a certificate of merger with the Secretary of State of the State of Delaware or at such later time as is agreed by Aviragen and Vaxart and specified in the certificate of merger. Neither Aviragen nor Vaxart can predict the exact timing of the closing of the merger.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8" w:lineRule="exact"/>
        <w:rPr>
          <w:sz w:val="20"/>
          <w:szCs w:val="20"/>
          <w:color w:val="auto"/>
        </w:rPr>
      </w:pPr>
    </w:p>
    <w:p>
      <w:pPr>
        <w:ind w:right="340"/>
        <w:spacing w:after="0" w:line="340" w:lineRule="auto"/>
        <w:rPr>
          <w:sz w:val="20"/>
          <w:szCs w:val="20"/>
          <w:color w:val="auto"/>
        </w:rPr>
      </w:pPr>
      <w:r>
        <w:rPr>
          <w:rFonts w:ascii="Arial" w:cs="Arial" w:eastAsia="Arial" w:hAnsi="Arial"/>
          <w:sz w:val="16"/>
          <w:szCs w:val="16"/>
          <w:color w:val="auto"/>
        </w:rPr>
        <w:t>In the United States, Aviragen must comply with applicable federal and state securities laws and the rules and regulations of the Nasdaq Capital Market in connection with the issuance of shares of Aviragen common stock and the filing of this proxy statement/prospectus/information statement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the Merger</w:t>
      </w: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Aviragen and Vaxart intend the merger to qualify as a reorganization within the meaning of Section 368(a) of the Code. Each of Aviragen and Vaxart intend that the merger qualify as a reorganization within the meaning of Section 368(a) of the Code. The parties shall treat and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 For a description of certain of the considerations regarding U.S. federal tax consequences of the merger, see the section titled “The Merger—Certain Material U.S. Federal Income Tax Consequences of the Merger”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Federal Income Tax Consequences of the Merger</w:t>
      </w:r>
    </w:p>
    <w:p>
      <w:pPr>
        <w:spacing w:after="0" w:line="228" w:lineRule="exact"/>
        <w:rPr>
          <w:sz w:val="20"/>
          <w:szCs w:val="20"/>
          <w:color w:val="auto"/>
        </w:rPr>
      </w:pPr>
    </w:p>
    <w:p>
      <w:pPr>
        <w:ind w:right="460"/>
        <w:spacing w:after="0" w:line="340" w:lineRule="auto"/>
        <w:rPr>
          <w:sz w:val="20"/>
          <w:szCs w:val="20"/>
          <w:color w:val="auto"/>
        </w:rPr>
      </w:pPr>
      <w:r>
        <w:rPr>
          <w:rFonts w:ascii="Arial" w:cs="Arial" w:eastAsia="Arial" w:hAnsi="Arial"/>
          <w:sz w:val="16"/>
          <w:szCs w:val="16"/>
          <w:color w:val="auto"/>
        </w:rPr>
        <w:t>The following is a discussion of certain material U.S. federal income tax consequences of the Merger applicable to U.S. Holders (as defined below) who exchange their Vaxart capital stock for Aviragen common stock in the Merger, but does not purport to be a complete analysis of all potential tax effects.</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This discussion and the discussion of tax consequences elsewhere in this proxy statement/prospectus/information statement are limited to U.S. Holders who hold their Vaxart capital stock as a “capital asset” within the meaning of Section 1221 of the Code (generally, property held for investment). This summary does not address all aspects of U.S. federal income taxation that may be relevant to U.S. Holders in light of their particular circumstances or to U.S. Holders who may be subject to special tax treatment under the Code, including, without limitation, dealers in securities, commodities or foreign currency; banks, thrifts, insurance companies, and other financial institutions; traders that mark-to-market their securities; tax-exempt organizations or governmental organizations; small business investment companies; regulated investment companies; real estate investment trusts; tax-deferred or other retirement accounts; persons whose functional currency is not the U.S. dollar; persons who hold Vaxart capital stock as part of a “straddle,” “hedge,” “conversion transaction” or other risk reduction transaction; persons who hold or receive Vaxart capital stock pursuant to the exercise of compensatory stock options, the vesting of previously restricted shares of stock or otherwise as compensation; persons holding Vaxart capital stock who exercise dissenters’ rights; any entity or arrangement that is a partnership for U.S. federal income tax purposes; companies subject to the “stapled stock” rules; “expatriated entities”; certain former citizens or long-term residents of the United States.</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discussion is based on the Code, U.S. Treasury regulations promulgated thereunder, judicial decisions, and published rulings and administrative pronouncements of the Internal Revenue Service (“IRS”) in effect as of the date of the merger, all of which are subject to change, possibly with retroactive effect, or differing interpretations. Neither Vaxart nor Aviragen have sought any ruling from the IRS with respect to the statements made and the conclusions reached in this discussion, and there can be no assurance that the IRS will agree with these statements and conclusions. The effects of other U.S. federal tax laws, such as estate and gift tax laws, the alternative minimum tax and the 3.8% tax on net investment income, and any applicable state, local, or foreign tax laws or the tax consequences of transactions occurring prior to, concurrently with or after the merger (whether or not such transactions are in connection with the merger) are not discussed, including without limitation the tax consequences of the payment of accrued but unpaid dividends to holders of Vaxart preferred stock prior to the merger.</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Each U.S. Holder is urged to consult its own tax advisor with regard to the merger and the application of U.S. federal income tax laws, as well as the laws of any state, local or foreign taxing jurisdictions, to its particular situation.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discussion, a “U.S. Holder” is a beneficial owner of Vaxart capital stock that, for U.S. federal income tax purposes, is or is treated as:</w:t>
      </w:r>
    </w:p>
    <w:p>
      <w:pPr>
        <w:spacing w:after="0" w:line="247" w:lineRule="exact"/>
        <w:rPr>
          <w:sz w:val="20"/>
          <w:szCs w:val="20"/>
          <w:color w:val="auto"/>
        </w:rPr>
      </w:pPr>
    </w:p>
    <w:p>
      <w:pPr>
        <w:ind w:left="660" w:hanging="329"/>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3" w:lineRule="exact"/>
        <w:rPr>
          <w:rFonts w:ascii="Arial" w:cs="Arial" w:eastAsia="Arial" w:hAnsi="Arial"/>
          <w:sz w:val="18"/>
          <w:szCs w:val="18"/>
          <w:color w:val="auto"/>
        </w:rPr>
      </w:pPr>
    </w:p>
    <w:p>
      <w:pPr>
        <w:ind w:left="660" w:right="40" w:hanging="329"/>
        <w:spacing w:after="0" w:line="276"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purposes) created or organized under the laws of the United States, any state thereof, or the District of Columbia;</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line="310"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48"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color w:val="auto"/>
        </w:rPr>
        <w:t>If an entity or arrangement treated as a partnership for U.S. federal income tax purposes holds Vaxart capital stock, the tax treatment of a partner in the partnership will depend on the status of the partner, the activities of the partnership and certain determinations made at the partner level. Accordingly, partnerships holding Vaxart common stock and the partners in such partnerships should consult their tax advisors regarding the U.S. federal income tax consequences to them.</w:t>
      </w:r>
    </w:p>
    <w:p>
      <w:pPr>
        <w:spacing w:after="0" w:line="18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b w:val="1"/>
          <w:bCs w:val="1"/>
          <w:color w:val="auto"/>
        </w:rPr>
        <w:t>U.S. HOLDERS SHOULD CONSULT THEIR OWN TAX ADVISORS WITH RESPECT TO THE APPLICATION OF THE U.S. FEDERAL INCOME TAX LAWS TO THEIR PARTICULAR SITUATIONS AS WELL AS ANY TAX CONSEQUENCES OF THE MERGER ARISING UNDER THE U.S. FEDERAL ESTATE OR GIFT TAX LAWS OR UNDER THE LAWS OF ANY STATE, LOCAL OR NON-U.S. TAXING JURISDICTION OR UNDER ANY APPLICABLE INCOME TAX TREATY.</w:t>
      </w:r>
    </w:p>
    <w:p>
      <w:pPr>
        <w:spacing w:after="0" w:line="18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Subject to the qualifications and assumptions described in this proxy statement/prospectus/information statement, the merger is intended to be treated for U.S. federal income tax purposes as a reorganization within the meaning of Section 368(a) of the Code. Accordingly, it is expected that the U.S. federal income tax consequences to U.S. Holders of Vaxart capital stock will be as follows:</w:t>
      </w:r>
    </w:p>
    <w:p>
      <w:pPr>
        <w:spacing w:after="0" w:line="183" w:lineRule="exact"/>
        <w:rPr>
          <w:sz w:val="20"/>
          <w:szCs w:val="20"/>
          <w:color w:val="auto"/>
        </w:rPr>
      </w:pPr>
    </w:p>
    <w:p>
      <w:pPr>
        <w:ind w:left="660" w:right="60" w:hanging="329"/>
        <w:spacing w:after="0" w:line="27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U.S. Holder will not recognize gain or loss upon the exchange of Vaxart capital stock for Aviragen common stock pursuant to the merger, except to the extent of cash received in lieu of a fractional share of Aviragen common stock as described below;</w:t>
      </w:r>
    </w:p>
    <w:p>
      <w:pPr>
        <w:spacing w:after="0" w:line="169" w:lineRule="exact"/>
        <w:rPr>
          <w:rFonts w:ascii="Arial" w:cs="Arial" w:eastAsia="Arial" w:hAnsi="Arial"/>
          <w:sz w:val="18"/>
          <w:szCs w:val="18"/>
          <w:color w:val="auto"/>
        </w:rPr>
      </w:pPr>
    </w:p>
    <w:p>
      <w:pPr>
        <w:jc w:val="both"/>
        <w:ind w:left="660" w:right="100" w:hanging="329"/>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U.S. Holder who receives cash in lieu of a fractional share of Aviragen common stock in the merger will generally recognize capital gain or loss in an amount equal to the difference between the amount of cash received instead of a fractional share and the U.S. Holder’s tax basis allocable to such fractional share;</w:t>
      </w:r>
    </w:p>
    <w:p>
      <w:pPr>
        <w:spacing w:after="0" w:line="183" w:lineRule="exact"/>
        <w:rPr>
          <w:rFonts w:ascii="Arial" w:cs="Arial" w:eastAsia="Arial" w:hAnsi="Arial"/>
          <w:sz w:val="18"/>
          <w:szCs w:val="18"/>
          <w:color w:val="auto"/>
        </w:rPr>
      </w:pPr>
    </w:p>
    <w:p>
      <w:pPr>
        <w:ind w:left="660" w:right="20" w:hanging="329"/>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U.S. Holder’s aggregate tax basis for the shares of Aviragen common stock received in the merger (including any fractional share interest for which cash is received) will equal the U.S. Holder’s aggregate tax basis in the shares of Vaxart capital stock surrendered upon the closing of the merger, decreased by the amount of any tax basis allocable to a fractional share for which cash is received and</w:t>
      </w:r>
    </w:p>
    <w:p>
      <w:pPr>
        <w:spacing w:after="0" w:line="183" w:lineRule="exact"/>
        <w:rPr>
          <w:rFonts w:ascii="Arial" w:cs="Arial" w:eastAsia="Arial" w:hAnsi="Arial"/>
          <w:sz w:val="18"/>
          <w:szCs w:val="18"/>
          <w:color w:val="auto"/>
        </w:rPr>
      </w:pPr>
    </w:p>
    <w:p>
      <w:pPr>
        <w:ind w:left="660" w:right="500" w:hanging="329"/>
        <w:spacing w:after="0" w:line="27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holding period of the shares of Aviragen common stock received by a U.S. Holder in the merger will include the holding period of the U.S. Holder’s shares of Vaxart capital stock surrendered in exchange therefor.</w:t>
      </w:r>
    </w:p>
    <w:p>
      <w:pPr>
        <w:spacing w:after="0" w:line="170"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Capital gains or losses recognized in the merger as described above, if any, generally will constitute long-term capital gain or loss if the U.S. Holder’s holding period in the Vaxart capital stock surrendered in the merger is more than one year as of the effective date of the merger. The deductibility of capital losses is subject to limitations. In addition, for purposes of the above discussion of the bases and holding periods for shares of Vaxart capital stock and Aviragen common stock, U.S. Holders who acquired different blocks of Vaxart common stock at different times for different prices must calculate their gains and losses and holding periods separately for each identifiable block of such stock exchanged in the merger.</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U.S. Holders who owned at least one percent (by vote or value) of the total outstanding stock of Vaxart and U.S. Holders with a basis in their Vaxart common stock of $1,000,000 or more are required to attach a statement to their tax returns for the year in which the merger is consummated that contains the information listed in Treasury Regulation Section 1.368-3(b). Such statement must include the U.S. Holder’s tax basis in the U.S. Holder’s Vaxart capital stock and the fair market value of such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if the Merger Failed to Qualify as a Reorganization</w:t>
      </w:r>
    </w:p>
    <w:p>
      <w:pPr>
        <w:spacing w:after="0" w:line="22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If the merger fails to qualify as a reorganization within the meaning of Section 368(a) of the Code, then a U.S. Holder would recognize gain or loss upon the exchange of Vaxart capital stock for Aviragen common stock equal to the difference between the fair market value, at the time of the merger, of the Aviragen common stock received in the merger (including any cash received in lieu of a fractional share) and such U.S. Holder’s tax basis in the Vaxart capital stock surrendered in the merger. Such gain or loss would be long-term capital gain or loss if the Vaxart capital stock was held for more than one year at the time of the merger. In such event, the tax basis of Aviragen common stock received in the merger would equal its fair market value at the time of the merger and the holding period of such Aviragen common stock would commence the day after the merger.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U.S. Holder of shares of Vaxart capital stock may be subject to information reporting and backup withholding on cash paid in lieu of fractional shares, unless the U.S. Holder is an exempt recipient. Backup withholding may apply to such payments if the U.S. Holder fails to furnish a correct taxpayer identification number, a certification of exempt status or has been notified by the IRS that it is subject to backup withholding (and such notification has not been withdrawn). Each U.S. Holder of shares of Vaxart capital stock should properly complete and sign, and deliver, an IRS Form W-9 in order to provide the information and certification necessary to avoid backup withholding, or otherwise establish an applicable exemption in a manner acceptable to the paying agent. U.S. Holders of shares of Vaxart capital stock should consult their own tax advisors regarding their qualification for an exemption from backup withholding and the procedures for obtaining such an exemption. Backup withholding is not an additional tax. Any amounts withheld will be allowed as a credit against the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Market Listing</w:t>
      </w:r>
    </w:p>
    <w:p>
      <w:pPr>
        <w:spacing w:after="0" w:line="228" w:lineRule="exact"/>
        <w:rPr>
          <w:sz w:val="20"/>
          <w:szCs w:val="20"/>
          <w:color w:val="auto"/>
        </w:rPr>
      </w:pPr>
    </w:p>
    <w:p>
      <w:pPr>
        <w:jc w:val="both"/>
        <w:ind w:right="360"/>
        <w:spacing w:after="0" w:line="262" w:lineRule="auto"/>
        <w:rPr>
          <w:sz w:val="20"/>
          <w:szCs w:val="20"/>
          <w:color w:val="auto"/>
        </w:rPr>
      </w:pPr>
      <w:r>
        <w:rPr>
          <w:rFonts w:ascii="Arial" w:cs="Arial" w:eastAsia="Arial" w:hAnsi="Arial"/>
          <w:sz w:val="18"/>
          <w:szCs w:val="18"/>
          <w:color w:val="auto"/>
        </w:rPr>
        <w:t>Aviragen common stock currently is listed on the Nasdaq Capital Market under the symbol “AVIR.” Aviragen has agreed to use reasonable best efforts to maintain its existing listing on the Nasdaq Capital Market, and to obtain approval for listing on The Nasdaq Stock Market LLC of the shares of Aviragen common stock that Vaxart stockholders will be entitled to receive pursuant to the merger.</w:t>
      </w:r>
    </w:p>
    <w:p>
      <w:pPr>
        <w:spacing w:after="0" w:line="18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Aviragen intends to file an initial listing application for the combined company with The Nasdaq Stock Market LLC pursuant to its “reverse merger” rules. If such application is accepted, Aviragen anticipates that the combined company’s common stock will be listed on the Nasdaq Global Market following the closing of the merger under the trading symbol “VXRT.”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merger will be treated by Aviragen as a reverse merger under the acquisition method of accounting in accordance with accounting principles generally accepted in the United States. For accounting purposes, Vaxart is considered to be acquiring Aviragen in this transaction. Management of Aviragen and Vaxart have made a preliminary estimate of the purchase price calculated as described in Note 1 to the unaudited pro forma condensed combined financial statements and of the fair value of the identifiable tangible and intangible assets acquired and liabilities assumed as of September 30, 2017. The net tangible and intangible assets acquired and liabilities assumed in connection with the transaction will be recorded at their estimated acquisition date fair values. The acquisition method of accounting is dependent upon certain valuations and other studies that have yet to commence or progress to a stage where there is sufficient information for a definitive measurement. A final determination of these estimated fair values, which cannot be made prior to the completion of the transaction, will be based on the actual net tangible and intangible assets of Aviragen that exist as of the date of completion of the transaction. Any excess of the fair value of the identifiable net assets acquired over the fair value of the consideration transferred will be recognized as a bargain purchase gain. Adjustments to these preliminary estimates are expected to occur and these adjustments could have a material impact on the accompanying unaudited pro forma condensed combined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and Dissenters’ Rights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the merger is completed, Vaxart stockholders who do not deliver a written consent approving the merger are entitled to appraisal rights under Section 262 of the DGCL, or Section 262, provided that they comply with the conditions established by Section 262. Holders of Aviragen common stock are not entitled to appraisal rights under Delaware law in connection with the merger.</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discussion below is not a complete summary regarding a Vaxart stockholder’s appraisal rights under Delaware law and is qualified in its entirety by reference to the text of the relevant provisions of Delaware law, which are attached to this proxy statement/prospectus/information statement as </w:t>
      </w:r>
      <w:r>
        <w:rPr>
          <w:rFonts w:ascii="Arial" w:cs="Arial" w:eastAsia="Arial" w:hAnsi="Arial"/>
          <w:sz w:val="18"/>
          <w:szCs w:val="18"/>
          <w:i w:val="1"/>
          <w:iCs w:val="1"/>
          <w:color w:val="auto"/>
        </w:rPr>
        <w:t>Annex D</w:t>
      </w:r>
      <w:r>
        <w:rPr>
          <w:rFonts w:ascii="Arial" w:cs="Arial" w:eastAsia="Arial" w:hAnsi="Arial"/>
          <w:sz w:val="18"/>
          <w:szCs w:val="18"/>
          <w:color w:val="auto"/>
        </w:rPr>
        <w:t xml:space="preserve">. Stockholders intending to exercise appraisal rights should carefully review </w:t>
      </w:r>
      <w:r>
        <w:rPr>
          <w:rFonts w:ascii="Arial" w:cs="Arial" w:eastAsia="Arial" w:hAnsi="Arial"/>
          <w:sz w:val="18"/>
          <w:szCs w:val="18"/>
          <w:i w:val="1"/>
          <w:iCs w:val="1"/>
          <w:color w:val="auto"/>
        </w:rPr>
        <w:t>Annex D</w:t>
      </w:r>
      <w:r>
        <w:rPr>
          <w:rFonts w:ascii="Arial" w:cs="Arial" w:eastAsia="Arial" w:hAnsi="Arial"/>
          <w:sz w:val="18"/>
          <w:szCs w:val="18"/>
          <w:color w:val="auto"/>
        </w:rPr>
        <w:t xml:space="preserve"> . Failure to follow precisely any of the statutory procedures set forth in </w:t>
      </w:r>
      <w:r>
        <w:rPr>
          <w:rFonts w:ascii="Arial" w:cs="Arial" w:eastAsia="Arial" w:hAnsi="Arial"/>
          <w:sz w:val="18"/>
          <w:szCs w:val="18"/>
          <w:i w:val="1"/>
          <w:iCs w:val="1"/>
          <w:color w:val="auto"/>
        </w:rPr>
        <w:t xml:space="preserve">Annex D </w:t>
      </w:r>
      <w:r>
        <w:rPr>
          <w:rFonts w:ascii="Arial" w:cs="Arial" w:eastAsia="Arial" w:hAnsi="Arial"/>
          <w:sz w:val="18"/>
          <w:szCs w:val="18"/>
          <w:color w:val="auto"/>
        </w:rPr>
        <w:t>may result in a termination or waiver of these rights. This summary does not constitute legal or other advice, nor does it constitute a recommendation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Vaxart stockholders exercise their appraisal rights under Delaware law.</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Under Section 262, where a merger is adopted by stockholders by written consent in lieu of a meeting of stockholders pursuant to Section 228 of the DGCL, either the constituent corporation before the effective date of the merger or the surviving corporation, within 10 days after the effective date of the merger, must notify each stockholder of the constituent corporation entitled to appraisal rights of the approval of the merger, the effective date of the merger and that appraisal rights are available.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the merger is completed, within 10 days after the effective date of the merger Vaxart will notify its stockholders that the merger has been approved, the effective date of the merger and that appraisal rights are available to any stockholder who has not approved the merger. Holders of shares of Vaxart capital stock who desire to exercise their appraisal rights must deliver a written demand for appraisal to Vaxart within 20 days after the date of mailing of that notice, and that stockholder must not have delivered a written consent approving the merger. A demand for appraisal must reasonably inform Vaxart of the identity of the stockholder and that such stockholder intends thereby to demand appraisal of the shares of Vaxart capital stock held by such stockholder. Failure to deliver a written consent approving the merger will not in and of itself constitute a written demand for appraisal satisfying the requirements of Section 262. All demands for appraisal should be addressed to Vaxart, Inc., 385 Oyster Point Blvd., Suite 9A, South San Francisco, California 940801, Attention: Secretary, and should be executed by, or on behalf of, the record holder of shares of Vaxart capital stock. ALL DEMANDS MUST BE RECEIVED BY VAXART WITHIN 20 DAYS AFTER THE DATE VAXART MAILS A NOTICE TO ITS STOCKHOLDERS NOTIFYING THEM THAT THE MERGER HAS BEEN APPROVED, THE EFFECTIVE DATE OF THE MERGER AND THAT APPRAISAL RIGHTS ARE AVAILABLE TO ANY STOCKHOLDER WHO HAS NOT APPROVED THE MERGER.</w:t>
      </w:r>
    </w:p>
    <w:p>
      <w:pPr>
        <w:spacing w:after="0" w:line="18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If you fail to deliver a written demand for appraisal within the time period specified above, you will be entitled to receive the merger consideration for your shares of Vaxart capital stock as provided for in the Merger Agreement, but you will have no appraisal rights with respect to your shares of Vaxart capital stock.</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To be effective, a demand for appraisal by a holder of shares of Vaxart capital stock must be made by, or in the name of, the registered stockholder, fully and correctly, as the stockholder’s name appears on the stockholder’s stock certificate(s). Beneficial owners who do not also hold the shares of record may not directly make appraisal demands to Vaxart.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w:t>
      </w:r>
    </w:p>
    <w:p>
      <w:pPr>
        <w:spacing w:after="0" w:line="168"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If you hold your shares of Vaxart capital stock in a brokerage account or in other custodian form and you wish to exercise appraisal rights, you should consult with your bank, broker or other custodian to determine the appropriate procedures for the making of a demand for appraisal by the custodian.</w:t>
      </w:r>
    </w:p>
    <w:p>
      <w:pPr>
        <w:spacing w:after="0" w:line="14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Vaxart. If, following a demand for appraisal, you have withdrawn your demand for appraisal in accordance with Section 262, you will have the right to receive the merger consideration for your shares of Vaxart capital stock.</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Within 120 days after the effective date of the merger, any stockholder who has delivered a demand for appraisal in accordance with Section 262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corporation or within ten days after expiration of the period for delivery of demands for appraisal, whichever is later. Within 120 days after the effective date of the merger, either the surviving corporation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Vaxart,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w:t>
      </w:r>
    </w:p>
    <w:p>
      <w:pPr>
        <w:spacing w:after="0" w:line="1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w:t>
      </w:r>
    </w:p>
    <w:p>
      <w:pPr>
        <w:spacing w:after="0" w:line="176"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 xml:space="preserve">In determining fair value, and, if applicable, a fair rate of interest,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the Delaware Supreme Court discussed the factors that could be considered in determining fair value in an appraisal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262 provides that fair value is to be “exclusive of any element of value arising from the accomplishment or expectation of the merger.” In </w:t>
      </w:r>
      <w:r>
        <w:rPr>
          <w:rFonts w:ascii="Arial" w:cs="Arial" w:eastAsia="Arial" w:hAnsi="Arial"/>
          <w:sz w:val="18"/>
          <w:szCs w:val="18"/>
          <w:i w:val="1"/>
          <w:iCs w:val="1"/>
          <w:color w:val="auto"/>
        </w:rPr>
        <w:t>Cede &amp; Co.</w:t>
      </w:r>
      <w:r>
        <w:rPr>
          <w:rFonts w:ascii="Arial" w:cs="Arial" w:eastAsia="Arial" w:hAnsi="Arial"/>
          <w:sz w:val="18"/>
          <w:szCs w:val="18"/>
          <w:color w:val="auto"/>
        </w:rPr>
        <w:t xml:space="preserve"> </w:t>
      </w:r>
      <w:r>
        <w:rPr>
          <w:rFonts w:ascii="Arial" w:cs="Arial" w:eastAsia="Arial" w:hAnsi="Arial"/>
          <w:sz w:val="18"/>
          <w:szCs w:val="18"/>
          <w:i w:val="1"/>
          <w:iCs w:val="1"/>
          <w:color w:val="auto"/>
        </w:rPr>
        <w:t>v. Technicolor, Inc.</w:t>
      </w:r>
      <w:r>
        <w:rPr>
          <w:rFonts w:ascii="Arial" w:cs="Arial" w:eastAsia="Arial" w:hAnsi="Arial"/>
          <w:sz w:val="18"/>
          <w:szCs w:val="18"/>
          <w:color w:val="auto"/>
        </w:rPr>
        <w:t>, the Delaware Supreme Court stated that this exclusion is a “narrow exclusion [that] does not encompass known elements of value,” but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rather applies only to the speculative elements of value arising from such accomplishment or expectation. In </w:t>
      </w:r>
      <w:r>
        <w:rPr>
          <w:rFonts w:ascii="Arial" w:cs="Arial" w:eastAsia="Arial" w:hAnsi="Arial"/>
          <w:sz w:val="18"/>
          <w:szCs w:val="18"/>
          <w:i w:val="1"/>
          <w:iCs w:val="1"/>
          <w:color w:val="auto"/>
        </w:rPr>
        <w:t>Weinberger</w:t>
      </w:r>
      <w:r>
        <w:rPr>
          <w:rFonts w:ascii="Arial" w:cs="Arial" w:eastAsia="Arial" w:hAnsi="Arial"/>
          <w:sz w:val="18"/>
          <w:szCs w:val="18"/>
          <w:color w:val="auto"/>
        </w:rPr>
        <w:t>, the Delaware Supreme Court construed Section 262 to mean that “elements of future value, including the nature of the enterprise, which are known or susceptible of proof as of the date of the merger and not the product of speculation, may be considered.”</w:t>
      </w:r>
    </w:p>
    <w:p>
      <w:pPr>
        <w:spacing w:after="0" w:line="18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You should be aware that the fair value of your shares as determined under Section 262 could be more than, the same as, or less than the value that you are entitled to receive under the terms of the Merger Agreement.</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Aviragen capital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w:t>
      </w:r>
    </w:p>
    <w:p>
      <w:pPr>
        <w:spacing w:after="0" w:line="180" w:lineRule="exact"/>
        <w:rPr>
          <w:sz w:val="20"/>
          <w:szCs w:val="20"/>
          <w:color w:val="auto"/>
        </w:rPr>
      </w:pPr>
    </w:p>
    <w:p>
      <w:pPr>
        <w:ind w:right="500"/>
        <w:spacing w:after="0" w:line="340" w:lineRule="auto"/>
        <w:rPr>
          <w:sz w:val="20"/>
          <w:szCs w:val="20"/>
          <w:color w:val="auto"/>
        </w:rPr>
      </w:pPr>
      <w:r>
        <w:rPr>
          <w:rFonts w:ascii="Arial" w:cs="Arial" w:eastAsia="Arial" w:hAnsi="Arial"/>
          <w:sz w:val="16"/>
          <w:szCs w:val="16"/>
          <w:color w:val="auto"/>
        </w:rPr>
        <w:t>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 following is a summary of the material terms of the Merger Agreement. A copy of the Merger Agreement is attached as Annex A to this proxy statement/prospectus/information statement and is incorporated by reference into this proxy statement/prospectus/information statement. The Merger Agreement has been attached to this proxy statement/prospectus/information statement to provide you with information regarding its terms. It is not intended to provide any other factual information about Aviragen, Vaxart, or Merger Sub. The following description does not purport to be complete and is qualified in its entirety by reference to the Merger Agreement. You should refer to the full text of the Merger Agreement for details of the merger and the terms and conditions of the Merger Agreement.</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The Merger Agreement contains representations and warranties that Aviragen and Merger Sub, on the one hand, and Vaxart,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Aviragen and Vaxart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Aviragen or Vaxart, because they were made as of specific dates, may be intended merely as a risk allocation mechanism between Aviragen and Merger Sub, and Vaxart and are modified by the disclosure schedules.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Under the Merger Agreement, Agora Merger Sub, Inc., or Merger Sub, a wholly-owned subsidiary of Aviragen, will merge with and into Vaxart, with Vaxart surviving as a wholly-owned subsidiary of the combined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merger:</w:t>
      </w:r>
    </w:p>
    <w:p>
      <w:pPr>
        <w:spacing w:after="0" w:line="224" w:lineRule="exact"/>
        <w:rPr>
          <w:sz w:val="20"/>
          <w:szCs w:val="20"/>
          <w:color w:val="auto"/>
        </w:rPr>
      </w:pPr>
    </w:p>
    <w:p>
      <w:pPr>
        <w:ind w:left="660" w:right="160" w:hanging="329"/>
        <w:spacing w:after="0" w:line="27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outstanding share of capital stock of Vaxart, will be converted into the right to receive approximately 0.3198 shares, or the Exchange Ratio, of Aviragen common stock, subject to adjustment for any reverse stock split; and</w:t>
      </w:r>
    </w:p>
    <w:p>
      <w:pPr>
        <w:spacing w:after="0" w:line="169" w:lineRule="exact"/>
        <w:rPr>
          <w:rFonts w:ascii="Arial" w:cs="Arial" w:eastAsia="Arial" w:hAnsi="Arial"/>
          <w:sz w:val="18"/>
          <w:szCs w:val="18"/>
          <w:color w:val="auto"/>
        </w:rPr>
      </w:pPr>
    </w:p>
    <w:p>
      <w:pPr>
        <w:ind w:left="660" w:right="20" w:hanging="329"/>
        <w:spacing w:after="0" w:line="340" w:lineRule="auto"/>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outstanding Vaxart stock option, whether vested or unvested, and warrant that has not previously been exercised prior to the Effective Time will be converted into a stock option or warrant, as the case may be, to purchase approximately 0.3198 shares of Aviragen common stock.</w:t>
      </w:r>
    </w:p>
    <w:p>
      <w:pPr>
        <w:spacing w:after="0" w:line="125"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This Exchange Ratio is an estimate only and the final Exchange Ratio will be determined pursuant to a formula described in more detail in the Merger Agreement and in this proxy statement/prospectus/information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Ratio</w:t>
      </w:r>
    </w:p>
    <w:p>
      <w:pPr>
        <w:spacing w:after="0" w:line="228" w:lineRule="exact"/>
        <w:rPr>
          <w:sz w:val="20"/>
          <w:szCs w:val="20"/>
          <w:color w:val="auto"/>
        </w:rPr>
      </w:pPr>
    </w:p>
    <w:p>
      <w:pPr>
        <w:ind w:right="300"/>
        <w:spacing w:after="0" w:line="306" w:lineRule="auto"/>
        <w:rPr>
          <w:sz w:val="20"/>
          <w:szCs w:val="20"/>
          <w:color w:val="auto"/>
        </w:rPr>
      </w:pPr>
      <w:r>
        <w:rPr>
          <w:rFonts w:ascii="Arial" w:cs="Arial" w:eastAsia="Arial" w:hAnsi="Arial"/>
          <w:sz w:val="17"/>
          <w:szCs w:val="17"/>
          <w:color w:val="auto"/>
        </w:rPr>
        <w:t>The Exchange Ratio was determined using a formula intended to allocate to the existing Vaxart stockholders (on a fully diluted basis, referred to as Vaxart fully-diluted outstanding shares) a percentage of the combined company based on the relative valuations of Vaxart and Aviragen.</w:t>
      </w:r>
    </w:p>
    <w:p>
      <w:pPr>
        <w:spacing w:after="0" w:line="14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Exchange Ratio formula is the quotient obtained by dividing the Vaxart merger shares (as defined below) by the Vaxart fully-diluted outstanding shares, where:</w:t>
      </w:r>
    </w:p>
    <w:p>
      <w:pPr>
        <w:spacing w:after="0" w:line="170" w:lineRule="exact"/>
        <w:rPr>
          <w:sz w:val="20"/>
          <w:szCs w:val="20"/>
          <w:color w:val="auto"/>
        </w:rPr>
      </w:pPr>
    </w:p>
    <w:p>
      <w:pPr>
        <w:ind w:left="660" w:right="720" w:hanging="329"/>
        <w:spacing w:after="0" w:line="27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Vaxart merger shares is the product determined by multiplying the post-closing Aviragen shares (as defined below) by the Vaxart allocation percentage (as defined below).</w:t>
      </w:r>
    </w:p>
    <w:p>
      <w:pPr>
        <w:spacing w:after="0" w:line="169" w:lineRule="exact"/>
        <w:rPr>
          <w:rFonts w:ascii="Arial" w:cs="Arial" w:eastAsia="Arial" w:hAnsi="Arial"/>
          <w:sz w:val="18"/>
          <w:szCs w:val="18"/>
          <w:color w:val="auto"/>
        </w:rPr>
      </w:pPr>
    </w:p>
    <w:p>
      <w:pPr>
        <w:ind w:left="660" w:right="640" w:hanging="329"/>
        <w:spacing w:after="0" w:line="27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Post-closing Aviragen shares is the quotient determined by dividing the Aviragen fully-diluted outstanding shares by the Aviragen allocation percentage (as defined below).</w:t>
      </w:r>
    </w:p>
    <w:p>
      <w:pPr>
        <w:spacing w:after="0" w:line="169" w:lineRule="exact"/>
        <w:rPr>
          <w:rFonts w:ascii="Arial" w:cs="Arial" w:eastAsia="Arial" w:hAnsi="Arial"/>
          <w:sz w:val="18"/>
          <w:szCs w:val="18"/>
          <w:color w:val="auto"/>
        </w:rPr>
      </w:pPr>
    </w:p>
    <w:p>
      <w:pPr>
        <w:ind w:left="660" w:right="60" w:hanging="329"/>
        <w:spacing w:after="0" w:line="27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Vaxart allocation percentage is the quotient determined by dividing (i) the Vaxart valuation (as defined below) by (ii) the aggregate value (as defined below).</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Aviragen allocation percentage is the quotient determined by dividing the Aviragen valuation by the aggregate value.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660" w:right="80" w:hanging="329"/>
        <w:spacing w:after="0" w:line="26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Vaxart valuation is, subject to any adjustments provided in the merger agreement for any equity financing and changes in the amount of Vaxart cash, $90 million. Aviragen valuation is, subject to any adjustments provided in the merger agreement for any equity financing and changes in the amount of Aviragen cash, $60 million.</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Aggregate value is the sum of Vaxart valuation and Aviragen valuation.</w:t>
      </w:r>
    </w:p>
    <w:p>
      <w:pPr>
        <w:spacing w:after="0" w:line="224"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color w:val="auto"/>
        </w:rPr>
        <w:t>The Merger Agreement does not include a price-based termination right, so there will be no adjustment to the total number of shares of Aviragen common stock that Vaxart stockholders will be entitled to receive for changes in the market price of Aviragen common stock. Accordingly, the market value of the shares of Aviragen common stock issued pursuant to the merger will depend on the market value of the shares of Aviragen common stock at the time the merger closes, and could vary significantly from the market value on the date of this proxy statement/prospectus/information statement.</w:t>
      </w:r>
    </w:p>
    <w:p>
      <w:pPr>
        <w:spacing w:after="0" w:line="15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No fractional shares of Aviragen common stock will be issuable pursuant to the merger to Vaxart stockholders. Instead, each Vaxart stockholder who would otherwise be entitled to receive a fraction of a share of Aviragen common stock, after aggregating all fractional shares of Aviragen common stock issuable to such stockholder, will be entitled to receive in cash the dollar amount, rounded to the nearest whole cent, without interest, determined by multiplying such fraction by the volume weighted average closing trading price of a share of Aviragen common stock as quoted on the Nasdaq Capital Market, for the five consecutive trading days ending the five trading days immediately prior to the date the merger becomes effective.</w:t>
      </w:r>
    </w:p>
    <w:p>
      <w:pPr>
        <w:spacing w:after="0" w:line="1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Merger Agreement provides that, at the Effective Time, Aviragen will deposit with an exchange agent acceptable to Aviragen and Vaxart, stock certificates representing the shares of Aviragen common stock issuable to the Vaxart stockholders and a sufficient amount of cash to make payments in lieu of fractional shares.</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Merger Agreement provides that, promptly after the Effective Time, the exchange agent will mail to each record holder of Vaxart capital stock immediately prior to the Effective Time a letter of transmittal and instructions for surrendering and exchanging the record holder’s Vaxart stock certificates for shares of Aviragen common stock. Upon surrender of a Vaxart stock certificate for exchange to the exchange agent, together with a duly signed letter of transmittal and such other documents as the exchange agent or Aviragen may reasonably require, the Vaxart stock certificate surrendered will be cancelled and the holder of the Vaxart stock certificate will be entitled to receive the following:</w:t>
      </w:r>
    </w:p>
    <w:p>
      <w:pPr>
        <w:spacing w:after="0" w:line="188" w:lineRule="exact"/>
        <w:rPr>
          <w:sz w:val="20"/>
          <w:szCs w:val="20"/>
          <w:color w:val="auto"/>
        </w:rPr>
      </w:pPr>
    </w:p>
    <w:p>
      <w:pPr>
        <w:ind w:left="660" w:right="280" w:hanging="329"/>
        <w:spacing w:after="0" w:line="276"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book-entry shares representing the number of whole shares of Aviragen common stock that such holder has the right to receive pursuant to the provisions of the Merger Agreement;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cash in lieu of any fractional share of Aviragen common stock.</w:t>
      </w:r>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At the Effective Time, all holders of certificates representing shares of Vaxart common stock that were outstanding immediately prior to the Effective Time will cease to have any rights as stockholders of Vaxart. In addition, no transfer of Vaxart common stock after the Effective Time will be registered on the stock transfer books of Vaxart.</w:t>
      </w:r>
    </w:p>
    <w:p>
      <w:pPr>
        <w:spacing w:after="0" w:line="18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If any Vaxart stock certificate has been lost, stolen or destroyed, Aviragen may, in its discretion, and as a condition precedent to the delivery of any shares of Aviragen common stock, require the owner of such lost, stolen or destroyed certificate to deliver an affidavit claiming such certificate has been lost, stolen or destroyed and post a bond indemnifying Aviragen against any claim suffered by Aviragen related to the lost, stolen or destroyed certificate or any Aviragen common stock issued in exchange for such certificate as Aviragen may reasonably request.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From and after the Effective Time, until it is surrendered, each certificate that previously evidenced Vaxart common stock will be deemed to represent only the right to receive shares of Aviragen common stock and cash in lieu of any fractional share of Aviragen common stock. Aviragen will not pay dividends or other distributions on any shares of Aviragen common stock to be issued in exchange for any unsurrendered Vaxart stock certificate until the Vaxart stock certificate is surrendered as provided in the Merger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Aviragen Stock Options</w:t>
      </w:r>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Each unexpired and unexercised option to purchase shares of Aviragen common stock issued under Aviragen’s compensatory benefit arrangements, other than the options to purchase 2,125,000 shares of Aviragen common stock in the aggregate granted to executive officers and employees of Aviragen in March and April 2017, or the Retention Options, will by its terms vest in full in connection with the closing of the merger. Aviragen expects that each Retention Option will accelerate in full by its terms when the optionee terminates his or her employment with the combined company following the merger, with each Retention Option remaining outstanding immediately after the Effective Time in accordance with its terms, including without limitation remaining exercisable until the earlier of 18 months following such termination of the optionee’s employment and the expiration date of the Retention Option. The number of shares of Aviragen common stock underlying such options and the exercise prices for such options will be appropriately adjusted to reflect Aviragen’s proposed reverse stock split, if consummated. The terms governing options to purchase shares of Aviragen common stock will otherwise remain in full force and effect following the closing of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Vaxart Stock Options</w:t>
      </w:r>
    </w:p>
    <w:p>
      <w:pPr>
        <w:spacing w:after="0" w:line="228"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At the Effective Time, each stock option to acquire shares of Vaxart stock, whether vested or unvested, that has not previously been exercised will be assumed by Aviragen and converted into an option to purchase, on the same terms and conditions, a number of shares of Aviragen common stock equal to the product of (a) the number of shares of Vaxart common stock subject to such option, multiplied by (b) the Exchange Ratio, at an exercise price per share of Aviragen common stock equal to the quotient of (i) the exercise price per share of the Vaxart common stock subject to such option divided by (ii) the Exchange Ratio.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Vaxart Warrant</w:t>
      </w:r>
    </w:p>
    <w:p>
      <w:pPr>
        <w:spacing w:after="0" w:line="2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Subject to a letter agreement by and between Oxford and Vaxart, on the Effective Date, the combined company shall issue to Oxford a replacement warrant in lieu of the warrant to purchase Series C Preferred Stock of Vaxart currently held by Oxford. The replacement warrant shall be exercisable for a number of shares of common stock of the combined company equal to (a) the number of shares of Series C Preferred Stock of Vaxart that the existing warrant is exercisable for multiplied by (b) the Exchange Ratio, at a per share price equal to (i) the exercise price per share of Series C Preferred Stock of Vaxart under the existing warrant divided by (ii)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Combined Company Following the Merger</w:t>
      </w: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Pursuant to the Merger Agreement, the directors of Aviragen who will not serve as directors following the closing of the merger will resign at or prior to the closing of the merger. Effective as of the closing of the merger, the combined company’s board of directors will be fixed at seven members, four of whom will be directors designated by Vaxart and three of whom will be directors designated by the Aviragen. Aviragen’s designees to the board of directors are expected to satisfy the requisite independence requirements for the Aviragen board of directors, as well as the sophistication and independence requirements for audit committee members pursuant to Nasdaq listing requirements. It is anticipated that the Aviragen designees will be Geoffrey F. Cox, Ph.D., John P. Richard and Anne M. VanLent and the Vaxart designees will be Wouter W. Latour, M.D., Michael J. Finney, Ph.D., Jan Leschly and Richard J. Markham. Upon the closing of the merger, the combined company’s board of directors will appoint each of the following as officers of the combined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600" w:type="dxa"/>
            <w:vAlign w:val="bottom"/>
            <w:gridSpan w:val="2"/>
          </w:tcPr>
          <w:p>
            <w:pPr>
              <w:ind w:left="24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Wouter W. Latour, M.D.</w:t>
            </w:r>
          </w:p>
        </w:tc>
        <w:tc>
          <w:tcPr>
            <w:tcW w:w="5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John M. Harland</w:t>
            </w: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David Liebowitz, M.D., Ph.D.</w:t>
            </w:r>
          </w:p>
        </w:tc>
        <w:tc>
          <w:tcPr>
            <w:tcW w:w="5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Sean N. Tucker, Ph.D.</w:t>
            </w: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r>
        <w:trPr>
          <w:trHeight w:val="4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Conditions to the Closing of the Merger</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closing of the merger, of various conditions, which include, in addition to other customary closing conditions, the following:</w:t>
      </w:r>
    </w:p>
    <w:p>
      <w:pPr>
        <w:spacing w:after="0" w:line="170" w:lineRule="exact"/>
        <w:rPr>
          <w:sz w:val="20"/>
          <w:szCs w:val="20"/>
          <w:color w:val="auto"/>
        </w:rPr>
      </w:pPr>
    </w:p>
    <w:p>
      <w:pPr>
        <w:ind w:left="660" w:right="120" w:hanging="329"/>
        <w:spacing w:after="0" w:line="262"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proxy statement/prospectus/information statement is a part, shall have been declared effective by the SEC in accordance with the Securities Act and shall not be subject to any stop order or proceeding, or any proceeding threatened by the SEC, seeking a stop order;</w:t>
      </w:r>
    </w:p>
    <w:p>
      <w:pPr>
        <w:spacing w:after="0" w:line="183" w:lineRule="exact"/>
        <w:rPr>
          <w:rFonts w:ascii="Arial" w:cs="Arial" w:eastAsia="Arial" w:hAnsi="Arial"/>
          <w:sz w:val="18"/>
          <w:szCs w:val="18"/>
          <w:color w:val="auto"/>
        </w:rPr>
      </w:pPr>
    </w:p>
    <w:p>
      <w:pPr>
        <w:ind w:left="660" w:right="40" w:hanging="329"/>
        <w:spacing w:after="0" w:line="310" w:lineRule="auto"/>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there shall not have been issued any temporary restraining order, preliminary or permanent injunction or other order preventing the closing of the merger by any court of competent jurisdiction or other governmental entity of competent jurisdiction, and no law, statute, resolution, ordinance, code, rule, regulation, requirement, ruling or decree shall be in effect which has the effect of making the closing of the merger illegal;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line="272"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the holders of a majority of the shares of outstanding Vaxart common stock and outstanding Vaxart preferred stock, voting as a single class, (b) the holders of a majority of the shares of outstanding Vaxart common stock, voting as a separate class and (c) the holders of a majority of the shares of outstanding Vaxart Series B Preferred Stock and Series C Preferred Stock, voting as a separate class, shall have adopted and approved the Merger Agreement, the merger and the transactions contemplated by the Merger Agreement, and the holders of a majority of the outstanding shares of Aviragen common stock shall have approved the reverse stock split and a majority of the votes cast at the special meeting shall have approved the issuance of shares of Aviragen common stock in the merger;</w:t>
      </w:r>
    </w:p>
    <w:p>
      <w:pPr>
        <w:spacing w:after="0" w:line="178" w:lineRule="exact"/>
        <w:rPr>
          <w:rFonts w:ascii="Arial" w:cs="Arial" w:eastAsia="Arial" w:hAnsi="Arial"/>
          <w:sz w:val="17"/>
          <w:szCs w:val="17"/>
          <w:color w:val="auto"/>
        </w:rPr>
      </w:pPr>
    </w:p>
    <w:p>
      <w:pPr>
        <w:ind w:left="660" w:hanging="329"/>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shall not be any legal proceeding initiated by a governmental body pending:</w:t>
      </w:r>
    </w:p>
    <w:p>
      <w:pPr>
        <w:spacing w:after="0" w:line="223" w:lineRule="exact"/>
        <w:rPr>
          <w:rFonts w:ascii="Arial" w:cs="Arial" w:eastAsia="Arial" w:hAnsi="Arial"/>
          <w:sz w:val="18"/>
          <w:szCs w:val="18"/>
          <w:color w:val="auto"/>
        </w:rPr>
      </w:pPr>
    </w:p>
    <w:p>
      <w:pPr>
        <w:ind w:left="1300" w:hanging="323"/>
        <w:spacing w:after="0"/>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challenging or seeking to restrain or prohibit the closing of the merger;</w:t>
      </w:r>
    </w:p>
    <w:p>
      <w:pPr>
        <w:spacing w:after="0" w:line="223" w:lineRule="exact"/>
        <w:rPr>
          <w:rFonts w:ascii="Arial" w:cs="Arial" w:eastAsia="Arial" w:hAnsi="Arial"/>
          <w:sz w:val="18"/>
          <w:szCs w:val="18"/>
          <w:color w:val="auto"/>
        </w:rPr>
      </w:pPr>
    </w:p>
    <w:p>
      <w:pPr>
        <w:ind w:left="1300" w:right="660" w:hanging="323"/>
        <w:spacing w:after="0" w:line="276"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seeking to prohibit or limit in any material and adverse respect a party’s ability to vote, transfer, receive dividends with respect to or otherwise exercise ownership rights with respect to Aviragen’s stock;</w:t>
      </w:r>
    </w:p>
    <w:p>
      <w:pPr>
        <w:spacing w:after="0" w:line="169" w:lineRule="exact"/>
        <w:rPr>
          <w:rFonts w:ascii="Arial" w:cs="Arial" w:eastAsia="Arial" w:hAnsi="Arial"/>
          <w:sz w:val="18"/>
          <w:szCs w:val="18"/>
          <w:color w:val="auto"/>
        </w:rPr>
      </w:pPr>
    </w:p>
    <w:p>
      <w:pPr>
        <w:ind w:left="1300" w:right="60" w:hanging="323"/>
        <w:spacing w:after="0" w:line="340"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that would materially and adversely affect the right or ability of Aviragen or Vaxart to own the assets or operate the business of Aviragen or Vaxart, in each case, in the respective manner such ownership or operations are conducted immediately prior to the closing of the merger; or</w:t>
      </w:r>
    </w:p>
    <w:p>
      <w:pPr>
        <w:spacing w:after="0" w:line="124" w:lineRule="exact"/>
        <w:rPr>
          <w:rFonts w:ascii="Arial" w:cs="Arial" w:eastAsia="Arial" w:hAnsi="Arial"/>
          <w:sz w:val="16"/>
          <w:szCs w:val="16"/>
          <w:color w:val="auto"/>
        </w:rPr>
      </w:pPr>
    </w:p>
    <w:p>
      <w:pPr>
        <w:ind w:left="1300" w:right="480" w:hanging="323"/>
        <w:spacing w:after="0" w:line="276"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seeking to compel Vaxart, Aviragen, or any subsidiary of the parties to dispose of or hold separate any material assets as a result of the merger.</w:t>
      </w:r>
    </w:p>
    <w:p>
      <w:pPr>
        <w:spacing w:after="0" w:line="169"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waiting periods applicable to any filing under the Hart-Scott-Rodino Antitrust Improvements Act by Aviragen, Vaxart or any Vaxart shareholder shall have expired or been terminated;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other party shall have delivered certain certificates and other documents required under the Merger Agreement for the closing of the merger.</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obligation of Aviragen and Merger Sub to complete the merger is further subject to the satisfaction or waiver of the following conditions:</w:t>
      </w:r>
    </w:p>
    <w:p>
      <w:pPr>
        <w:spacing w:after="0" w:line="235" w:lineRule="exact"/>
        <w:rPr>
          <w:sz w:val="20"/>
          <w:szCs w:val="20"/>
          <w:color w:val="auto"/>
        </w:rPr>
      </w:pPr>
    </w:p>
    <w:p>
      <w:pPr>
        <w:ind w:left="660" w:right="40" w:hanging="329"/>
        <w:spacing w:after="0" w:line="25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Vaxart shall have been true and correct in all respects on the date of the Merger Agreement and shall be true and correct on the closing date of the merger with the same force and effect as if made on and as of the date on which the merger is to be completed or, if such representations and warranties address matters as of a particular date, then such fundamental representations and warranties shall be true and correct as of that particular date;</w:t>
      </w:r>
    </w:p>
    <w:p>
      <w:pPr>
        <w:spacing w:after="0" w:line="186" w:lineRule="exact"/>
        <w:rPr>
          <w:rFonts w:ascii="Arial" w:cs="Arial" w:eastAsia="Arial" w:hAnsi="Arial"/>
          <w:sz w:val="18"/>
          <w:szCs w:val="18"/>
          <w:color w:val="auto"/>
        </w:rPr>
      </w:pPr>
    </w:p>
    <w:p>
      <w:pPr>
        <w:ind w:left="660" w:right="120" w:hanging="329"/>
        <w:spacing w:after="0" w:line="256"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representations and warranties regarding the capitalization of Vaxart in the Merger Agreement shall have been true and correct in all respects as of the date of the Merger Agreement and shall be true and correct on the closing date of the merger with the same force and effect as if made on the date on which the merger is to be completed or, if such representations and warranties address matters as of a particular date, then such capitalization representations and warranties shall be true and correct as of that particular date, except for inaccuracies which are de minimis, individually or in the aggregate;</w:t>
      </w:r>
    </w:p>
    <w:p>
      <w:pPr>
        <w:spacing w:after="0" w:line="188" w:lineRule="exact"/>
        <w:rPr>
          <w:rFonts w:ascii="Arial" w:cs="Arial" w:eastAsia="Arial" w:hAnsi="Arial"/>
          <w:sz w:val="18"/>
          <w:szCs w:val="18"/>
          <w:color w:val="auto"/>
        </w:rPr>
      </w:pPr>
    </w:p>
    <w:p>
      <w:pPr>
        <w:ind w:left="660" w:right="60" w:hanging="329"/>
        <w:spacing w:after="0" w:line="274"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other representations and warranties of Vaxart in the Merger Agreement shall have been true and correct as of the date of the Merger Agreement and shall be true and correct on the closing date of the merger with the same force and effect as if made on the date on which the merger is to be completed or, if such representations and warranties address matters as of a particular date, then such representations and warranties shall be true and correct as of that particular date, except where the failure of these representations and warranties to be true and correct, individually or in the aggregate, would not reasonably be expected to have a material adverse effect on the other party;</w:t>
      </w:r>
    </w:p>
    <w:p>
      <w:pPr>
        <w:spacing w:after="0" w:line="176" w:lineRule="exact"/>
        <w:rPr>
          <w:rFonts w:ascii="Arial" w:cs="Arial" w:eastAsia="Arial" w:hAnsi="Arial"/>
          <w:sz w:val="17"/>
          <w:szCs w:val="17"/>
          <w:color w:val="auto"/>
        </w:rPr>
      </w:pPr>
    </w:p>
    <w:p>
      <w:pPr>
        <w:ind w:left="660" w:right="340" w:hanging="329"/>
        <w:spacing w:after="0" w:line="276"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Vaxart shall have performed or complied with in all material respects all of its covenants and agreements in the Merger Agreement required to be performed or complied with by it on or before the closing of the merger;</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Vaxart shall have delivered certain certificates and other documents required under the Merger Agreement for the closing of the merger;</w:t>
      </w:r>
    </w:p>
    <w:p>
      <w:pPr>
        <w:spacing w:after="0" w:line="235" w:lineRule="exact"/>
        <w:rPr>
          <w:rFonts w:ascii="Arial" w:cs="Arial" w:eastAsia="Arial" w:hAnsi="Arial"/>
          <w:sz w:val="17"/>
          <w:szCs w:val="17"/>
          <w:color w:val="auto"/>
        </w:rPr>
      </w:pPr>
    </w:p>
    <w:p>
      <w:pPr>
        <w:ind w:left="660" w:right="60" w:hanging="329"/>
        <w:spacing w:after="0" w:line="26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stockholders agreements, voting agreement, registration rights agreement, co-sale agreement or any other similar contract between Vaxart and any holders of Vaxart’s stock, including any contract granting any person investor rights, rights of first refusal, rights of first offer, registration rights, director designation rights or similar rights, shall have been terminated.</w:t>
      </w:r>
    </w:p>
    <w:p>
      <w:pPr>
        <w:spacing w:after="0" w:line="183" w:lineRule="exact"/>
        <w:rPr>
          <w:rFonts w:ascii="Arial" w:cs="Arial" w:eastAsia="Arial" w:hAnsi="Arial"/>
          <w:sz w:val="18"/>
          <w:szCs w:val="18"/>
          <w:color w:val="auto"/>
        </w:rPr>
      </w:pPr>
    </w:p>
    <w:p>
      <w:pPr>
        <w:ind w:left="660" w:right="220" w:hanging="329"/>
        <w:spacing w:after="0" w:line="26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Aviragen shall have received a copy of the lock-up agreement from certain stockholders of Vaxart set forth on a schedule to the Merger Agreement and each executive officer and director of Vaxart who is elected or appointed as an executive officer and director of Aviragen as of immediately following the closing of the merger;</w:t>
      </w:r>
    </w:p>
    <w:p>
      <w:pPr>
        <w:spacing w:after="0" w:line="18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Vaxart shall have delivered to Aviragen written resignations of certain officers and directors of Vaxart as listed in a schedule to the Merger Agreement and in a form reasonably satisfactory to Aviragen;</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8" w:name="page119"/>
    <w:bookmarkEnd w:id="11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260" w:hanging="329"/>
        <w:spacing w:after="0" w:line="27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since the date of the Merger Agreement, there shall have been no effect, change, event, circumstance, or development that has had or would reasonably be expected to have had a material adverse effect on the business, condition (financial or otherwise), assets, liabilities, or results of operations of Vaxart and its subsidiaries, taken as a whole. The Merger Agreement provides that certain effects, changes, events, circumstances, or developments arising or resulting from the following shall not be considered a material adverse effect on Vaxart:</w:t>
      </w:r>
    </w:p>
    <w:p>
      <w:pPr>
        <w:spacing w:after="0" w:line="170" w:lineRule="exact"/>
        <w:rPr>
          <w:rFonts w:ascii="Arial" w:cs="Arial" w:eastAsia="Arial" w:hAnsi="Arial"/>
          <w:sz w:val="17"/>
          <w:szCs w:val="17"/>
          <w:color w:val="auto"/>
        </w:rPr>
      </w:pPr>
    </w:p>
    <w:p>
      <w:pPr>
        <w:ind w:left="1300" w:hanging="32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general economic or business conditions affecting the industry in which Vaxart operates;</w:t>
      </w:r>
    </w:p>
    <w:p>
      <w:pPr>
        <w:spacing w:after="0" w:line="223" w:lineRule="exact"/>
        <w:rPr>
          <w:rFonts w:ascii="Arial" w:cs="Arial" w:eastAsia="Arial" w:hAnsi="Arial"/>
          <w:sz w:val="18"/>
          <w:szCs w:val="18"/>
          <w:color w:val="auto"/>
        </w:rPr>
      </w:pPr>
    </w:p>
    <w:p>
      <w:pPr>
        <w:ind w:left="1300" w:hanging="32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changes in financial, banking or securities markets;</w:t>
      </w:r>
    </w:p>
    <w:p>
      <w:pPr>
        <w:spacing w:after="0" w:line="223" w:lineRule="exact"/>
        <w:rPr>
          <w:rFonts w:ascii="Arial" w:cs="Arial" w:eastAsia="Arial" w:hAnsi="Arial"/>
          <w:sz w:val="18"/>
          <w:szCs w:val="18"/>
          <w:color w:val="auto"/>
        </w:rPr>
      </w:pPr>
    </w:p>
    <w:p>
      <w:pPr>
        <w:ind w:left="1300" w:hanging="32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taking of any action required to be taken under the Merger Agreement; or</w:t>
      </w:r>
    </w:p>
    <w:p>
      <w:pPr>
        <w:spacing w:after="0" w:line="223" w:lineRule="exact"/>
        <w:rPr>
          <w:rFonts w:ascii="Arial" w:cs="Arial" w:eastAsia="Arial" w:hAnsi="Arial"/>
          <w:sz w:val="18"/>
          <w:szCs w:val="18"/>
          <w:color w:val="auto"/>
        </w:rPr>
      </w:pPr>
    </w:p>
    <w:p>
      <w:pPr>
        <w:ind w:left="1300" w:hanging="323"/>
        <w:spacing w:after="0"/>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acts of armed hostilities, terrorism or war.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obligation of Vaxart to complete the merger is further subject to the satisfaction or waiver of the following conditions:</w:t>
      </w:r>
    </w:p>
    <w:p>
      <w:pPr>
        <w:spacing w:after="0" w:line="224" w:lineRule="exact"/>
        <w:rPr>
          <w:sz w:val="20"/>
          <w:szCs w:val="20"/>
          <w:color w:val="auto"/>
        </w:rPr>
      </w:pPr>
    </w:p>
    <w:p>
      <w:pPr>
        <w:ind w:left="660" w:right="140" w:hanging="329"/>
        <w:spacing w:after="0" w:line="258"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fundamental representations and warranties of Aviragen shall have been true and correct in all respects on the date of the Merger Agreement and shall be true and correct on the closing date of the merger with the same force and effect as if made on and as of the date on which the merger is to be completed or, if such representations and warranties address matters as of a particular date, then such fundamental representations and warranties shall be true and correct as of that particular date;</w:t>
      </w:r>
    </w:p>
    <w:p>
      <w:pPr>
        <w:spacing w:after="0" w:line="186" w:lineRule="exact"/>
        <w:rPr>
          <w:rFonts w:ascii="Arial" w:cs="Arial" w:eastAsia="Arial" w:hAnsi="Arial"/>
          <w:sz w:val="18"/>
          <w:szCs w:val="18"/>
          <w:color w:val="auto"/>
        </w:rPr>
      </w:pPr>
    </w:p>
    <w:p>
      <w:pPr>
        <w:ind w:left="660" w:right="160" w:hanging="329"/>
        <w:spacing w:after="0" w:line="256"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representations and warranties regarding the capitalization of Aviragen in the Merger Agreement shall have been true and correct in all respects as of the date of the Merger Agreement and shall be true and correct on the closing date of the merger with the same force and effect as if made on the date on which the merger is to be completed or, if such representations and warranties address matters as of a particular date, then such capitalization representations and warranties shall be true and correct as of that particular date, except for inaccuracies which are de minimis, individually or in the aggregate;</w:t>
      </w:r>
    </w:p>
    <w:p>
      <w:pPr>
        <w:spacing w:after="0" w:line="188" w:lineRule="exact"/>
        <w:rPr>
          <w:rFonts w:ascii="Arial" w:cs="Arial" w:eastAsia="Arial" w:hAnsi="Arial"/>
          <w:sz w:val="18"/>
          <w:szCs w:val="18"/>
          <w:color w:val="auto"/>
        </w:rPr>
      </w:pPr>
    </w:p>
    <w:p>
      <w:pPr>
        <w:ind w:left="660" w:hanging="329"/>
        <w:spacing w:after="0" w:line="274"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other representations and warranties of Aviragen in the Merger Agreement shall have been true and correct as of the date of the Merger Agreement and shall be true and correct on the closing date of the merger with the same force and effect as if made on the date on which the merger is to be completed or, if such representations and warranties address matters as of a particular date, then such representations and warranties shall be true and correct as of that particular date, except where the failure of these representations and warranties to be true and correct, individually or in the aggregate, would not reasonably be expected to have a material adverse effect on the other party;</w:t>
      </w:r>
    </w:p>
    <w:p>
      <w:pPr>
        <w:spacing w:after="0" w:line="176" w:lineRule="exact"/>
        <w:rPr>
          <w:rFonts w:ascii="Arial" w:cs="Arial" w:eastAsia="Arial" w:hAnsi="Arial"/>
          <w:sz w:val="17"/>
          <w:szCs w:val="17"/>
          <w:color w:val="auto"/>
        </w:rPr>
      </w:pPr>
    </w:p>
    <w:p>
      <w:pPr>
        <w:ind w:left="660" w:hanging="329"/>
        <w:spacing w:after="0" w:line="276"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Aviragen and Merger Sub shall have performed or complied with in all material respects all of its covenants and agreements in the Merger Agreement required to be performed or complied with by it on or before the closing of the merger;</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Aviragen shall have delivered certain certificates and other documents required under the Merger Agreement for the closing of the merger;</w:t>
      </w:r>
    </w:p>
    <w:p>
      <w:pPr>
        <w:spacing w:after="0" w:line="235" w:lineRule="exact"/>
        <w:rPr>
          <w:rFonts w:ascii="Arial" w:cs="Arial" w:eastAsia="Arial" w:hAnsi="Arial"/>
          <w:sz w:val="17"/>
          <w:szCs w:val="17"/>
          <w:color w:val="auto"/>
        </w:rPr>
      </w:pPr>
    </w:p>
    <w:p>
      <w:pPr>
        <w:ind w:left="660" w:right="160" w:hanging="329"/>
        <w:spacing w:after="0" w:line="276"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Aviragen shall have delivered to Vaxart written resignations of the officers and directors of Aviragen who are not to continue as officers or directors of Aviragen pursuant to the terms of the Merger Agreement, in a form reasonably satisfactory to Aviragen;</w:t>
      </w:r>
    </w:p>
    <w:p>
      <w:pPr>
        <w:spacing w:after="0" w:line="169" w:lineRule="exact"/>
        <w:rPr>
          <w:rFonts w:ascii="Arial" w:cs="Arial" w:eastAsia="Arial" w:hAnsi="Arial"/>
          <w:sz w:val="18"/>
          <w:szCs w:val="18"/>
          <w:color w:val="auto"/>
        </w:rPr>
      </w:pPr>
    </w:p>
    <w:p>
      <w:pPr>
        <w:ind w:left="660" w:right="320" w:hanging="329"/>
        <w:spacing w:after="0" w:line="300"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since the date of the Merger Agreement, there shall have been no effect, change, event, circumstance, or development that that has had or would reasonably be expected to have had a material adverse effect on the business, condition (financial or otherwise), assets, liabilities, or results of operations of Aviragen. The Merger Agreement provides that certain effects, changes, events, circumstances, or developments arising or resulting from the following shall not be considered a material adverse effect on Aviragen, including without limitation:</w:t>
      </w:r>
    </w:p>
    <w:p>
      <w:pPr>
        <w:spacing w:after="0" w:line="156" w:lineRule="exact"/>
        <w:rPr>
          <w:rFonts w:ascii="Arial" w:cs="Arial" w:eastAsia="Arial" w:hAnsi="Arial"/>
          <w:sz w:val="16"/>
          <w:szCs w:val="16"/>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general economic or business conditions generally affecting the industry in which Aviragen operates;</w:t>
      </w:r>
    </w:p>
    <w:p>
      <w:pPr>
        <w:spacing w:after="0" w:line="250" w:lineRule="exact"/>
        <w:rPr>
          <w:rFonts w:ascii="Arial" w:cs="Arial" w:eastAsia="Arial" w:hAnsi="Arial"/>
          <w:sz w:val="18"/>
          <w:szCs w:val="18"/>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acts of armed hostilities, terrorism or war;</w:t>
      </w:r>
    </w:p>
    <w:p>
      <w:pPr>
        <w:spacing w:after="0" w:line="250" w:lineRule="exact"/>
        <w:rPr>
          <w:rFonts w:ascii="Arial" w:cs="Arial" w:eastAsia="Arial" w:hAnsi="Arial"/>
          <w:sz w:val="18"/>
          <w:szCs w:val="18"/>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changes in financial, banking or securities markets;</w:t>
      </w:r>
    </w:p>
    <w:p>
      <w:pPr>
        <w:spacing w:after="0" w:line="250" w:lineRule="exact"/>
        <w:rPr>
          <w:rFonts w:ascii="Arial" w:cs="Arial" w:eastAsia="Arial" w:hAnsi="Arial"/>
          <w:sz w:val="18"/>
          <w:szCs w:val="18"/>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taking of any action required to be taken under the Merger Agreement;</w:t>
      </w:r>
    </w:p>
    <w:p>
      <w:pPr>
        <w:spacing w:after="0" w:line="250" w:lineRule="exact"/>
        <w:rPr>
          <w:rFonts w:ascii="Arial" w:cs="Arial" w:eastAsia="Arial" w:hAnsi="Arial"/>
          <w:sz w:val="18"/>
          <w:szCs w:val="18"/>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Aviragen stock (but not the underlying causes of such changes or failures);</w:t>
      </w:r>
    </w:p>
    <w:p>
      <w:pPr>
        <w:spacing w:after="0" w:line="250" w:lineRule="exact"/>
        <w:rPr>
          <w:rFonts w:ascii="Arial" w:cs="Arial" w:eastAsia="Arial" w:hAnsi="Arial"/>
          <w:sz w:val="18"/>
          <w:szCs w:val="18"/>
          <w:color w:val="auto"/>
        </w:rPr>
      </w:pPr>
    </w:p>
    <w:p>
      <w:pPr>
        <w:ind w:left="1300" w:hanging="323"/>
        <w:spacing w:after="0"/>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clinical trial programs or studies, including any adverse data, event or outcome arising out of related to any such programs or studies; or</w:t>
      </w:r>
    </w:p>
    <w:p>
      <w:pPr>
        <w:spacing w:after="0" w:line="246" w:lineRule="exact"/>
        <w:rPr>
          <w:rFonts w:ascii="Arial" w:cs="Arial" w:eastAsia="Arial" w:hAnsi="Arial"/>
          <w:sz w:val="16"/>
          <w:szCs w:val="16"/>
          <w:color w:val="auto"/>
        </w:rPr>
      </w:pPr>
    </w:p>
    <w:p>
      <w:pPr>
        <w:ind w:left="1300" w:hanging="323"/>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announcement of the Merger Agreement or pendency of the merger.</w:t>
      </w:r>
    </w:p>
    <w:p>
      <w:pPr>
        <w:sectPr>
          <w:pgSz w:w="11900" w:h="16838" w:orient="portrait"/>
          <w:cols w:equalWidth="0" w:num="1">
            <w:col w:w="11420"/>
          </w:cols>
          <w:pgMar w:left="240" w:top="11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9" w:name="page120"/>
    <w:bookmarkEnd w:id="11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8"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The Merger Agreement contains customary representations and warranties of Aviragen, Merger Sub, and Vaxart for a transaction of this type relating to, among other things:</w:t>
      </w:r>
    </w:p>
    <w:p>
      <w:pPr>
        <w:spacing w:after="0" w:line="170" w:lineRule="exact"/>
        <w:rPr>
          <w:sz w:val="20"/>
          <w:szCs w:val="20"/>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corporate organization, organizational and governing documents, and power, and similar corporate matters;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financial statements and with respect to Aviragen, documents filed with the SEC and the accuracy of information contained in those documents;</w:t>
      </w:r>
    </w:p>
    <w:p>
      <w:pPr>
        <w:spacing w:after="0" w:line="246" w:lineRule="exact"/>
        <w:rPr>
          <w:rFonts w:ascii="Arial" w:cs="Arial" w:eastAsia="Arial" w:hAnsi="Arial"/>
          <w:sz w:val="16"/>
          <w:szCs w:val="16"/>
          <w:color w:val="auto"/>
        </w:rPr>
      </w:pPr>
    </w:p>
    <w:p>
      <w:pPr>
        <w:ind w:left="660" w:right="440" w:hanging="329"/>
        <w:spacing w:after="0" w:line="276"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certain changes or events, with respect to Aviragen, between June 30, 2017 and the date of the merger agreement and with respect to Vaxart, between August 31, 2017 and the date of the merger agreement;</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validity of material contracts to which the parties or their subsidiaries are a party and any violation, default or breach under such contracts;</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non-contravention and required consents;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Vaxart, compliance with anti-bribery laws;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full disclosure;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governmental authorization;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3" w:lineRule="exact"/>
        <w:rPr>
          <w:rFonts w:ascii="Arial" w:cs="Arial" w:eastAsia="Arial" w:hAnsi="Arial"/>
          <w:sz w:val="18"/>
          <w:szCs w:val="18"/>
          <w:color w:val="auto"/>
        </w:rPr>
      </w:pPr>
    </w:p>
    <w:p>
      <w:pPr>
        <w:ind w:left="660" w:right="340" w:hanging="329"/>
        <w:spacing w:after="0" w:line="276"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votes required for the closing of the merger and approval of the proposals that will come before the Aviragen special meeting and that will be the subject of Vaxart stockholder approval;</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brokerage or finder’s fee or other fee or commission in connection with the merger;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Aviragen, opinion of its financial advisor;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Aviragen, the valid issuance in the merger of the Aviragen common stock;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Vaxart, accuracy of the information supplied by Vaxart for inclusion in this registration statement.</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representations and warranties are, in many respects, qualified by materiality and knowledge, and will not survive the merger, but their accuracy forms the basis of some of the conditions to the obligations of Aviragen and Vaxart to complete the merger.</w:t>
      </w:r>
    </w:p>
    <w:p>
      <w:pPr>
        <w:sectPr>
          <w:pgSz w:w="11900" w:h="16838" w:orient="portrait"/>
          <w:cols w:equalWidth="0" w:num="1">
            <w:col w:w="11400"/>
          </w:cols>
          <w:pgMar w:left="240" w:top="118" w:right="259" w:bottom="1440" w:gutter="0" w:footer="0" w:header="0"/>
        </w:sectPr>
      </w:pP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0" w:name="page121"/>
    <w:bookmarkEnd w:id="12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Each of Aviragen and Vaxart agreed that, subject to certain exceptions, Aviragen and Vaxart and any of their respective subsidiaries will not, and each party will use its reasonable best efforts to cause each of its officers, directors, employees, investment bankers, attorneys, accountants, representatives, consultants or other agents retained by it or any of its subsidiaries not to, directly or indirectly:</w:t>
      </w:r>
    </w:p>
    <w:p>
      <w:pPr>
        <w:spacing w:after="0" w:line="183" w:lineRule="exact"/>
        <w:rPr>
          <w:sz w:val="20"/>
          <w:szCs w:val="20"/>
          <w:color w:val="auto"/>
        </w:rPr>
      </w:pPr>
    </w:p>
    <w:p>
      <w:pPr>
        <w:ind w:left="660" w:right="160" w:hanging="329"/>
        <w:spacing w:after="0" w:line="262"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solicit, initiate, knowingly encourage, induce or knowingly facilitate the communication, making, submission or announcement of, any "acquisition proposal" or "acquisition inquiry," each as defined in the Merger Agreement, or take any action that could reasonably be expected to lead to an acquisition proposal or an acquisition inquiry;</w:t>
      </w:r>
    </w:p>
    <w:p>
      <w:pPr>
        <w:spacing w:after="0" w:line="183" w:lineRule="exact"/>
        <w:rPr>
          <w:rFonts w:ascii="Arial" w:cs="Arial" w:eastAsia="Arial" w:hAnsi="Arial"/>
          <w:sz w:val="18"/>
          <w:szCs w:val="18"/>
          <w:color w:val="auto"/>
        </w:rPr>
      </w:pPr>
    </w:p>
    <w:p>
      <w:pPr>
        <w:ind w:left="660" w:right="400" w:hanging="329"/>
        <w:spacing w:after="0" w:line="276"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an acquisition inquiry;</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certain exceptions for Aviragen, approve, endorse or recommend an acquisition proposal;</w:t>
      </w:r>
    </w:p>
    <w:p>
      <w:pPr>
        <w:spacing w:after="0" w:line="223" w:lineRule="exact"/>
        <w:rPr>
          <w:rFonts w:ascii="Arial" w:cs="Arial" w:eastAsia="Arial" w:hAnsi="Arial"/>
          <w:sz w:val="18"/>
          <w:szCs w:val="18"/>
          <w:color w:val="auto"/>
        </w:rPr>
      </w:pPr>
    </w:p>
    <w:p>
      <w:pPr>
        <w:ind w:left="660" w:right="260" w:hanging="329"/>
        <w:spacing w:after="0" w:line="276"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 as defined in the Merger Agreement; or</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publicly propose to do any of the foregoing.</w:t>
      </w:r>
    </w:p>
    <w:p>
      <w:pPr>
        <w:spacing w:after="0" w:line="224"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An "acquisition inquiry" means an inquiry, indication of interest or request for information that would reasonably be expected to lead to an acquisition proposal.</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An “acquisition proposal” means any offer or proposal, whether written or oral contemplating or otherwise relating to any “acquisition transaction,” as defined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“acquisition transaction” means the following:</w:t>
      </w:r>
    </w:p>
    <w:p>
      <w:pPr>
        <w:spacing w:after="0" w:line="224" w:lineRule="exact"/>
        <w:rPr>
          <w:sz w:val="20"/>
          <w:szCs w:val="20"/>
          <w:color w:val="auto"/>
        </w:rPr>
      </w:pPr>
    </w:p>
    <w:p>
      <w:pPr>
        <w:ind w:left="660" w:right="60" w:hanging="329"/>
        <w:spacing w:after="0" w:line="272"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or acquisition of securities, reorganization, recapitalization, tender offer, exchange offer or similar transaction in which Aviragen or Vaxart is a constituent corporation, in which any individual, entity, governmental entity or "group," as defined under applicable securities laws, directly or indirectly acquires beneficial or record ownership of securities representing more than 20% of the outstanding securities of any class of voting securities of Aviragen or Vaxart or any of their subsidiaries or in which Aviragen or Vaxart or any of their subsidiaries issues securities representing more than 20% of the outstanding securities of any class of voting securities of such party or any of its subsidiaries; and</w:t>
      </w:r>
    </w:p>
    <w:p>
      <w:pPr>
        <w:spacing w:after="0" w:line="178" w:lineRule="exact"/>
        <w:rPr>
          <w:rFonts w:ascii="Arial" w:cs="Arial" w:eastAsia="Arial" w:hAnsi="Arial"/>
          <w:sz w:val="17"/>
          <w:szCs w:val="17"/>
          <w:color w:val="auto"/>
        </w:rPr>
      </w:pPr>
    </w:p>
    <w:p>
      <w:pPr>
        <w:ind w:left="660" w:right="160" w:hanging="329"/>
        <w:spacing w:after="0" w:line="276"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assets that constitute 20% or more of the consolidated book value or the fair market value of the assets of Aviragen or Vaxart and their subsidiaries, taken as a whole.</w:t>
      </w:r>
    </w:p>
    <w:p>
      <w:pPr>
        <w:spacing w:after="0" w:line="170"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However, before obtaining the applicable Aviragen stockholder approvals required to consummate the merger, Aviragen may furnish nonpublic information regarding Aviragen and its subsidiaries to, and may enter into discussions or negotiations with, any third-party in response to a bona fide written acquisition proposal made or received after the date of the Merger Agreement, which the Aviragen board of directors determines in good faith, after consultation with Aviragen’s outside financial advisors and outside legal counsel, constitutes or is reasonably likely to result in a "superior offer," as defined below, if:</w:t>
      </w:r>
    </w:p>
    <w:p>
      <w:pPr>
        <w:spacing w:after="0" w:line="157" w:lineRule="exact"/>
        <w:rPr>
          <w:sz w:val="20"/>
          <w:szCs w:val="20"/>
          <w:color w:val="auto"/>
        </w:rPr>
      </w:pPr>
    </w:p>
    <w:p>
      <w:pPr>
        <w:ind w:left="660" w:hanging="329"/>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neither Aviragen nor any of Aviragen’s representatives has breached the non-solicitation provisions of the Merger Agreement described above;</w:t>
      </w:r>
    </w:p>
    <w:p>
      <w:pPr>
        <w:spacing w:after="0" w:line="235" w:lineRule="exact"/>
        <w:rPr>
          <w:rFonts w:ascii="Arial" w:cs="Arial" w:eastAsia="Arial" w:hAnsi="Arial"/>
          <w:sz w:val="17"/>
          <w:szCs w:val="17"/>
          <w:color w:val="auto"/>
        </w:rPr>
      </w:pPr>
    </w:p>
    <w:p>
      <w:pPr>
        <w:ind w:left="660" w:right="40" w:hanging="329"/>
        <w:spacing w:after="0" w:line="27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Aviragen board of directors concludes in good faith, based on the advice of outside legal counsel, that the failure to take such action is reasonably likely to be inconsistent with the fiduciary duties of such board of directors under applicable legal requirements;</w:t>
      </w:r>
    </w:p>
    <w:p>
      <w:pPr>
        <w:spacing w:after="0" w:line="169" w:lineRule="exact"/>
        <w:rPr>
          <w:rFonts w:ascii="Arial" w:cs="Arial" w:eastAsia="Arial" w:hAnsi="Arial"/>
          <w:sz w:val="18"/>
          <w:szCs w:val="18"/>
          <w:color w:val="auto"/>
        </w:rPr>
      </w:pPr>
    </w:p>
    <w:p>
      <w:pPr>
        <w:ind w:left="660" w:right="480" w:hanging="329"/>
        <w:spacing w:after="0" w:line="27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party receives from the third-party an executed confidentiality agreement containing provisions at least as favorable to such party as those contained in the confidentiality agreement between Aviragen and Vaxart; and</w:t>
      </w:r>
    </w:p>
    <w:p>
      <w:pPr>
        <w:spacing w:after="0" w:line="169" w:lineRule="exact"/>
        <w:rPr>
          <w:rFonts w:ascii="Arial" w:cs="Arial" w:eastAsia="Arial" w:hAnsi="Arial"/>
          <w:sz w:val="18"/>
          <w:szCs w:val="18"/>
          <w:color w:val="auto"/>
        </w:rPr>
      </w:pPr>
    </w:p>
    <w:p>
      <w:pPr>
        <w:ind w:left="660" w:right="400" w:hanging="329"/>
        <w:spacing w:after="0" w:line="27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substantially contemporaneously with furnishing of any such nonpublic information to a third-party, Aviragen furnishes the same information to Vaxart to the extent not previously furnished.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"superior offer" means an unsolicited bona fide written acquisition proposal that: (a) was not obtained or made as a direct or indirect result of a breach of (or in violation of) the Merger Agreement; and (b) is on terms and conditions that the Aviragen board of directors or the Vaxart board of directors, as applicable, determines in good faith, based on such matters that it deems relevant (including the likelihood of consummation thereof), as well as any written offer by the other party to the Merger Agreement to amend the terms of the Merger Agreement, and following consultation with its outside legal counsel and outside financial advisors, if any, are more favorable, from a financial point of view, to the Aviragen stockholders or the Vaxart stockholders, as applicable, than the terms of the transactions contemplated by the Merger Agreement.</w:t>
      </w:r>
    </w:p>
    <w:p>
      <w:pPr>
        <w:sectPr>
          <w:pgSz w:w="11900" w:h="16838" w:orient="portrait"/>
          <w:cols w:equalWidth="0" w:num="1">
            <w:col w:w="11400"/>
          </w:cols>
          <w:pgMar w:left="240" w:top="118"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1" w:name="page122"/>
    <w:bookmarkEnd w:id="12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Stockholders</w:t>
      </w:r>
    </w:p>
    <w:p>
      <w:pPr>
        <w:spacing w:after="0" w:line="228" w:lineRule="exact"/>
        <w:rPr>
          <w:sz w:val="20"/>
          <w:szCs w:val="20"/>
          <w:color w:val="auto"/>
        </w:rPr>
      </w:pPr>
    </w:p>
    <w:p>
      <w:pPr>
        <w:ind w:right="580"/>
        <w:spacing w:after="0" w:line="340" w:lineRule="auto"/>
        <w:rPr>
          <w:sz w:val="20"/>
          <w:szCs w:val="20"/>
          <w:color w:val="auto"/>
        </w:rPr>
      </w:pPr>
      <w:r>
        <w:rPr>
          <w:rFonts w:ascii="Arial" w:cs="Arial" w:eastAsia="Arial" w:hAnsi="Arial"/>
          <w:sz w:val="16"/>
          <w:szCs w:val="16"/>
          <w:color w:val="auto"/>
        </w:rPr>
        <w:t>Aviragen is obligated under the Merger Agreement to use commercially reasonable efforts to take all action necessary to call, give notice of and hold a meeting of its stockholders for the purposes of voting on the issuance of shares of Aviragen common stock in the merger and the reverse stock split.</w:t>
      </w:r>
    </w:p>
    <w:p>
      <w:pPr>
        <w:spacing w:after="0" w:line="1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Vaxart is obligated under the Merger Agreement to obtain written consents of its stockholders sufficient to adopt the Merger Agreement and approve the merger and the others transactions contemplated thereby reasonably promptly, and no later than three business days following this registration statement on Form S-4, of which this proxy statement/prospectus/information statement is a part, being declared effective by the SEC. The Vaxart board of director’s recommendation that Vaxart stockholders approve the Merger Agreement and the transactions contemplated thereby shall not be withdrawn or modified (and the Vaxart board of directors shall not publicly propose to withdraw or modify such recommendation) in a manner adverse to Aviragen, and no resolution by the Vaxart board of directors or any committee thereof to withdraw or the Vaxart board of directors in a manner adverse to Aviragen or to adopt, approve or recommend (or publicly propose to adopt, approve or recommend) any alternative acquisition proposal shall be adopted or proposed.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22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Aviragen has agreed that, except as permitted by the Merger Agreement, as required by law, or unless Vaxart shall have provided written consent, during the period commencing on the date of the Merger Agreement and continuing until the earlier to occur of the closing of the merger and the termination of the Merger Agreement, Aviragen will conduct its business and operations in the ordinary course consistent with past practices and in compliance with all applicable laws, regulations and certain contracts. Aviragen has also agreed that, subject to certain limited exceptions, without the consent of Vaxart, it will not, during the period commencing on the date of the Merger Agreement and continuing until the earlier to occur of the closing of the merger and the termination of the Merger Agreement:</w:t>
      </w:r>
    </w:p>
    <w:p>
      <w:pPr>
        <w:spacing w:after="0" w:line="193" w:lineRule="exact"/>
        <w:rPr>
          <w:sz w:val="20"/>
          <w:szCs w:val="20"/>
          <w:color w:val="auto"/>
        </w:rPr>
      </w:pPr>
    </w:p>
    <w:p>
      <w:pPr>
        <w:ind w:left="660" w:right="280" w:hanging="329"/>
        <w:spacing w:after="0" w:line="285"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declare, accrue, set aside or pay any dividend or make any other distribution in respect of any shares of capital stock; or repurchase, redeem or otherwise reacquire any shares of capital stock or other securities (except in connection with the payment of the exercise price and/or withholding taxes incurred upon the exercise, settlement or vesting of any award granted under any Aviragen equity incentive plan);</w:t>
      </w:r>
    </w:p>
    <w:p>
      <w:pPr>
        <w:spacing w:after="0" w:line="164" w:lineRule="exact"/>
        <w:rPr>
          <w:rFonts w:ascii="Arial" w:cs="Arial" w:eastAsia="Arial" w:hAnsi="Arial"/>
          <w:sz w:val="17"/>
          <w:szCs w:val="17"/>
          <w:color w:val="auto"/>
        </w:rPr>
      </w:pPr>
    </w:p>
    <w:p>
      <w:pPr>
        <w:ind w:left="660" w:right="60" w:hanging="329"/>
        <w:spacing w:after="0" w:line="258"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with respect to: any capital stock or other security (except for Aviragen common stock issued upon the valid exercise or settlement of outstanding options or restricted stock units to purchase shares of Aviragen common stock); any option, warrant or right to acquire any capital stock or any other security of Aviragen; or any instrument convertible into or exchangeable for any capital stock or other security of Aviragen;</w:t>
      </w:r>
    </w:p>
    <w:p>
      <w:pPr>
        <w:spacing w:after="0" w:line="186" w:lineRule="exact"/>
        <w:rPr>
          <w:rFonts w:ascii="Arial" w:cs="Arial" w:eastAsia="Arial" w:hAnsi="Arial"/>
          <w:sz w:val="18"/>
          <w:szCs w:val="18"/>
          <w:color w:val="auto"/>
        </w:rPr>
      </w:pPr>
    </w:p>
    <w:p>
      <w:pPr>
        <w:ind w:left="660" w:hanging="329"/>
        <w:spacing w:after="0" w:line="258"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Aviragen,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186" w:lineRule="exact"/>
        <w:rPr>
          <w:rFonts w:ascii="Arial" w:cs="Arial" w:eastAsia="Arial" w:hAnsi="Arial"/>
          <w:sz w:val="18"/>
          <w:szCs w:val="18"/>
          <w:color w:val="auto"/>
        </w:rPr>
      </w:pPr>
    </w:p>
    <w:p>
      <w:pPr>
        <w:ind w:left="660" w:hanging="329"/>
        <w:spacing w:after="0"/>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any joint venture with any other entity;</w:t>
      </w:r>
    </w:p>
    <w:p>
      <w:pPr>
        <w:spacing w:after="0" w:line="235" w:lineRule="exact"/>
        <w:rPr>
          <w:rFonts w:ascii="Arial" w:cs="Arial" w:eastAsia="Arial" w:hAnsi="Arial"/>
          <w:sz w:val="17"/>
          <w:szCs w:val="17"/>
          <w:color w:val="auto"/>
        </w:rPr>
      </w:pPr>
    </w:p>
    <w:p>
      <w:pPr>
        <w:ind w:left="660" w:right="340" w:hanging="329"/>
        <w:spacing w:after="0" w:line="262"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the amounts set forth in Aviragens’ operating budget delivered to Vaxart concurrently with the Merger Agreement;</w:t>
      </w:r>
    </w:p>
    <w:p>
      <w:pPr>
        <w:spacing w:after="0" w:line="183" w:lineRule="exact"/>
        <w:rPr>
          <w:rFonts w:ascii="Arial" w:cs="Arial" w:eastAsia="Arial" w:hAnsi="Arial"/>
          <w:sz w:val="18"/>
          <w:szCs w:val="18"/>
          <w:color w:val="auto"/>
        </w:rPr>
      </w:pPr>
    </w:p>
    <w:p>
      <w:pPr>
        <w:ind w:left="660" w:right="80" w:hanging="329"/>
        <w:spacing w:after="0" w:line="271"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other than as required by law or the terms of an Aviragen employee plan in effect as of the date of the Merger Agreement, adopt, establish, terminate or enter into any Aviragen employee plan; cause or permit any Aviragen employee plan to be amended in any material respect; other than in the ordinary course of business, pay any bonus or make any profit-sharing or similar payment to, or increase the amount of the wages, salary, commissions, benefits or other compensation or remuneration payable to, any of its employees, directors or officers, other than increases in base salary and annual bonus payments made in the ordinary course of business consistent with past practice; increase the severance or change of control benefits offered to any current or new employees, directors or consultants; or hire, terminate or give notice of termination to any (x) officer, or (y) employee whose annual base salary is or is expected to be more than $125,000 per year;</w:t>
      </w:r>
    </w:p>
    <w:p>
      <w:pPr>
        <w:spacing w:after="0" w:line="177" w:lineRule="exact"/>
        <w:rPr>
          <w:rFonts w:ascii="Arial" w:cs="Arial" w:eastAsia="Arial" w:hAnsi="Arial"/>
          <w:sz w:val="17"/>
          <w:szCs w:val="17"/>
          <w:color w:val="auto"/>
        </w:rPr>
      </w:pPr>
    </w:p>
    <w:p>
      <w:pPr>
        <w:ind w:left="660" w:hanging="329"/>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recognize any labor union, labor organization or similar person;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enter into any material transaction other than in the ordinary course of business;</w:t>
      </w:r>
    </w:p>
    <w:p>
      <w:pPr>
        <w:spacing w:after="0" w:line="223"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 consistent with past practices;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120" w:hanging="329"/>
        <w:spacing w:after="0" w:line="256"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change or revoke any tax election; fail to pay any income or other material tax as such tax becomes due and payable, file any amendment making a material change to any tax return; settle or compromise any tax liability, enter into any tax allocation, sharing, indemnification or other similar agreement or arrangement, request or consent to any extension or waiver of any limitation period with respect to any claim or assessment for any income or other material taxes (other than in connection with any extension of time to file any tax return) or adopt or change any accounting method in respect of taxes;</w:t>
      </w:r>
    </w:p>
    <w:p>
      <w:pPr>
        <w:spacing w:after="0" w:line="188" w:lineRule="exact"/>
        <w:rPr>
          <w:rFonts w:ascii="Arial" w:cs="Arial" w:eastAsia="Arial" w:hAnsi="Arial"/>
          <w:sz w:val="18"/>
          <w:szCs w:val="18"/>
          <w:color w:val="auto"/>
        </w:rPr>
      </w:pPr>
    </w:p>
    <w:p>
      <w:pPr>
        <w:ind w:left="660" w:hanging="329"/>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materially amend or terminate certain material contracts;</w:t>
      </w:r>
    </w:p>
    <w:p>
      <w:pPr>
        <w:spacing w:after="0" w:line="223" w:lineRule="exact"/>
        <w:rPr>
          <w:rFonts w:ascii="Arial" w:cs="Arial" w:eastAsia="Arial" w:hAnsi="Arial"/>
          <w:sz w:val="18"/>
          <w:szCs w:val="18"/>
          <w:color w:val="auto"/>
        </w:rPr>
      </w:pPr>
    </w:p>
    <w:p>
      <w:pPr>
        <w:ind w:left="660" w:right="260" w:hanging="329"/>
        <w:spacing w:after="0" w:line="262"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make any expenditures, incur any liabilities, or discharge or satisfy any liabilities in amounts that exceed the limitations set forth in Aviragen’s operating budget delivered to Vaxart concurrently with the execution of the Merger Agreement, in each case, in amounts that exceed the aggregate amount of the Aviragen budget by $300,000;</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 than as required by law or GAAP, take any action to materially change its accounting policies or procedures;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Vaxart has agreed that, except as permitted by the Merger Agreement, as required by law, or unless Aviragen shall have provided written consent, during the period commencing on the date of the Merger Agreement and continuing until the earlier to occur of the closing of the merger and the termination of the Merger Agreement, Vaxart will conduct its business and operations in the ordinary course consistent with past practices and in compliance with all applicable laws, regulations and certain contracts. Vaxart has also agreed that, subject to certain limited exceptions, without the consent of Aviragen, it will not, during the period commencing on the date of the Merger Agreement and continuing until the earlier to occur of the closing of the merger and the termination of the Merger Agreement:</w:t>
      </w:r>
    </w:p>
    <w:p>
      <w:pPr>
        <w:spacing w:after="0" w:line="193" w:lineRule="exact"/>
        <w:rPr>
          <w:sz w:val="20"/>
          <w:szCs w:val="20"/>
          <w:color w:val="auto"/>
        </w:rPr>
      </w:pPr>
    </w:p>
    <w:p>
      <w:pPr>
        <w:jc w:val="both"/>
        <w:ind w:left="660" w:hanging="329"/>
        <w:spacing w:after="0" w:line="262"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of Vaxart; or repurchase, redeem or otherwise reacquire any shares of capital stock or other securities of Vaxart (except for shares of Vaxart common stock from terminated employees, directors or consultants of Vaxart);</w:t>
      </w:r>
    </w:p>
    <w:p>
      <w:pPr>
        <w:spacing w:after="0" w:line="183" w:lineRule="exact"/>
        <w:rPr>
          <w:rFonts w:ascii="Arial" w:cs="Arial" w:eastAsia="Arial" w:hAnsi="Arial"/>
          <w:sz w:val="18"/>
          <w:szCs w:val="18"/>
          <w:color w:val="auto"/>
        </w:rPr>
      </w:pPr>
    </w:p>
    <w:p>
      <w:pPr>
        <w:ind w:left="660" w:right="180" w:hanging="329"/>
        <w:spacing w:after="0" w:line="258"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Vaxart or its subsidiaries,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186" w:lineRule="exact"/>
        <w:rPr>
          <w:rFonts w:ascii="Arial" w:cs="Arial" w:eastAsia="Arial" w:hAnsi="Arial"/>
          <w:sz w:val="18"/>
          <w:szCs w:val="18"/>
          <w:color w:val="auto"/>
        </w:rPr>
      </w:pPr>
    </w:p>
    <w:p>
      <w:pPr>
        <w:ind w:left="660" w:right="20" w:hanging="329"/>
        <w:spacing w:after="0" w:line="25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any capital stock or other security of Vaxart (except for shares of Vaxart common stock issued upon the valid exercise of Vaxart options and up to $25 million of shares of Vaxart capital stock issued in connection with any bona fide equity financing to be completed by Vaxart prior to the closing of the merger); any option, warrant or right to acquire any capital stock or any other security of Vaxart; or any instrument convertible into or exchangeable for any capital stock or other security of Vaxart or its subsidiaries;</w:t>
      </w:r>
    </w:p>
    <w:p>
      <w:pPr>
        <w:spacing w:after="0" w:line="188" w:lineRule="exact"/>
        <w:rPr>
          <w:rFonts w:ascii="Arial" w:cs="Arial" w:eastAsia="Arial" w:hAnsi="Arial"/>
          <w:sz w:val="18"/>
          <w:szCs w:val="18"/>
          <w:color w:val="auto"/>
        </w:rPr>
      </w:pPr>
    </w:p>
    <w:p>
      <w:pPr>
        <w:ind w:left="660" w:hanging="329"/>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223" w:lineRule="exact"/>
        <w:rPr>
          <w:rFonts w:ascii="Arial" w:cs="Arial" w:eastAsia="Arial" w:hAnsi="Arial"/>
          <w:sz w:val="18"/>
          <w:szCs w:val="18"/>
          <w:color w:val="auto"/>
        </w:rPr>
      </w:pPr>
    </w:p>
    <w:p>
      <w:pPr>
        <w:ind w:left="660" w:right="360" w:hanging="329"/>
        <w:spacing w:after="0" w:line="262"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the amounts set forth in Vaxart’s operating budget delivered to Aviragen concurrently with the Merger Agreement;</w:t>
      </w:r>
    </w:p>
    <w:p>
      <w:pPr>
        <w:spacing w:after="0" w:line="183" w:lineRule="exact"/>
        <w:rPr>
          <w:rFonts w:ascii="Arial" w:cs="Arial" w:eastAsia="Arial" w:hAnsi="Arial"/>
          <w:sz w:val="18"/>
          <w:szCs w:val="18"/>
          <w:color w:val="auto"/>
        </w:rPr>
      </w:pPr>
    </w:p>
    <w:p>
      <w:pPr>
        <w:ind w:left="660" w:right="20" w:hanging="329"/>
        <w:spacing w:after="0" w:line="25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than as required by applicable law or the terms of any employee plan as in effect on the date of the Merger Agreement: adopt, establish, terminate or enter into any employee plan; cause or permit any employee plan to be amended in any material respect; pay any bonus or make any profit-sharing or similar payment to, or increase the amount of the wages, salary, commissions or other compensation or remuneration payable to, any of its directors, officers or employees, other than increases in base salary and annual cash bonus opportunities and payments made in the ordinary course of business in accordance with past practices; increase the severance or change of control benefits offered to any current or new employees, directors or consultants; or hire, terminate or give notice of termination to any (x) officer or (y) employee whose annual base salary is expected to be more than $125,000 per year;</w:t>
      </w:r>
    </w:p>
    <w:p>
      <w:pPr>
        <w:spacing w:after="0" w:line="189" w:lineRule="exact"/>
        <w:rPr>
          <w:rFonts w:ascii="Arial" w:cs="Arial" w:eastAsia="Arial" w:hAnsi="Arial"/>
          <w:sz w:val="18"/>
          <w:szCs w:val="18"/>
          <w:color w:val="auto"/>
        </w:rPr>
      </w:pPr>
    </w:p>
    <w:p>
      <w:pPr>
        <w:ind w:left="660" w:hanging="329"/>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recognize any labor union, labor organization, or similar person;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 in accordance with past practices;</w:t>
      </w:r>
    </w:p>
    <w:p>
      <w:pPr>
        <w:spacing w:after="0" w:line="22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 in accordance with past practices;</w:t>
      </w:r>
    </w:p>
    <w:p>
      <w:pPr>
        <w:spacing w:after="0" w:line="169" w:lineRule="exact"/>
        <w:rPr>
          <w:rFonts w:ascii="Arial" w:cs="Arial" w:eastAsia="Arial" w:hAnsi="Arial"/>
          <w:sz w:val="18"/>
          <w:szCs w:val="18"/>
          <w:color w:val="auto"/>
        </w:rPr>
      </w:pPr>
    </w:p>
    <w:p>
      <w:pPr>
        <w:ind w:left="660" w:right="80" w:hanging="329"/>
        <w:spacing w:after="0" w:line="27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Vaxart intellectual property rights (other than pursuant to non-exclusive licenses in the ordinary course of business in accordance with past practices);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materially amend or terminate certain material contracts;</w:t>
      </w:r>
    </w:p>
    <w:p>
      <w:pPr>
        <w:sectPr>
          <w:pgSz w:w="11900" w:h="16838" w:orient="portrait"/>
          <w:cols w:equalWidth="0" w:num="1">
            <w:col w:w="11420"/>
          </w:cols>
          <w:pgMar w:left="240" w:top="11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3" w:name="page124"/>
    <w:bookmarkEnd w:id="12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40" w:hanging="329"/>
        <w:spacing w:after="0" w:line="25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make, change or revoke any tax election; fail to pay any income or other material tax as such tax becomes due and payable, file any amendment making any material change to any tax return; settle or compromise any income or other material tax liability, enter into any tax allocation, sharing, indemnification or other similar agreement or arrangement, request or consent to any extension or waiver of any limitation period with respect to any claim or assessment for any income or other material taxes (other than in connection with any extension of time to file any tax return) or adopt or change any material accounting method in respect of taxes;</w:t>
      </w:r>
    </w:p>
    <w:p>
      <w:pPr>
        <w:spacing w:after="0" w:line="188" w:lineRule="exact"/>
        <w:rPr>
          <w:rFonts w:ascii="Arial" w:cs="Arial" w:eastAsia="Arial" w:hAnsi="Arial"/>
          <w:sz w:val="18"/>
          <w:szCs w:val="18"/>
          <w:color w:val="auto"/>
        </w:rPr>
      </w:pPr>
    </w:p>
    <w:p>
      <w:pPr>
        <w:ind w:left="660" w:right="500" w:hanging="329"/>
        <w:spacing w:after="0" w:line="27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make any expenditures, incur any liabilities or discharge or satisfy any liabilities, in each case, in amounts that exceed the aggregate amount of Vaxart’s operating budget delivered to Aviragen at the time of entering into this agreement by $300,000;</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take any action to materially change its accounting policies other than as required by law or GAAP; or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Each of Aviragen and Vaxart has agreed to use its commercially reasonable efforts to:</w:t>
      </w:r>
    </w:p>
    <w:p>
      <w:pPr>
        <w:spacing w:after="0" w:line="224" w:lineRule="exact"/>
        <w:rPr>
          <w:sz w:val="20"/>
          <w:szCs w:val="20"/>
          <w:color w:val="auto"/>
        </w:rPr>
      </w:pPr>
    </w:p>
    <w:p>
      <w:pPr>
        <w:ind w:left="660" w:right="60" w:hanging="329"/>
        <w:spacing w:after="0" w:line="276"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file or otherwise submit all applications, notices, reports and other documents reasonably required to be filed with a governmental entity with respect to the merger;</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take all actions necessary to satisfy the conditions precedent to the consummation of the transactions contemplated by the Merger Agreement;</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all filings and other submissions and give all notices required to be made and given in connection with the merger;</w:t>
      </w:r>
    </w:p>
    <w:p>
      <w:pPr>
        <w:spacing w:after="0" w:line="22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the other party with reasonable access during normal business hours to such party’s personnel and assets and to all existing books, records, tax returns, work papers and other documents and information relating to such party and its subsidiaries;</w:t>
      </w:r>
    </w:p>
    <w:p>
      <w:pPr>
        <w:spacing w:after="0" w:line="169" w:lineRule="exact"/>
        <w:rPr>
          <w:rFonts w:ascii="Arial" w:cs="Arial" w:eastAsia="Arial" w:hAnsi="Arial"/>
          <w:sz w:val="18"/>
          <w:szCs w:val="18"/>
          <w:color w:val="auto"/>
        </w:rPr>
      </w:pPr>
    </w:p>
    <w:p>
      <w:pPr>
        <w:ind w:left="660" w:right="120" w:hanging="329"/>
        <w:spacing w:after="0" w:line="262"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the other party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w:t>
      </w:r>
    </w:p>
    <w:p>
      <w:pPr>
        <w:spacing w:after="0" w:line="183" w:lineRule="exact"/>
        <w:rPr>
          <w:rFonts w:ascii="Arial" w:cs="Arial" w:eastAsia="Arial" w:hAnsi="Arial"/>
          <w:sz w:val="18"/>
          <w:szCs w:val="18"/>
          <w:color w:val="auto"/>
        </w:rPr>
      </w:pPr>
    </w:p>
    <w:p>
      <w:pPr>
        <w:ind w:left="660" w:right="420" w:hanging="329"/>
        <w:spacing w:after="0" w:line="262"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 as the other party may deem appropriate;</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obtain all consents, approvals or waivers reasonably required in connection with the transactions contemplated by the Merger Agreement;</w:t>
      </w:r>
    </w:p>
    <w:p>
      <w:pPr>
        <w:spacing w:after="0" w:line="235" w:lineRule="exact"/>
        <w:rPr>
          <w:rFonts w:ascii="Arial" w:cs="Arial" w:eastAsia="Arial" w:hAnsi="Arial"/>
          <w:sz w:val="17"/>
          <w:szCs w:val="17"/>
          <w:color w:val="auto"/>
        </w:rPr>
      </w:pPr>
    </w:p>
    <w:p>
      <w:pPr>
        <w:ind w:left="660" w:hanging="329"/>
        <w:spacing w:after="0" w:line="262"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cause this proxy statement/prospectus/information statement to comply with the rules and regulations promulgated by the SEC, to respond promptly to any comments of the SEC or its staff and to have this proxy statement/prospectus/information statement declared effective under the Securities Act as promptly as practicable after it is filed with the SEC;</w:t>
      </w:r>
    </w:p>
    <w:p>
      <w:pPr>
        <w:spacing w:after="0" w:line="183" w:lineRule="exact"/>
        <w:rPr>
          <w:rFonts w:ascii="Arial" w:cs="Arial" w:eastAsia="Arial" w:hAnsi="Arial"/>
          <w:sz w:val="18"/>
          <w:szCs w:val="18"/>
          <w:color w:val="auto"/>
        </w:rPr>
      </w:pPr>
    </w:p>
    <w:p>
      <w:pPr>
        <w:ind w:left="660" w:right="460" w:hanging="329"/>
        <w:spacing w:after="0" w:line="276"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cause this proxy statement/prospectus/information statement to be mailed to Aviragen’s stockholders as promptly as practicable after this proxy statement/prospectus/information statement is declared effective;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lift any injunction prohibiting, or any other legal bar to, the merger or other transactions contemplated by the Merger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and Vaxart agreed that, among other things:</w:t>
      </w:r>
    </w:p>
    <w:p>
      <w:pPr>
        <w:spacing w:after="0" w:line="224" w:lineRule="exact"/>
        <w:rPr>
          <w:sz w:val="20"/>
          <w:szCs w:val="20"/>
          <w:color w:val="auto"/>
        </w:rPr>
      </w:pPr>
    </w:p>
    <w:p>
      <w:pPr>
        <w:ind w:left="660" w:right="440" w:hanging="329"/>
        <w:spacing w:after="0" w:line="276"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Aviragen and Vaxart will use reasonable best efforts to file or otherwise submit all documents reasonable required to be filed with respect to the transactions contemplated by the Merger Agreement;</w:t>
      </w:r>
    </w:p>
    <w:p>
      <w:pPr>
        <w:spacing w:after="0" w:line="169" w:lineRule="exact"/>
        <w:rPr>
          <w:rFonts w:ascii="Arial" w:cs="Arial" w:eastAsia="Arial" w:hAnsi="Arial"/>
          <w:sz w:val="18"/>
          <w:szCs w:val="18"/>
          <w:color w:val="auto"/>
        </w:rPr>
      </w:pPr>
    </w:p>
    <w:p>
      <w:pPr>
        <w:ind w:left="660" w:right="400" w:hanging="329"/>
        <w:spacing w:after="0" w:line="310" w:lineRule="auto"/>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Aviragen shall use commercially reasonable efforts to cause this proxy statement/prospectus/information statement to comply with the rules and regulations promulgated by the SEC, to respond promptly to any comments of the SEC or its staff and to have this proxy statement/prospectus/information statement declared effective under the Securities Act as promptly as practicable after it is filed with the SEC;</w:t>
      </w:r>
    </w:p>
    <w:p>
      <w:pPr>
        <w:spacing w:after="0" w:line="148" w:lineRule="exact"/>
        <w:rPr>
          <w:rFonts w:ascii="Arial" w:cs="Arial" w:eastAsia="Arial" w:hAnsi="Arial"/>
          <w:sz w:val="16"/>
          <w:szCs w:val="16"/>
          <w:color w:val="auto"/>
        </w:rPr>
      </w:pPr>
    </w:p>
    <w:p>
      <w:pPr>
        <w:ind w:left="660" w:right="40" w:hanging="329"/>
        <w:spacing w:after="0" w:line="258"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Aviragen and Vaxart will confer to determine whether notification under the HSR Act by Aviragen or any Vaxart shareholder is required or advisable and if it is determined in good faith that such notification is required, Aviragen shall use its reasonable best efforts to obtain expiration or termination of all waiting periods under the HSR Act with respect to the transactions contemplated by the merger agreement as promptly as reasonably practicable;</w:t>
      </w:r>
    </w:p>
    <w:p>
      <w:pPr>
        <w:sectPr>
          <w:pgSz w:w="11900" w:h="16838" w:orient="portrait"/>
          <w:cols w:equalWidth="0" w:num="1">
            <w:col w:w="11400"/>
          </w:cols>
          <w:pgMar w:left="240" w:top="118" w:right="2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4" w:name="page125"/>
    <w:bookmarkEnd w:id="12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120" w:hanging="329"/>
        <w:spacing w:after="0" w:line="285"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Aviragen and Vaxart will notify each other if either party becomes aware of any notice alleging that the consent of any person is required in connection with the merger, of any legal proceeding against the other party, of any material inaccuracy in any representations or warranties made by such party, or the failure of such party to comply with any covenant or obligation under the Merger Agreement;</w:t>
      </w:r>
    </w:p>
    <w:p>
      <w:pPr>
        <w:spacing w:after="0" w:line="164" w:lineRule="exact"/>
        <w:rPr>
          <w:rFonts w:ascii="Arial" w:cs="Arial" w:eastAsia="Arial" w:hAnsi="Arial"/>
          <w:sz w:val="17"/>
          <w:szCs w:val="17"/>
          <w:color w:val="auto"/>
        </w:rPr>
      </w:pPr>
    </w:p>
    <w:p>
      <w:pPr>
        <w:ind w:left="660" w:hanging="329"/>
        <w:spacing w:after="0" w:line="25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purposes of employee benefits provided under any benefit plans or arrangements after the closing of the merger, each employee who continues to be employed by Aviragen, Vaxart or their subsidiaries immediately following such closing shall be credited with his/her years of service with Aviragen, Vaxart or their subsidiaries. In addition, Aviragen shall cause all pre-existing condition exclusions and actively at work requirements of any benefit plans in effect after closing to be waived for any such employee;</w:t>
      </w:r>
    </w:p>
    <w:p>
      <w:pPr>
        <w:spacing w:after="0" w:line="186" w:lineRule="exact"/>
        <w:rPr>
          <w:rFonts w:ascii="Arial" w:cs="Arial" w:eastAsia="Arial" w:hAnsi="Arial"/>
          <w:sz w:val="18"/>
          <w:szCs w:val="18"/>
          <w:color w:val="auto"/>
        </w:rPr>
      </w:pPr>
    </w:p>
    <w:p>
      <w:pPr>
        <w:ind w:left="660" w:hanging="329"/>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Aviragen will use reasonable best efforts to keep this registration statement on Form S-4 effective as long as necessary to complete the merger;</w:t>
      </w:r>
    </w:p>
    <w:p>
      <w:pPr>
        <w:spacing w:after="0" w:line="246" w:lineRule="exact"/>
        <w:rPr>
          <w:rFonts w:ascii="Arial" w:cs="Arial" w:eastAsia="Arial" w:hAnsi="Arial"/>
          <w:sz w:val="16"/>
          <w:szCs w:val="16"/>
          <w:color w:val="auto"/>
        </w:rPr>
      </w:pPr>
    </w:p>
    <w:p>
      <w:pPr>
        <w:ind w:left="660" w:right="360" w:hanging="329"/>
        <w:spacing w:after="0" w:line="262"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Vaxart will use commercially reasonable efforts to deliver a letter from Vaxart’s independent accounting firm to Aviragen in a form customary in scope and substance for letters delivered by independent public accountants in connection with registration statements similar to this proxy statement/prospectus/information statement;</w:t>
      </w:r>
    </w:p>
    <w:p>
      <w:pPr>
        <w:spacing w:after="0" w:line="183" w:lineRule="exact"/>
        <w:rPr>
          <w:rFonts w:ascii="Arial" w:cs="Arial" w:eastAsia="Arial" w:hAnsi="Arial"/>
          <w:sz w:val="18"/>
          <w:szCs w:val="18"/>
          <w:color w:val="auto"/>
        </w:rPr>
      </w:pPr>
    </w:p>
    <w:p>
      <w:pPr>
        <w:ind w:left="660" w:right="760" w:hanging="329"/>
        <w:spacing w:after="0" w:line="276"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Vaxart will use commercially reasonable efforts and take any action reasonably necessary to mitigate and/or minimize the impact of the tax consequences of Section 280G of the Code;</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Aviragen will use reasonable best efforts to maintain the listing of its common stock on the Nasdaq Capital Market;</w:t>
      </w:r>
    </w:p>
    <w:p>
      <w:pPr>
        <w:spacing w:after="0" w:line="223" w:lineRule="exact"/>
        <w:rPr>
          <w:rFonts w:ascii="Arial" w:cs="Arial" w:eastAsia="Arial" w:hAnsi="Arial"/>
          <w:sz w:val="18"/>
          <w:szCs w:val="18"/>
          <w:color w:val="auto"/>
        </w:rPr>
      </w:pPr>
    </w:p>
    <w:p>
      <w:pPr>
        <w:ind w:left="660" w:right="100" w:hanging="329"/>
        <w:spacing w:after="0" w:line="25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Aviragen shall use commercially reasonable efforts to prepare and submit to Nasdaq a notification form for the listing of the shares of Aviragen common stock to be issued pursuant to the Merger Agreement and to cause such shares to be approved for listing and shall, to the extent required by Nasdaq rules, to file an initial listing application for the Aviragen common stock on Nasdaq and to cause such listing application to be conditionally approved prior to the Effective Time.</w:t>
      </w:r>
    </w:p>
    <w:p>
      <w:pPr>
        <w:spacing w:after="0" w:line="186" w:lineRule="exact"/>
        <w:rPr>
          <w:rFonts w:ascii="Arial" w:cs="Arial" w:eastAsia="Arial" w:hAnsi="Arial"/>
          <w:sz w:val="18"/>
          <w:szCs w:val="18"/>
          <w:color w:val="auto"/>
        </w:rPr>
      </w:pPr>
    </w:p>
    <w:p>
      <w:pPr>
        <w:ind w:left="660" w:right="260" w:hanging="329"/>
        <w:spacing w:after="0" w:line="276"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a period of six years after the closing of the Merger, Aviragen and Vaxart as the surviving corporation in the merger will indemnify each of the directors and officers of Aviragen and Vaxart to the fullest extent permitted under applicable law; and</w:t>
      </w:r>
    </w:p>
    <w:p>
      <w:pPr>
        <w:spacing w:after="0" w:line="169" w:lineRule="exact"/>
        <w:rPr>
          <w:rFonts w:ascii="Arial" w:cs="Arial" w:eastAsia="Arial" w:hAnsi="Arial"/>
          <w:sz w:val="18"/>
          <w:szCs w:val="18"/>
          <w:color w:val="auto"/>
        </w:rPr>
      </w:pPr>
    </w:p>
    <w:p>
      <w:pPr>
        <w:ind w:left="660" w:right="40" w:hanging="329"/>
        <w:spacing w:after="0" w:line="262"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Aviragen will maintain directors’ and officers’ liability insurance policies from and after the Effective Time and will also purchase a six-year prepaid “tail policy” for the non-cancellable extension of the directors’ and officers’ liability coverage of Aviragen’s existing directors’ and officers’ insurance policies for a period of at least six years from the Effective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28"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Merger Agreement may be terminated at any time before the closing of the merger, whether before or after the required stockholder approvals to complete the merger, issue additional Aviragen common stock and consummate the reverse stock split, as applicable, have been obtained, as set forth below:</w:t>
      </w:r>
    </w:p>
    <w:p>
      <w:pPr>
        <w:spacing w:after="0" w:line="125" w:lineRule="exact"/>
        <w:rPr>
          <w:sz w:val="20"/>
          <w:szCs w:val="20"/>
          <w:color w:val="auto"/>
        </w:rPr>
      </w:pPr>
    </w:p>
    <w:p>
      <w:pPr>
        <w:ind w:left="660" w:hanging="329"/>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mutual written consent duly authorized by the board of directors of each of Aviragen and Vaxart;</w:t>
      </w:r>
    </w:p>
    <w:p>
      <w:pPr>
        <w:spacing w:after="0" w:line="223" w:lineRule="exact"/>
        <w:rPr>
          <w:rFonts w:ascii="Arial" w:cs="Arial" w:eastAsia="Arial" w:hAnsi="Arial"/>
          <w:sz w:val="18"/>
          <w:szCs w:val="18"/>
          <w:color w:val="auto"/>
        </w:rPr>
      </w:pPr>
    </w:p>
    <w:p>
      <w:pPr>
        <w:ind w:left="660" w:right="40" w:hanging="329"/>
        <w:spacing w:after="0" w:line="254"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either Aviragen or Vaxart if the merger has not been consummated by April 30, 2018 (subject to possible extension as provided in the merger agreement, referred to as the “outside date”); provided, however, that this right to terminate the Merger Agreement will not be available to any party whose action or failure to act has been a principal cause of the failure of the merger to occur on or before such date and such action or failure to act constitutes a breach of the Merger Agreement, and if a request for additional information has been made by any government authority, or in the event that the SEC has not declared effective the registration statement on Form S-4, of which this proxy statement/prospectus/information statement is a part, by the date that is 60 days prior to the outside date, either party will be entitled to extend the outside date for an additional 60 days by written notice to the other party;</w:t>
      </w:r>
    </w:p>
    <w:p>
      <w:pPr>
        <w:spacing w:after="0" w:line="189" w:lineRule="exact"/>
        <w:rPr>
          <w:rFonts w:ascii="Arial" w:cs="Arial" w:eastAsia="Arial" w:hAnsi="Arial"/>
          <w:sz w:val="18"/>
          <w:szCs w:val="18"/>
          <w:color w:val="auto"/>
        </w:rPr>
      </w:pPr>
    </w:p>
    <w:p>
      <w:pPr>
        <w:ind w:left="660" w:right="20" w:hanging="329"/>
        <w:spacing w:after="0" w:line="276"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Aviragen or Vaxart if a court of competent jurisdiction or governmental entity has issued a final and nonappealable order, decree or ruling or taken any other action that permanently restrains, enjoins or otherwise prohibits the merger;</w:t>
      </w:r>
    </w:p>
    <w:p>
      <w:pPr>
        <w:spacing w:after="0" w:line="169" w:lineRule="exact"/>
        <w:rPr>
          <w:rFonts w:ascii="Arial" w:cs="Arial" w:eastAsia="Arial" w:hAnsi="Arial"/>
          <w:sz w:val="18"/>
          <w:szCs w:val="18"/>
          <w:color w:val="auto"/>
        </w:rPr>
      </w:pPr>
    </w:p>
    <w:p>
      <w:pPr>
        <w:ind w:left="660" w:right="260" w:hanging="329"/>
        <w:spacing w:after="0" w:line="258"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Aviragen if Vaxart did not obtain the written consent of a requisite number of its stockholders necessary to adopt the Merger Agreement and approve the merger and related matters within 3 business days of the registration statement on Form S-4, of which this proxy statement/prospectus/information statement is a part, becoming effective, but this right to terminate the Merger Agreement will not be available to Aviragen once Vaxart obtains such approval;</w:t>
      </w:r>
    </w:p>
    <w:p>
      <w:pPr>
        <w:spacing w:after="0" w:line="186" w:lineRule="exact"/>
        <w:rPr>
          <w:rFonts w:ascii="Arial" w:cs="Arial" w:eastAsia="Arial" w:hAnsi="Arial"/>
          <w:sz w:val="18"/>
          <w:szCs w:val="18"/>
          <w:color w:val="auto"/>
        </w:rPr>
      </w:pPr>
    </w:p>
    <w:p>
      <w:pPr>
        <w:ind w:left="660" w:right="500" w:hanging="329"/>
        <w:spacing w:after="0" w:line="276"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Aviragen or Vaxart if the stockholders of Aviragen do not approve the issuance of shares of Aviragen common stock pursuant to the Merger Agreement at the Aviragen stockholders’ meeting (including any adjournments and postponements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500" w:hanging="329"/>
        <w:spacing w:after="0" w:line="27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Vaxart, at any time prior to the approval by Aviragen’s stockholders of the issuance of the shares of Aviragen common stock pursuant to the merger, if:</w:t>
      </w:r>
    </w:p>
    <w:p>
      <w:pPr>
        <w:spacing w:after="0" w:line="169" w:lineRule="exact"/>
        <w:rPr>
          <w:rFonts w:ascii="Arial" w:cs="Arial" w:eastAsia="Arial" w:hAnsi="Arial"/>
          <w:sz w:val="18"/>
          <w:szCs w:val="18"/>
          <w:color w:val="auto"/>
        </w:rPr>
      </w:pPr>
    </w:p>
    <w:p>
      <w:pPr>
        <w:ind w:left="1300" w:right="460" w:hanging="323"/>
        <w:spacing w:after="0" w:line="262"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Aviragen board of directors fails to include in this proxy statement/prospectus/information statement its recommendation that the stockholders of Aviragen vote to approve the issuance of shares of Aviragen common stock pursuant to the Merger Agreement and the reverse stock split;</w:t>
      </w:r>
    </w:p>
    <w:p>
      <w:pPr>
        <w:spacing w:after="0" w:line="183" w:lineRule="exact"/>
        <w:rPr>
          <w:rFonts w:ascii="Arial" w:cs="Arial" w:eastAsia="Arial" w:hAnsi="Arial"/>
          <w:sz w:val="18"/>
          <w:szCs w:val="18"/>
          <w:color w:val="auto"/>
        </w:rPr>
      </w:pPr>
    </w:p>
    <w:p>
      <w:pPr>
        <w:ind w:left="1300" w:right="80" w:hanging="323"/>
        <w:spacing w:after="0" w:line="262"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Aviragen Board of directors withholds, amends, withdraws or modifies a previous recommendation to Aviragen stockholders to vote to approve the issuance of shares of Aviragen common stock pursuant to the Merger Agreement and the reverse stock split, in a manner adverse to Vaxart;</w:t>
      </w:r>
    </w:p>
    <w:p>
      <w:pPr>
        <w:spacing w:after="0" w:line="183" w:lineRule="exact"/>
        <w:rPr>
          <w:rFonts w:ascii="Arial" w:cs="Arial" w:eastAsia="Arial" w:hAnsi="Arial"/>
          <w:sz w:val="18"/>
          <w:szCs w:val="18"/>
          <w:color w:val="auto"/>
        </w:rPr>
      </w:pPr>
    </w:p>
    <w:p>
      <w:pPr>
        <w:ind w:left="1300" w:right="280" w:hanging="323"/>
        <w:spacing w:after="0" w:line="276"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Aviragen board of directors approves, endorses or recommends any acquisition proposal, as defined in the section titled “The Merger Agreement—Non-Solicitation”; or</w:t>
      </w:r>
    </w:p>
    <w:p>
      <w:pPr>
        <w:spacing w:after="0" w:line="169" w:lineRule="exact"/>
        <w:rPr>
          <w:rFonts w:ascii="Arial" w:cs="Arial" w:eastAsia="Arial" w:hAnsi="Arial"/>
          <w:sz w:val="18"/>
          <w:szCs w:val="18"/>
          <w:color w:val="auto"/>
        </w:rPr>
      </w:pPr>
    </w:p>
    <w:p>
      <w:pPr>
        <w:ind w:left="1300" w:right="80" w:hanging="323"/>
        <w:spacing w:after="0" w:line="276"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Aviragen enters into any letter of intent or similar document or any contract relating to any acquisition proposal, other than a confidentiality agreement permitted pursuant to the Merger Agreement; or</w:t>
      </w:r>
    </w:p>
    <w:p>
      <w:pPr>
        <w:spacing w:after="0" w:line="169" w:lineRule="exact"/>
        <w:rPr>
          <w:rFonts w:ascii="Arial" w:cs="Arial" w:eastAsia="Arial" w:hAnsi="Arial"/>
          <w:sz w:val="18"/>
          <w:szCs w:val="18"/>
          <w:color w:val="auto"/>
        </w:rPr>
      </w:pPr>
    </w:p>
    <w:p>
      <w:pPr>
        <w:ind w:left="660" w:right="160" w:hanging="329"/>
        <w:spacing w:after="0" w:line="292"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by Aviragen or Vaxart if the other party to the Merger Agreement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if such breach or inaccuracy is curable by the outside date, then the Merger Agreement will not terminate pursuant to this provision as a result of a particular breach or inaccuracy until the expiration of a 30-day period after delivery of written notice of such breach or inaccuracy and the intention to terminate, provided that the terminating party is not itself in material breach of any representation, warranty, covenant or agreement contained in the Merger Agreement.</w:t>
      </w:r>
    </w:p>
    <w:p>
      <w:pPr>
        <w:spacing w:after="0" w:line="164" w:lineRule="exact"/>
        <w:rPr>
          <w:rFonts w:ascii="Arial" w:cs="Arial" w:eastAsia="Arial" w:hAnsi="Arial"/>
          <w:sz w:val="16"/>
          <w:szCs w:val="16"/>
          <w:color w:val="auto"/>
        </w:rPr>
      </w:pPr>
    </w:p>
    <w:p>
      <w:pPr>
        <w:ind w:left="660" w:right="80" w:hanging="329"/>
        <w:spacing w:after="0" w:line="25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Vaxart, at any time, upon the occurrence of any event, effect, change, circumstance or development that has had or would reasonably be expected to have had a material adverse effect on the business, condition (financial or otherwise), liabilities, assets or results of operations of Aviragen. The Merger Agreement provides that certain effects, events, changes, circumstances or developments shall not be considered a material adverse effect on Aviragen.</w:t>
      </w:r>
    </w:p>
    <w:p>
      <w:pPr>
        <w:spacing w:after="0" w:line="186" w:lineRule="exact"/>
        <w:rPr>
          <w:rFonts w:ascii="Arial" w:cs="Arial" w:eastAsia="Arial" w:hAnsi="Arial"/>
          <w:sz w:val="18"/>
          <w:szCs w:val="18"/>
          <w:color w:val="auto"/>
        </w:rPr>
      </w:pPr>
    </w:p>
    <w:p>
      <w:pPr>
        <w:ind w:left="660" w:right="100" w:hanging="329"/>
        <w:spacing w:after="0" w:line="25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Aviragen, at any time, upon the occurrence of any event, effect, change, circumstance or development that has had or would reasonably be expected to have had a material adverse effect on the business, condition (financial or otherwise), liabilities, assets or results of operations of Vaxart. The Merger Agreement provides that certain effects, events, changes, circumstances or developments shall not be considered a material adverse effect on Vaxart.</w:t>
      </w:r>
    </w:p>
    <w:p>
      <w:pPr>
        <w:spacing w:after="0" w:line="186" w:lineRule="exact"/>
        <w:rPr>
          <w:rFonts w:ascii="Arial" w:cs="Arial" w:eastAsia="Arial" w:hAnsi="Arial"/>
          <w:sz w:val="18"/>
          <w:szCs w:val="18"/>
          <w:color w:val="auto"/>
        </w:rPr>
      </w:pPr>
    </w:p>
    <w:p>
      <w:pPr>
        <w:ind w:left="660" w:right="20" w:hanging="329"/>
        <w:spacing w:after="0" w:line="27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by Aviragen, at any time, if Aviragen has received a “superior offer” (as defined above), Aviragen has complied with its obligations under the Merger Agreement to accept such superior offer, Aviragen concurrently terminates the Merger Agreement and enters into a definitive agreement that contemplated or relates to an “acquisition transaction” (as defined above) that constitutes a superior offer and within 2 business days of such termination, Aviragen pays the applicable termination fees to Vaxart as contemplated by the Merger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payable by Aviragen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must pay Vaxart a termination fee of $1.95 million in certain specific scenarios. If</w:t>
      </w:r>
    </w:p>
    <w:p>
      <w:pPr>
        <w:spacing w:after="0" w:line="224" w:lineRule="exact"/>
        <w:rPr>
          <w:sz w:val="20"/>
          <w:szCs w:val="20"/>
          <w:color w:val="auto"/>
        </w:rPr>
      </w:pPr>
    </w:p>
    <w:p>
      <w:pPr>
        <w:ind w:left="660" w:right="60" w:hanging="329"/>
        <w:spacing w:after="0" w:line="276"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Merger Agreement is terminated by Vaxart (at any time prior to Aviragen’s stockholders’ approval of the issuance of shares of Aviragen common stock pursuant to the Merger Agreement) because:</w:t>
      </w:r>
    </w:p>
    <w:p>
      <w:pPr>
        <w:spacing w:after="0" w:line="169" w:lineRule="exact"/>
        <w:rPr>
          <w:rFonts w:ascii="Arial" w:cs="Arial" w:eastAsia="Arial" w:hAnsi="Arial"/>
          <w:sz w:val="18"/>
          <w:szCs w:val="18"/>
          <w:color w:val="auto"/>
        </w:rPr>
      </w:pPr>
    </w:p>
    <w:p>
      <w:pPr>
        <w:ind w:left="980" w:right="120" w:hanging="326"/>
        <w:spacing w:after="0" w:line="262"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Aviragen failed to include in this proxy statement the recommendation of the Aviragen board of directors that Aviragen’s stockholders approval the issuance of shares of Aviragen common stock pursuant to the Merger Agreement and the reverse stock split or made an adverse recommendation change to Aviragen’s stockholders;</w:t>
      </w:r>
    </w:p>
    <w:p>
      <w:pPr>
        <w:spacing w:after="0" w:line="183" w:lineRule="exact"/>
        <w:rPr>
          <w:rFonts w:ascii="Arial" w:cs="Arial" w:eastAsia="Arial" w:hAnsi="Arial"/>
          <w:sz w:val="18"/>
          <w:szCs w:val="18"/>
          <w:color w:val="auto"/>
        </w:rPr>
      </w:pPr>
    </w:p>
    <w:p>
      <w:pPr>
        <w:ind w:left="980" w:right="60" w:hanging="326"/>
        <w:spacing w:after="0" w:line="276"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Aviragen board of directors or any committee thereof has publicly approved, endorsed or recommended any alternative acquisition proposal; or</w:t>
      </w:r>
    </w:p>
    <w:p>
      <w:pPr>
        <w:spacing w:after="0" w:line="169" w:lineRule="exact"/>
        <w:rPr>
          <w:rFonts w:ascii="Arial" w:cs="Arial" w:eastAsia="Arial" w:hAnsi="Arial"/>
          <w:sz w:val="18"/>
          <w:szCs w:val="18"/>
          <w:color w:val="auto"/>
        </w:rPr>
      </w:pPr>
    </w:p>
    <w:p>
      <w:pPr>
        <w:ind w:left="980" w:right="360" w:hanging="326"/>
        <w:spacing w:after="0" w:line="276" w:lineRule="auto"/>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Aviragen has entered into any letter of intent or similar document or any contract relating to any acquisition proposal (other than a permitted confidentially agreement);</w:t>
      </w:r>
    </w:p>
    <w:p>
      <w:pPr>
        <w:spacing w:after="0" w:line="169" w:lineRule="exact"/>
        <w:rPr>
          <w:rFonts w:ascii="Arial" w:cs="Arial" w:eastAsia="Arial" w:hAnsi="Arial"/>
          <w:sz w:val="18"/>
          <w:szCs w:val="18"/>
          <w:color w:val="auto"/>
        </w:rPr>
      </w:pPr>
    </w:p>
    <w:p>
      <w:pPr>
        <w:ind w:left="660" w:right="180" w:hanging="329"/>
        <w:spacing w:after="0" w:line="276"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acquisition proposal with respect to Aviragen has been publicly announced or disclosed or otherwise communicated to Aviragen or the Aviragen board of directors after the date of the Merger Agreement but prior to the termination of the Merger Agreement; or</w:t>
      </w:r>
    </w:p>
    <w:p>
      <w:pPr>
        <w:spacing w:after="0" w:line="169" w:lineRule="exact"/>
        <w:rPr>
          <w:rFonts w:ascii="Arial" w:cs="Arial" w:eastAsia="Arial" w:hAnsi="Arial"/>
          <w:sz w:val="18"/>
          <w:szCs w:val="18"/>
          <w:color w:val="auto"/>
        </w:rPr>
      </w:pPr>
    </w:p>
    <w:p>
      <w:pPr>
        <w:ind w:left="660" w:hanging="329"/>
        <w:spacing w:after="0" w:line="262"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within twelve months after the date of such termination of the Merger Agreement, Aviragen enters into a definitive agreement for a “subsequent transaction” in respect of such acquisition proposal, then Aviragen shall pay to Vaxart an termination fee of $1.95 million within two business days of the consummation of such subsequent transaction.</w:t>
      </w:r>
    </w:p>
    <w:p>
      <w:pPr>
        <w:sectPr>
          <w:pgSz w:w="11900" w:h="16838" w:orient="portrait"/>
          <w:cols w:equalWidth="0" w:num="1">
            <w:col w:w="11400"/>
          </w:cols>
          <w:pgMar w:left="240" w:top="118" w:right="25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26" w:name="page127"/>
    <w:bookmarkEnd w:id="12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“subsequent transaction” is</w:t>
      </w:r>
    </w:p>
    <w:p>
      <w:pPr>
        <w:spacing w:after="0" w:line="224" w:lineRule="exact"/>
        <w:rPr>
          <w:sz w:val="20"/>
          <w:szCs w:val="20"/>
          <w:color w:val="auto"/>
        </w:rPr>
      </w:pPr>
    </w:p>
    <w:p>
      <w:pPr>
        <w:ind w:left="660" w:right="380" w:hanging="329"/>
        <w:spacing w:after="0" w:line="276"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merger, consolidation, amalgamation, share exchange, business combination, issuance of securities, acquisition of securities, reorganization, recapitalization, tender offer, exchange offer or other similar transaction:</w:t>
      </w:r>
    </w:p>
    <w:p>
      <w:pPr>
        <w:spacing w:after="0" w:line="169" w:lineRule="exact"/>
        <w:rPr>
          <w:rFonts w:ascii="Arial" w:cs="Arial" w:eastAsia="Arial" w:hAnsi="Arial"/>
          <w:sz w:val="18"/>
          <w:szCs w:val="18"/>
          <w:color w:val="auto"/>
        </w:rPr>
      </w:pPr>
    </w:p>
    <w:p>
      <w:pPr>
        <w:ind w:left="980" w:hanging="326"/>
        <w:spacing w:after="0"/>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which a party is constituent entity,</w:t>
      </w:r>
    </w:p>
    <w:p>
      <w:pPr>
        <w:spacing w:after="0" w:line="223" w:lineRule="exact"/>
        <w:rPr>
          <w:rFonts w:ascii="Arial" w:cs="Arial" w:eastAsia="Arial" w:hAnsi="Arial"/>
          <w:sz w:val="18"/>
          <w:szCs w:val="18"/>
          <w:color w:val="auto"/>
        </w:rPr>
      </w:pPr>
    </w:p>
    <w:p>
      <w:pPr>
        <w:jc w:val="both"/>
        <w:ind w:left="980" w:right="140" w:hanging="326"/>
        <w:spacing w:after="0" w:line="262"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which a person or a “group” (as defined in the Exchange Act and the rules promulgated thereunder) of persons directly or indirectly acquires beneficial or record ownership of securities representing more than 50% of the outstanding securities of any class of voting securities of a party or any of its subsidiaries; or</w:t>
      </w:r>
    </w:p>
    <w:p>
      <w:pPr>
        <w:spacing w:after="0" w:line="183" w:lineRule="exact"/>
        <w:rPr>
          <w:rFonts w:ascii="Arial" w:cs="Arial" w:eastAsia="Arial" w:hAnsi="Arial"/>
          <w:sz w:val="18"/>
          <w:szCs w:val="18"/>
          <w:color w:val="auto"/>
        </w:rPr>
      </w:pPr>
    </w:p>
    <w:p>
      <w:pPr>
        <w:ind w:left="980" w:hanging="326"/>
        <w:spacing w:after="0"/>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50% of the outstanding securities of such party or any of its subsidiaries; or</w:t>
      </w:r>
    </w:p>
    <w:p>
      <w:pPr>
        <w:spacing w:after="0" w:line="223" w:lineRule="exact"/>
        <w:rPr>
          <w:rFonts w:ascii="Arial" w:cs="Arial" w:eastAsia="Arial" w:hAnsi="Arial"/>
          <w:sz w:val="18"/>
          <w:szCs w:val="18"/>
          <w:color w:val="auto"/>
        </w:rPr>
      </w:pPr>
    </w:p>
    <w:p>
      <w:pPr>
        <w:ind w:left="660" w:right="60" w:hanging="329"/>
        <w:spacing w:after="0" w:line="306"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 or businesses or assets that constitute or account for 50% or more of the consolidated book value or the fair market value of the assets of a party and its subsidiaries take as a whole.</w:t>
      </w:r>
    </w:p>
    <w:p>
      <w:pPr>
        <w:spacing w:after="0" w:line="14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addition, if the Merger Agreement is terminated by Aviragen because (a) Aviragen has received a “superior offer” (as defined above), (b) Aviragen has complied with its obligations under the Merger Agreement in order to accept such superior offer, and (c) Aviragen concurrently terminates the Merger Agreement and enters into a permitted alternative agreement with respect to such superior offer, then Aviragen shall pay to Vaxart a termination fee of $1.95 million within two business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Merger Agreement may be amended by the parties at any time, except that after the Merger Agreement has been adopted and approved by the stockholders of Aviragen or Vaxart, no amendment which by law requires further approval by the stockholders of Aviragen or Vaxart, as the case may be, shall be made without such further approval.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AGREEMENTS RELATED TO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 and Written Consent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Vaxart</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Certain Vaxart stockholders are party to a support agreement with Aviragen, Agora Merger Sub and Vaxart pursuant to which, among other things, each such stockholder agreed, solely in their capacity as a Vaxart stockholder, to vote all of their shares of Vaxart capital stock in favor of the adoption and approval of the Merger Agreement and the transactions contemplated thereby and to acknowledge that the adoption and approval of the Merger Agreement is irrevocable. In addition, these Vaxart stockholders agreed not to, directly or indirectly, knowingly take any action that Vaxart is not permitted to take under the non-solicitation provisions of the Merger Agreement. The parties to these support agreements with Aviragen, Agora Merger Sub and Vaxart are:</w:t>
      </w:r>
    </w:p>
    <w:p>
      <w:pPr>
        <w:spacing w:after="0" w:line="161" w:lineRule="exact"/>
        <w:rPr>
          <w:sz w:val="20"/>
          <w:szCs w:val="20"/>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Care Capital Investments III, LP</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Care Capital Offshore Investments III, LP.</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Frances Chang</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Michael J. Finney,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John M. Harland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Wouter W. Latour, M.D.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Life Science Angel Investors III, LLC</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David Liebowitz, M.D.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Sean N. Tucker, Ph.D.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Vaxart stockholders that are party to a support agreement with Aviragen consist of:</w:t>
      </w:r>
    </w:p>
    <w:p>
      <w:pPr>
        <w:spacing w:after="0" w:line="224" w:lineRule="exact"/>
        <w:rPr>
          <w:sz w:val="20"/>
          <w:szCs w:val="20"/>
          <w:color w:val="auto"/>
        </w:rPr>
      </w:pPr>
    </w:p>
    <w:p>
      <w:pPr>
        <w:ind w:left="660" w:right="140" w:hanging="329"/>
        <w:spacing w:after="0" w:line="27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common stock and preferred stock each outstanding on the record date and entitled to vote thereon (voting as a single class);</w:t>
      </w:r>
    </w:p>
    <w:p>
      <w:pPr>
        <w:spacing w:after="0" w:line="169" w:lineRule="exact"/>
        <w:rPr>
          <w:rFonts w:ascii="Arial" w:cs="Arial" w:eastAsia="Arial" w:hAnsi="Arial"/>
          <w:sz w:val="18"/>
          <w:szCs w:val="18"/>
          <w:color w:val="auto"/>
        </w:rPr>
      </w:pPr>
    </w:p>
    <w:p>
      <w:pPr>
        <w:ind w:left="660" w:right="60" w:hanging="329"/>
        <w:spacing w:after="0" w:line="27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common stock each outstanding on the record date and entitled to vote thereon (voting as a separate class); and</w:t>
      </w:r>
    </w:p>
    <w:p>
      <w:pPr>
        <w:spacing w:after="0" w:line="169" w:lineRule="exact"/>
        <w:rPr>
          <w:rFonts w:ascii="Arial" w:cs="Arial" w:eastAsia="Arial" w:hAnsi="Arial"/>
          <w:sz w:val="18"/>
          <w:szCs w:val="18"/>
          <w:color w:val="auto"/>
        </w:rPr>
      </w:pPr>
    </w:p>
    <w:p>
      <w:pPr>
        <w:ind w:left="660" w:right="40" w:hanging="329"/>
        <w:spacing w:after="0" w:line="27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a majority of the shares of Vaxart Series B Preferred Stock and Series C Preferred Stock outstanding on the record date and entitled to vote thereon (voting as a separate class).</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holders of a sufficient number of shares of Vaxart capital stock required to approve and adopt the Merger Agreement and approve the merger and related transactions are contractually obligated to approve and adopt the Merger Agreement. Following the effectiveness of the registration statement of which this proxy statement/prospectus/information statement is a part such holders will execute written consents to approve and adopt the Merger Agreement and approve the merger and related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Aviragen</w:t>
      </w:r>
    </w:p>
    <w:p>
      <w:pPr>
        <w:spacing w:after="0" w:line="22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Certain Aviragen stockholders are party to a support agreement with Aviragen, Agora Merger Sub and Vaxart pursuant to which, among other things, each of such stockholders agreed, solely in their capacity as a stockholder, to vote all of their shares of Aviragen common stock in favor of the approval of the issuance of shares of Aviragen common stock pursuant to the Merger Agreement and the reverse stock split of Aviragen common stock. In addition, these Aviragen stockholders agreed not to, directly or indirectly, knowingly take any action that Aviragen is not permitted to take under the non-solicitation provisions of the Merger Agreement. The parties to these support agreements with Aviragen, Agora Merger Sub and Vaxart are:</w:t>
      </w:r>
    </w:p>
    <w:p>
      <w:pPr>
        <w:spacing w:after="0" w:line="161" w:lineRule="exact"/>
        <w:rPr>
          <w:sz w:val="20"/>
          <w:szCs w:val="20"/>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Armando Anido</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Mark P. Colonnese</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Geoffrey F. Cox,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Michael R. Dougherty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Michael W. Dunne, M.D.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Joseph M. Patti, Ph.D.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Russell H. Plumb</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John P. Richard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Anne M. VanLent</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stockholders of Aviragen that are party to a support agreement with Aviragen, Agora Merger Sub and Vaxart consist of the holders of an aggregate of 371,341 shares of Aviragen common stock, representing less than 1% of the outstanding shares of Aviragen common stock as of December 27, 2017. These stockholders are solely comprised of the executive officers and directors of Aviragen.</w:t>
      </w:r>
    </w:p>
    <w:p>
      <w:pPr>
        <w:sectPr>
          <w:pgSz w:w="11900" w:h="16838" w:orient="portrait"/>
          <w:cols w:equalWidth="0" w:num="1">
            <w:col w:w="11340"/>
          </w:cols>
          <w:pgMar w:left="240" w:top="118" w:right="319" w:bottom="1440" w:gutter="0" w:footer="0" w:header="0"/>
        </w:sectPr>
      </w:pP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128" w:name="page129"/>
    <w:bookmarkEnd w:id="12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Vaxart</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condition to the closing of the merger, Vaxart’s directors, executive officers and principal stockholders, who will beneficially hold approximately 78.5% of the combined company’s capital stock immediately following the closing of the merger, have entered into lock-up agreements, pursuant to which such parties have agreed not to, except in limited circumstances, transfer, grant an option with respect to, sell, exchange, pledge or otherwise dispose of, or encumber any shares of Vaxart capital stock prior to the closing of the merger, and the combined company’s common stock thereafter, for 180 days following the Effective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Aviragen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 of Aviragen’s stockholders have entered into lock-up agreements.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MATTERS BEING SUBMITTED TO A VOTE OF AVIRAGEN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 Proposal No. 1 (the Stock Issuance Proposal): Approval of the Issuance of Common Stock in the Merger</w:t>
      </w:r>
    </w:p>
    <w:p>
      <w:pPr>
        <w:spacing w:after="0" w:line="22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At the Aviragen special meeting, Aviragen stockholders will be asked to approve the issuance of shares of Aviragen common stock pursuant to the Merger Agreement. Immediately following the merger, it is expected that Vaxart securityholders will own approximately 60% of the outstanding capital stock of the combined company, and the Aviragen securityholders will own approximately 40% of the outstanding capital stock of the combined company.</w:t>
      </w:r>
    </w:p>
    <w:p>
      <w:pPr>
        <w:spacing w:after="0" w:line="14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terms of, reasons for and other aspects of the issuance of shares of Aviragen common stock pursuant to the Merger Agreement are described in detail in the other sections in this proxy statement/prospectus/information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Presuming a quorum is present, the affirmative vote of the holders of a majority of the shares of Aviragen common stock properly cast at the Aviragen special meeting is required for approval of this proposal.</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THE AVIRAGEN BOARD OF DIRECTORS UNANIMOUSLY RECOMMENDS THAT THE AVIRAGEN STOCKHOLDERS VOTE “FOR” THE STOCK ISSUANCE PROPOSAL TO APPROVE THE ISSUANCE OF SHARES OF AVIRAGEN COMMON STOCK PURSUANT TO THE MERGER AGREEMENT.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b w:val="1"/>
          <w:bCs w:val="1"/>
          <w:color w:val="auto"/>
        </w:rPr>
        <w:t>Aviragen Proposal No. 2 (the Reverse Stock Split Proposal): Approval of the Amendment to the Certificate of Incorporation of Aviragen Effecting the Reverse Stock Split at a Ratio in the Range of 10 and 20-for-1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Aviragen special meeting, Aviragen stockholders will be asked to approve the amendment to the certificate of incorporation of Aviragen effecting a reverse stock split of the issued shares of Aviragen common stock, at a ratio in the range of 10 and 20-for-1, with such specific ratio to be mutually agreed upon by Aviragen and Vaxart or, if the Stock Issuance Proposal is not approved by Aviragen stockholders, determined solely by the Aviragen board of directors following the special meeting. Upon the effectiveness of the amendment to the certificate of incorporation of Aviragen effecting the reverse stock split, or the split effective time, the issued shares of Aviragen common stock outstanding immediately prior to the split effective time will be reclassified into a smaller number of shares such that an Aviragen stockholder will own one new share of Aviragen common stock for each 10 to 20 shares of issued common stock held by that stockholder immediately prior to the split effective time. The ultimate ratio will be based on a number of factors, including market conditions, existing and expected trading prices for Aviragen common stock and the listing requirements of the Nasdaq Capital Market.</w:t>
      </w:r>
    </w:p>
    <w:p>
      <w:pPr>
        <w:spacing w:after="0" w:line="16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If both the Stock Issuance Proposal and the Reverse Stock Split Proposal are approved by the stockholders, the reverse stock split ratio shall be mutually agreed upon by Aviragen and Vaxart. In addition, the Aviragen board of directors may determine to effect the reverse stock split, if it is approved by the stockholders, even if the other proposals to be acted upon at the meeting are not approved, including Stock Issuance Proposal, at a range of 10 and 20-for-1 determined solely by the Aviragen board of directors.</w:t>
      </w:r>
    </w:p>
    <w:p>
      <w:pPr>
        <w:spacing w:after="0" w:line="18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form of the amendment to the certificate of incorporation of Aviragen to effect the reverse stock split, as more fully described below, will effect the reverse stock split but will not change the number of authorized shares of common stock or preferred stock, or the par value of Aviragen common stock or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224"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The Aviragen board of directors approved the proposal approving the amendment to the certificate of incorporation of Aviragen effecting the reverse stock split for the following reasons:</w:t>
      </w:r>
    </w:p>
    <w:p>
      <w:pPr>
        <w:spacing w:after="0" w:line="170" w:lineRule="exact"/>
        <w:rPr>
          <w:sz w:val="20"/>
          <w:szCs w:val="20"/>
          <w:color w:val="auto"/>
        </w:rPr>
      </w:pPr>
    </w:p>
    <w:p>
      <w:pPr>
        <w:ind w:left="660" w:right="40" w:hanging="329"/>
        <w:spacing w:after="0" w:line="340" w:lineRule="auto"/>
        <w:tabs>
          <w:tab w:leader="none" w:pos="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board of directors believes effecting the reverse stock split may be an effective means of maintaining the listing of the combined company’s post-merger common stock on the Nasdaq Capital Market and avoiding a delisting of Aviragen common stock from the Nasdaq Capital Market;</w:t>
      </w:r>
    </w:p>
    <w:p>
      <w:pPr>
        <w:spacing w:after="0" w:line="124" w:lineRule="exact"/>
        <w:rPr>
          <w:rFonts w:ascii="Arial" w:cs="Arial" w:eastAsia="Arial" w:hAnsi="Arial"/>
          <w:sz w:val="16"/>
          <w:szCs w:val="16"/>
          <w:color w:val="auto"/>
        </w:rPr>
      </w:pPr>
    </w:p>
    <w:p>
      <w:pPr>
        <w:ind w:left="660" w:right="220" w:hanging="329"/>
        <w:spacing w:after="0" w:line="276"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board of directors believes a higher stock price may help generate investor interest in Aviragen and help Aviragen attract and retain employees; and</w:t>
      </w:r>
    </w:p>
    <w:p>
      <w:pPr>
        <w:spacing w:after="0" w:line="169"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reverse stock split successfully increases the per share price of Aviragen common stock, the Aviragen board of directors believes this increase may increase trading volume in Aviragen common stock and facilitate future financings by Aviragen.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Nasdaq Listing</w:t>
      </w:r>
    </w:p>
    <w:p>
      <w:pPr>
        <w:spacing w:after="0" w:line="224" w:lineRule="exact"/>
        <w:rPr>
          <w:sz w:val="20"/>
          <w:szCs w:val="20"/>
          <w:color w:val="auto"/>
        </w:rPr>
      </w:pPr>
    </w:p>
    <w:p>
      <w:pPr>
        <w:ind w:right="440"/>
        <w:spacing w:after="0" w:line="306" w:lineRule="auto"/>
        <w:rPr>
          <w:sz w:val="20"/>
          <w:szCs w:val="20"/>
          <w:color w:val="auto"/>
        </w:rPr>
      </w:pPr>
      <w:r>
        <w:rPr>
          <w:rFonts w:ascii="Arial" w:cs="Arial" w:eastAsia="Arial" w:hAnsi="Arial"/>
          <w:sz w:val="17"/>
          <w:szCs w:val="17"/>
          <w:color w:val="auto"/>
        </w:rPr>
        <w:t>Aviragen common stock is listed on the Nasdaq Capital Market under the symbol “AVIR.” Aviragen intends to file an initial listing application under the reverse merger rules with The Nasdaq Stock Market LLC to seek listing on the Nasdaq Global Market upon the closing of the merger.</w:t>
      </w:r>
    </w:p>
    <w:p>
      <w:pPr>
        <w:spacing w:after="0" w:line="14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According to the applicable rules and regulations of Nasdaq,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the Nasdaq Global Market will require Aviragen to have, among other things, a $4.00 per share minimum bid price upon the closing of the merger. Although the approval of the stock split is not a closing condition to consummate the merger, if Aviragen’s stockholders do not approve the Reverse Stock Split Proposal to effect the reverse stock split in connection with the closing of the merger, Aviragen has been advised that Nasdaq will commence delisting procedures immediately following the closing of the merger.</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Aviragen’s stockholders do not approve the Reverse Stock Split Proposal, the combined company’s board of directors will immediately call for a second special meeting following the closing of the merger and request the stockholders of the combined company to approve a reverse stock split that will allow the combined company to remain in compliance with the listing requirements of The Nasdaq Stock Market LLC. If the Stock Issuance Proposal is not approved but the Reverse Stock Approval is approved, the Aviragen board of directors may nevertheless authorize a reverse split of its common stock at a ratio in the range of 10 and 20-for-1 as determined solely by the Aviragen board of directors in order to satisfy Aviragen’s continued listing requirements on the Nasdaq Capital Market.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One of the effects of the reverse stock split will be to effectively increase the proportion of authorized shares which are unissued relative to those which are issued. This could result in Aviragen’s management being able to issue more shares without further stockholder approval. For example, before the reverse stock split, Aviragen’s authorized but unissued shares immediately prior to the closing of the merger would be approximately 161 million compared to shares issued of approximately 39 million. If Aviragen effects the reverse stock split using a 10-for-1 ratio, its authorized but unissued shares immediately prior to the closing of the merger would be approximately 196 million compared to shares issued of approximately four million. The reverse stock split will not affect the number of authorized shares of Aviragen common stock and preferred stock, which will continue to be authorized pursuant to the certificate of incorporation of Aviragen, thus the reverse stock split will have the effect of increasing the number of authorized but unissued shares of Aviragen common stock. There are no shares of Aviragen preferred stock currently outstanding. Aviragen currently has no plans, commitments, arrangements, understandings or agreements to issue shares, other than pursuant to the Merger Agreement, and to satisfy obligations under the Aviragen stock options from time to time as these stock options are exercised. The additional authorized shares of common stock will provide the combined company with the flexibility to consider and respond to future business opportunities and needs as they arise, including but not limited to, equity offerings; financings; potential strategic transactions, including mergers, acquisitions and business combinations; stock dividends; stock splits; grants under equity compensation plans; and other general corporate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Increased Investor Interest</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27, 2017, Aviragen common stock closed at $0.57 per share. An investment in Aviragen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Also, the Aviragen board of directors believes that most investment funds are reluctant to invest in lower priced stocks. The Aviragen board of directors believes that the anticipated higher market price expected to result from a reverse stock split will reduce, to some extent, the negative effects of the practices of brokerage houses and investors described above on the liquidity and marketability of Aviragen common stock.</w:t>
      </w:r>
    </w:p>
    <w:p>
      <w:pPr>
        <w:spacing w:after="0" w:line="1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an increase in the per share price of Aviragen common stock. Aviragen cannot predict whether the reverse stock split will increase the market price for Aviragen common stock. The history of similar stock split combinations for companies in like circumstances is varied. There is no assurance that:</w:t>
      </w:r>
    </w:p>
    <w:p>
      <w:pPr>
        <w:spacing w:after="0" w:line="183" w:lineRule="exact"/>
        <w:rPr>
          <w:sz w:val="20"/>
          <w:szCs w:val="20"/>
          <w:color w:val="auto"/>
        </w:rPr>
      </w:pPr>
    </w:p>
    <w:p>
      <w:pPr>
        <w:ind w:left="660" w:right="220" w:hanging="329"/>
        <w:spacing w:after="0" w:line="27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market price per share of Aviragen common stock after the reverse stock split will rise in proportion to the reduction in the number of shares of Aviragen common stock outstanding before the reverse stock split;</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increase the ability of Aviragen to attract and retain employees;</w:t>
      </w:r>
    </w:p>
    <w:p>
      <w:pPr>
        <w:spacing w:after="0" w:line="223" w:lineRule="exact"/>
        <w:rPr>
          <w:rFonts w:ascii="Arial" w:cs="Arial" w:eastAsia="Arial" w:hAnsi="Arial"/>
          <w:sz w:val="18"/>
          <w:szCs w:val="18"/>
          <w:color w:val="auto"/>
        </w:rPr>
      </w:pPr>
    </w:p>
    <w:p>
      <w:pPr>
        <w:ind w:left="660" w:right="60" w:hanging="329"/>
        <w:spacing w:after="0" w:line="258"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The Nasdaq Stock Market LLC for continued listing, that Aviragen will otherwise meet the requirements of The Nasdaq Stock Market LLC for inclusion for trading on the Nasdaq Global Market, including the $4.00 minimum bid price upon the closing of the merger, or, if met, that the market price per share would remain above the minimum bid price for a sustained period of time; or</w:t>
      </w:r>
    </w:p>
    <w:p>
      <w:pPr>
        <w:spacing w:after="0" w:line="186"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Aviragen would otherwise meet the Nasdaq listing requirements even if the per share market price of Aviragen common stock after the reverse stock split meets the required minimum bid price.</w:t>
      </w:r>
    </w:p>
    <w:p>
      <w:pPr>
        <w:spacing w:after="0" w:line="170"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market price of Aviragen common stock will also be based on performance of Aviragen and other factors, some of which are unrelated to the number of shares outstanding. If the reverse stock split is effected and the market price of Aviragen common stock declines, the percentage decline as an absolute number and as a percentage of the overall market capitalization of Aviragen may be greater than would occur in the absence of a reverse stock split. Furthermore, the liquidity of Aviragen common stock could be adversely affected by the reduced number of shares that would be outstanding after the reverse stock split.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to be Used for Determining Whether to Implement the Reverse Stock Split</w:t>
      </w:r>
    </w:p>
    <w:p>
      <w:pPr>
        <w:spacing w:after="0" w:line="224"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In determining whether to implement the reverse stock split and which reverse stock split ratio to implement, if any, following receipt of stockholder approval of the Reverse Stock Split Proposal, Aviragen and/or Vaxart may consider, among other things, various factors, such as:</w:t>
      </w:r>
    </w:p>
    <w:p>
      <w:pPr>
        <w:spacing w:after="0" w:line="170" w:lineRule="exact"/>
        <w:rPr>
          <w:sz w:val="20"/>
          <w:szCs w:val="20"/>
          <w:color w:val="auto"/>
        </w:rPr>
      </w:pPr>
    </w:p>
    <w:p>
      <w:pPr>
        <w:ind w:left="5580" w:right="5400" w:hanging="5249"/>
        <w:spacing w:after="0" w:line="621" w:lineRule="auto"/>
        <w:tabs>
          <w:tab w:leader="none" w:pos="65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historical trading price and trading volume of Aviragen common stock;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72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380" w:hanging="329"/>
        <w:spacing w:after="0" w:line="276"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Aviragen common stock and the expected impact of the reverse stock split on the trading market for Aviragen common stock in the short- and long-term;</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of Aviragen to continue its listing on the Nasdaq Capital Market;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which reverse stock split ratio would result in the least administrative cost to Aviragen;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failure of Aviragen stockholders to approve the Reverse Stock Split Proposal could have serious, adverse effects on Aviragen and its stockholders. Aviragen could be delisted from the Nasdaq Capital Market because shares of Aviragen common stock may continue to trade below the requisite $1.00 per share bid price needed to maintain its listing. If the Nasdaq Capital Market delists Aviragen common stock, Aviragen shares may then trade on the OTC Bulletin Board or other small trading markets, such as the pink sheets. In that event, Aviragen common stock could trade thinly as a microcap or penny stock, adversely decrease to nominal levels of trading and be avoided by retail and institutional investors, resulting in the impaired liquidity of Aviragen common stock and making it difficult to raise additional capital if needed.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224" w:lineRule="exact"/>
        <w:rPr>
          <w:sz w:val="20"/>
          <w:szCs w:val="20"/>
          <w:color w:val="auto"/>
        </w:rPr>
      </w:pPr>
    </w:p>
    <w:p>
      <w:pPr>
        <w:ind w:right="2060"/>
        <w:spacing w:after="0" w:line="276" w:lineRule="auto"/>
        <w:rPr>
          <w:sz w:val="20"/>
          <w:szCs w:val="20"/>
          <w:color w:val="auto"/>
        </w:rPr>
      </w:pPr>
      <w:r>
        <w:rPr>
          <w:rFonts w:ascii="Arial" w:cs="Arial" w:eastAsia="Arial" w:hAnsi="Arial"/>
          <w:sz w:val="18"/>
          <w:szCs w:val="18"/>
          <w:color w:val="auto"/>
        </w:rPr>
        <w:t xml:space="preserve">The amendment to the certificate of incorporation of Aviragen effecting the reverse stock split is set forth in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to this proxy statement/prospectus/information statement.</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reverse stock split will be effected simultaneously for all outstanding shares of Aviragen common stock. The reverse stock split will affect all of the Aviragen stockholders uniformly and will not affect any stockholder’s percentage ownership interests in Aviragen, except to the extent that the reverse stock split results in any of the Aviragen stockholders owning a fractional share. The reverse stock split will not change the terms of Aviragen common stock. After the reverse stock split, the shares of Aviragen common stock will have the same voting rights and rights to dividends and distributions and will be identical in all other respects to the Aviragen common stock now authorized, which is not entitled to preemptive or subscription rights, and is not subject to conversion, redemption or sinking fund provisions. Aviragen common stock issued pursuant to the reverse stock split will remain fully paid and nonassessable. The reverse split does not affect the total proportionate ownership of the combined company following the merger. The reverse stock split will not affect Aviragen continuing to be subject to the periodic reporting requirements of the Exchange Act.</w:t>
      </w:r>
    </w:p>
    <w:p>
      <w:pPr>
        <w:spacing w:after="0" w:line="17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As an example, the following table illustrates the effects of a 10-for-1 and a 20-for-1 reverse stock split (without giving effect to the treatment of fractional shares) as of December 27, 2017:</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After 10-for-1</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After 20-for-1</w:t>
            </w:r>
          </w:p>
        </w:tc>
      </w:tr>
      <w:tr>
        <w:trPr>
          <w:trHeight w:val="215"/>
        </w:trPr>
        <w:tc>
          <w:tcPr>
            <w:tcW w:w="5500" w:type="dxa"/>
            <w:vAlign w:val="bottom"/>
          </w:tcPr>
          <w:p>
            <w:pPr>
              <w:spacing w:after="0"/>
              <w:rPr>
                <w:sz w:val="18"/>
                <w:szCs w:val="18"/>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b w:val="1"/>
                <w:bCs w:val="1"/>
                <w:color w:val="auto"/>
              </w:rPr>
              <w:t>Prior to Reverse</w:t>
            </w:r>
          </w:p>
        </w:tc>
        <w:tc>
          <w:tcPr>
            <w:tcW w:w="18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Reverse Stock</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Reverse Stock</w:t>
            </w:r>
          </w:p>
        </w:tc>
      </w:tr>
      <w:tr>
        <w:trPr>
          <w:trHeight w:val="234"/>
        </w:trPr>
        <w:tc>
          <w:tcPr>
            <w:tcW w:w="5500" w:type="dxa"/>
            <w:vAlign w:val="bottom"/>
          </w:tcPr>
          <w:p>
            <w:pPr>
              <w:spacing w:after="0"/>
              <w:rPr>
                <w:sz w:val="20"/>
                <w:szCs w:val="20"/>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b w:val="1"/>
                <w:bCs w:val="1"/>
                <w:color w:val="auto"/>
              </w:rPr>
              <w:t>Stock Split</w:t>
            </w:r>
          </w:p>
        </w:tc>
        <w:tc>
          <w:tcPr>
            <w:tcW w:w="18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Split</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Split</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w:t>
            </w:r>
          </w:p>
        </w:tc>
        <w:tc>
          <w:tcPr>
            <w:tcW w:w="20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38,649,237</w:t>
            </w:r>
          </w:p>
        </w:tc>
        <w:tc>
          <w:tcPr>
            <w:tcW w:w="18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3,864,924</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1,932,462</w:t>
            </w:r>
          </w:p>
        </w:tc>
        <w:tc>
          <w:tcPr>
            <w:tcW w:w="120" w:type="dxa"/>
            <w:vAlign w:val="bottom"/>
            <w:shd w:val="clear" w:color="auto" w:fill="CCEEFF"/>
          </w:tcPr>
          <w:p>
            <w:pPr>
              <w:spacing w:after="0"/>
              <w:rPr>
                <w:sz w:val="18"/>
                <w:szCs w:val="18"/>
                <w:color w:val="auto"/>
              </w:rPr>
            </w:pPr>
          </w:p>
        </w:tc>
      </w:tr>
      <w:tr>
        <w:trPr>
          <w:trHeight w:val="338"/>
        </w:trPr>
        <w:tc>
          <w:tcPr>
            <w:tcW w:w="5500" w:type="dxa"/>
            <w:vAlign w:val="bottom"/>
          </w:tcPr>
          <w:p>
            <w:pPr>
              <w:spacing w:after="0"/>
              <w:rPr>
                <w:sz w:val="20"/>
                <w:szCs w:val="20"/>
                <w:color w:val="auto"/>
              </w:rPr>
            </w:pPr>
            <w:r>
              <w:rPr>
                <w:rFonts w:ascii="Arial" w:cs="Arial" w:eastAsia="Arial" w:hAnsi="Arial"/>
                <w:sz w:val="18"/>
                <w:szCs w:val="18"/>
                <w:color w:val="auto"/>
              </w:rPr>
              <w:t>Common stock issuable pursuant to outstanding equity awards</w:t>
            </w:r>
          </w:p>
        </w:tc>
        <w:tc>
          <w:tcPr>
            <w:tcW w:w="2020" w:type="dxa"/>
            <w:vAlign w:val="bottom"/>
          </w:tcPr>
          <w:p>
            <w:pPr>
              <w:jc w:val="right"/>
              <w:ind w:right="110"/>
              <w:spacing w:after="0"/>
              <w:rPr>
                <w:sz w:val="20"/>
                <w:szCs w:val="20"/>
                <w:color w:val="auto"/>
              </w:rPr>
            </w:pPr>
            <w:r>
              <w:rPr>
                <w:rFonts w:ascii="Arial" w:cs="Arial" w:eastAsia="Arial" w:hAnsi="Arial"/>
                <w:sz w:val="18"/>
                <w:szCs w:val="18"/>
                <w:color w:val="auto"/>
              </w:rPr>
              <w:t>7,452,999</w:t>
            </w:r>
            <w:r>
              <w:rPr>
                <w:rFonts w:ascii="Arial" w:cs="Arial" w:eastAsia="Arial" w:hAnsi="Arial"/>
                <w:sz w:val="29"/>
                <w:szCs w:val="29"/>
                <w:color w:val="auto"/>
                <w:vertAlign w:val="superscript"/>
              </w:rPr>
              <w:t>(1)</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745,300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372,650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64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ind w:left="340" w:right="300" w:hanging="332"/>
        <w:spacing w:after="0" w:line="257"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All of such options have an exercise price higher than $0.57 per share, the closing price of Aviragen common stock on December 27, 2017, other than 140,000 options granted to non-employee directors in May 2017.</w:t>
      </w:r>
    </w:p>
    <w:p>
      <w:pPr>
        <w:spacing w:after="0" w:line="1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if the proposed reverse stock split is implemented, it will increase the number of Aviragen stockholders who own "odd lots" of fewer than 100 shares of common stock. Brokerage commission and other costs of transactions in odd lots are generally higher than the costs of transactions of more than 100 shares of common stock. Accordingly, the reverse stock split may not achieve the desired results of increasing marketability and liquidity of Aviragen common stock that have been described above.</w:t>
      </w:r>
    </w:p>
    <w:p>
      <w:pPr>
        <w:spacing w:after="0" w:line="187"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After the effective date of the reverse stock split, Aviragen common stock would have a new committee on uniform securities identification procedures, or CUSIP number, a number used to identify Aviragen common stock.</w:t>
      </w:r>
    </w:p>
    <w:p>
      <w:pPr>
        <w:spacing w:after="0" w:line="170" w:lineRule="exact"/>
        <w:rPr>
          <w:sz w:val="20"/>
          <w:szCs w:val="20"/>
          <w:color w:val="auto"/>
        </w:rPr>
      </w:pPr>
    </w:p>
    <w:p>
      <w:pPr>
        <w:ind w:right="780"/>
        <w:spacing w:after="0" w:line="340" w:lineRule="auto"/>
        <w:rPr>
          <w:sz w:val="20"/>
          <w:szCs w:val="20"/>
          <w:color w:val="auto"/>
        </w:rPr>
      </w:pPr>
      <w:r>
        <w:rPr>
          <w:rFonts w:ascii="Arial" w:cs="Arial" w:eastAsia="Arial" w:hAnsi="Arial"/>
          <w:sz w:val="16"/>
          <w:szCs w:val="16"/>
          <w:color w:val="auto"/>
        </w:rPr>
        <w:t>Aviragen common stock is currently registered under Section 12(b) of the Exchange Act, and Aviragen is subject to the periodic reporting and other requirements of the Exchange Act. The proposed reverse stock split will not affect the registration of the common stock under the Exchange Act.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the Aviragen stockholders approve the amendment to the certificate of incorporation of Aviragen effecting the reverse stock split, and if the Aviragen board of directors still believes that a reverse stock split is in the best interests of Aviragen and its stockholders, Aviragen will file the amendment to the certificate of incorporation with the Delaware Secretary of State at such time as the Aviragen board of directors has determined to be the appropriate split effective time.</w:t>
      </w:r>
    </w:p>
    <w:p>
      <w:pPr>
        <w:ind w:right="320"/>
        <w:spacing w:after="0" w:line="288" w:lineRule="auto"/>
        <w:rPr>
          <w:sz w:val="20"/>
          <w:szCs w:val="20"/>
          <w:color w:val="auto"/>
        </w:rPr>
      </w:pPr>
      <w:r>
        <w:rPr>
          <w:rFonts w:ascii="Arial" w:cs="Arial" w:eastAsia="Arial" w:hAnsi="Arial"/>
          <w:sz w:val="17"/>
          <w:szCs w:val="17"/>
          <w:color w:val="auto"/>
        </w:rPr>
        <w:t>The Aviragen board of directors may delay effecting the reverse stock split without resoliciting stockholder approval. Beginning at the split effective time, each book-entry account representing pre-split shares will be deemed for all corporate purposes to evidence ownership of post-split shares.</w:t>
      </w:r>
    </w:p>
    <w:p>
      <w:pPr>
        <w:sectPr>
          <w:pgSz w:w="11900" w:h="16838" w:orient="portrait"/>
          <w:cols w:equalWidth="0" w:num="1">
            <w:col w:w="11400"/>
          </w:cols>
          <w:pgMar w:left="240" w:top="118" w:right="25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33" w:name="page134"/>
    <w:bookmarkEnd w:id="13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i w:val="1"/>
          <w:iCs w:val="1"/>
          <w:color w:val="auto"/>
        </w:rPr>
        <w:t xml:space="preserve">Beneficial Owners of Common Stock. </w:t>
      </w:r>
      <w:r>
        <w:rPr>
          <w:rFonts w:ascii="Arial" w:cs="Arial" w:eastAsia="Arial" w:hAnsi="Arial"/>
          <w:sz w:val="16"/>
          <w:szCs w:val="16"/>
          <w:color w:val="auto"/>
        </w:rPr>
        <w:t>Upon the implementation of the reverse stock split, Aviragen intends to treat shares held by stockholders in “street</w:t>
      </w:r>
      <w:r>
        <w:rPr>
          <w:rFonts w:ascii="Arial" w:cs="Arial" w:eastAsia="Arial" w:hAnsi="Arial"/>
          <w:sz w:val="16"/>
          <w:szCs w:val="16"/>
          <w:i w:val="1"/>
          <w:iCs w:val="1"/>
          <w:color w:val="auto"/>
        </w:rPr>
        <w:t xml:space="preserve"> </w:t>
      </w:r>
      <w:r>
        <w:rPr>
          <w:rFonts w:ascii="Arial" w:cs="Arial" w:eastAsia="Arial" w:hAnsi="Arial"/>
          <w:sz w:val="16"/>
          <w:szCs w:val="16"/>
          <w:color w:val="auto"/>
        </w:rPr>
        <w:t>name” (i.e., through a bank, broker, custodian or other nominee), in the same manner as registered stockholders whose shares are registered in their names. Banks, brokers, custodians or other nominees will be instructed to effect the reverse stock split for their beneficial holders holding Aviragen common stock in street name. However, these banks, brokers, custodians or other nominees may have different procedures than registered stockholders for processing the reverse stock split and making payment for fractional shares. If a stockholder holds shares of Aviragen common stock with a bank, broker, custodian or other nominee and has any questions in this regard, stockholders are encouraged to contact their bank, broker, custodian or other nominee.</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Registered Holders of Common Stock</w:t>
      </w:r>
      <w:r>
        <w:rPr>
          <w:rFonts w:ascii="Arial" w:cs="Arial" w:eastAsia="Arial" w:hAnsi="Arial"/>
          <w:sz w:val="18"/>
          <w:szCs w:val="18"/>
          <w:color w:val="auto"/>
        </w:rPr>
        <w:t>. Certain of Aviragen registered holders of common stock hold some or all of their shares electronically in book-entry</w:t>
      </w:r>
      <w:r>
        <w:rPr>
          <w:rFonts w:ascii="Arial" w:cs="Arial" w:eastAsia="Arial" w:hAnsi="Arial"/>
          <w:sz w:val="18"/>
          <w:szCs w:val="18"/>
          <w:i w:val="1"/>
          <w:iCs w:val="1"/>
          <w:color w:val="auto"/>
        </w:rPr>
        <w:t xml:space="preserve"> </w:t>
      </w:r>
      <w:r>
        <w:rPr>
          <w:rFonts w:ascii="Arial" w:cs="Arial" w:eastAsia="Arial" w:hAnsi="Arial"/>
          <w:sz w:val="18"/>
          <w:szCs w:val="18"/>
          <w:color w:val="auto"/>
        </w:rPr>
        <w:t>form with Aviragen’s transfer agent, American Stock Transfer &amp; Trust Company, LLC. These stockholders do not hold physical stock certificates evidencing their ownership of Aviragen common stock. However, they are provided with a statement reflecting the number of shares of Aviragen common stock registered in their accounts. If a stockholder holds registered shares in book-entry form with Aviragen’s transfer agent,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Aviragen common stock held following the reverse stock split.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multiplied by the closing price of the common stock on the Nasdaq Capital Market on the first trading day immediately following the split effective time. The ownership of a fractional interest will not give the holder thereof any voting, dividend, or other rights except to receive payment therefor as described herein.</w:t>
      </w:r>
    </w:p>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Stockholders should be aware that, under the escheat laws of the various jurisdictions where stockholders reside, where Aviragen is domiciled, and where the funds will be deposited, sums due for fractional interests that are not timely claimed after the split effective time may be required to be paid to the designated agent for each such jurisdiction, unless correspondence has been received by Aviragen or the transfer agent concerning ownership of such funds within the time permitted in such jurisdiction. Thereafter, stockholders otherwise entitled to receive such funds will have to seek to obtain them directly from the state to which they were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Consequences</w:t>
      </w:r>
    </w:p>
    <w:p>
      <w:pPr>
        <w:spacing w:after="0" w:line="22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par value per share of Aviragen common stock will remain unchanged at $0.10 per share after the reverse stock split. As a result, at the reverse stock split effective time, the stated capital on Aviragen’s balance sheet attributable to Aviragen common stock will be reduced proportionately based on the reverse stock split ratio, from its present amount, and the additional paid-in capital account will be increased for the amount by which the stated capital is reduced. After the reverse stock split (and disregarding the impact of shares of Aviragen common stock issued in the merger), net income or loss per share, and other per share amounts will be increased because there will be fewer shares of Aviragen common stock outstanding. In future financial statements, net income or loss per share and other per share amounts for periods ending before the reverse stock split will be recast to give retroactive effect to the reverse stock split.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2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Aviragen board of directors or contemplating a tender offer or other transaction for the combination of Aviragen with another company, the reverse stock split proposal is not being proposed in response to any effort of which Aviragen is aware to accumulate shares of Aviragen common stock or obtain control of Aviragen, other than pursuant to the Merger Agreement, nor is it part of a plan by management to recommend a series of similar amendments to the Aviragen board of directors and stockholders. Other than the proposals being submitted to the Aviragen stockholders for their consideration at the Aviragen special meeting, the Aviragen board of directors does not currently contemplate recommending the adoption of any other actions that could be construed to affect the ability of third parties to take over or change control of Aviragen. For more information, please see the sections titled “Risk Factors—Risks Related to Aviragen Common Stock” and “Description of Aviragen Capital Stock—Anti-Takeover Effects of Provisions of Aviragen Charter Documents and Delaware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22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discussion is a summary of material U.S. federal income tax consequences of a reverse stock split to U.S. Holders (as defined below) that hold shares of Aviragen common stock as capital assets for U.S. federal income tax purposes.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summary does not address all aspects of U.S. federal income taxation that may be relevant to stockholders in light of their particular circumstances or to stockholders who may be subject to special tax treatment under the Code, including, without limitation dealers or traders in securities, commodities or foreign currency; banks, thrifts, insurance companies, and other financial institutions; traders that mark-to-market their securities; tax-exempt organizations or governmental organizations; small business investment companies; regulated investment companies; real estate investment trusts; tax-deferred or other retirement accounts; persons whose functional currency is not the U.S. dollar; persons who hold Aviragen common stock as part of a “straddle,” “hedge,” “conversion transaction” or other risk reduction transaction; persons who hold or receive Aviragen common stock pursuant to the exercise of compensatory stock options, the vesting of previously restricted shares of stock or otherwise as compensation; any entity or arrangement that is a partnership for U.S. federal income tax purposes; companies subject to the “stapled stock” rules; “expatriated entities”; certain former citizens or long-term residents of the United States; or persons subject to the alternative minimum tax or the 3.8% tax on net investment income.</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discussion is based on the Code, U.S. Treasury regulations promulgated thereunder, judicial decisions, and published rulings and administrative pronouncements of the IRS in effect as of the date hereof, all of which are subject to change, possibly with retroactive effect, or differing interpretations. Any such change may cause the U.S. federal income tax consequences of a reverse stock split to vary substantially from the consequences summarized below. Aviragen has not sought any ruling from the IRS with respect to the statements made and the conclusions reached in this discussion, and there can be no assurance that the IRS will agree with these statements and conclusions.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state and local tax consequences of a reverse split may vary as to each U.S. Holder, depending on the jurisdiction in which such U.S. Holder resides. This discussion should not be considered as tax or investment advice, and the tax consequences of a reverse stock split may not be the same for all U.S. Holders. U.S. Holders should consult their own tax advisors to understand their individual federal, state, local and foreign tax consequences to them of the reverse stock split.</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For purposes of this discussion, a “U.S. Holder” is a beneficial owner of shares of Aviragen common stock that, for U.S. federal income tax purposes, is or is treated as:</w:t>
      </w:r>
    </w:p>
    <w:p>
      <w:pPr>
        <w:spacing w:after="0" w:line="170" w:lineRule="exact"/>
        <w:rPr>
          <w:sz w:val="20"/>
          <w:szCs w:val="20"/>
          <w:color w:val="auto"/>
        </w:rPr>
      </w:pPr>
    </w:p>
    <w:p>
      <w:pPr>
        <w:ind w:left="660" w:hanging="329"/>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3" w:lineRule="exact"/>
        <w:rPr>
          <w:rFonts w:ascii="Arial" w:cs="Arial" w:eastAsia="Arial" w:hAnsi="Arial"/>
          <w:sz w:val="18"/>
          <w:szCs w:val="18"/>
          <w:color w:val="auto"/>
        </w:rPr>
      </w:pPr>
    </w:p>
    <w:p>
      <w:pPr>
        <w:ind w:left="660" w:right="60" w:hanging="329"/>
        <w:spacing w:after="0" w:line="276"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purposes) created or organized under the laws of the United States, any state thereof, or the District of Columbia;</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3" w:lineRule="exact"/>
        <w:rPr>
          <w:rFonts w:ascii="Arial" w:cs="Arial" w:eastAsia="Arial" w:hAnsi="Arial"/>
          <w:sz w:val="18"/>
          <w:szCs w:val="18"/>
          <w:color w:val="auto"/>
        </w:rPr>
      </w:pPr>
    </w:p>
    <w:p>
      <w:pPr>
        <w:ind w:left="660" w:right="20" w:hanging="329"/>
        <w:spacing w:after="0" w:line="310" w:lineRule="auto"/>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Aviragen common stock, the tax treatment of a partner in the partnership will depend on the status of the partner, the activities of the partnership and certain determinations made at the partner level. Accordingly, partnerships holding shares of Aviragen common stock and the partners in such partnerships should consult their tax advisors regarding the U.S. federal income tax consequences to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 of the Reverse Stock Split</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reverse stock split should constitute a “recapitalization” for U.S. federal income tax purposes under Section 368(a)(1)(E) of the Code. As a result, a U.S. Holder of shares of Aviragen common stock should not recognize any gain or loss for U.S. federal income tax purposes as a result of a reverse stock split, except to the extent of any cash received in lieu of a fractional share of Aviragen common stock, as discussed below. A U.S. Holder’s aggregate tax basis in shares of common stock received in a reverse stock split should equal the U.S. Holder’s aggregate tax basis in the shares of Aviragen common stock exchanged in the reverse stock split, decreased by the amount of any tax basis allocable to a fractional share for which cash is received. In addition, each U.S. Holder’s holding period for the shares of common stock the U.S. Holder receives in a reverse stock split should include the U.S. Holder’s holding period for the shares of Aviragen common stock exchanged in the reverse stock split. U.S. Holders of shares of Aviragen common stock acquired on different dates and at different prices should consult their own tax advisors regarding the allocation of the tax basis and holding period of such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 Lieu of Fractional Shares</w:t>
      </w: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general, a U.S. Holder of shares of Aviragen common stock that receives cash in lieu of a fractional share of Aviragen common stock pursuant to the reverse stock split should recognize capital gain or loss equal to the difference between the amount of cash received and the U.S. Holder’s tax basis in the shares of Aviragen common stock surrendered that is allocated to the fractional share of Aviragen common stock. Any such capital gain or loss will be treated as long term capital gain or loss if the U.S. Holder’s holding period for shares of Aviragen common stock surrendered exceeded one year as of the effective time of the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U.S. Holder of shares of Aviragen common stock may be subject to information reporting and backup withholding on cash paid in lieu of fractional shares in connection with the reverse stock split, unless the U.S. Holder is an exempt recipient. Backup withholding generally will apply to such payments if the U.S. Holder fails to furnish a correct taxpayer identification number, a certification of exempt status or has been notified by the IRS that it is subject to backup withholding (and such notification has not been withdrawn). Each U.S. Holder of shares of Aviragen common stock should properly complete and sign, and deliver, an IRS Form W-9 in order to provide the information and certification necessary to avoid backup withholding, or otherwise establish an applicable exemption in a manner acceptable to the paying agent. U.S. Holders of shares of Aviragen common stock should consult their own tax advisors regarding their qualification for an exemption from backup withholding and the procedures for obtaining such an exemption.</w:t>
      </w:r>
    </w:p>
    <w:p>
      <w:pPr>
        <w:spacing w:after="0" w:line="16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Backup withholding is not an additional tax. Any amounts withheld will be allowed as a credit against the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224"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The affirmative vote of the holders of a majority of the shares of Aviragen common stock outstanding on the record date for the Aviragen special meeting is required to approve the amendment to the certificate of incorporation of Aviragen effecting a reverse stock split at a ratio not to exceeding the range 10 and 20-for-1 of Aviragen common stock, with such specific ratio to be mutually agreed upon by Aviragen and Vaxart or, if the Stock Issuance Proposal is not approved by Aviragen stockholders, determined solely by the Aviragen board of directors following the special meeting.</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THE AVIRAGEN BOARD OF DIRECTORS UNANIMOUSLY RECOMMENDS THAT AVIRAGEN STOCKHOLDERS VOTE “FOR” THE REVERES STOCK SPLIT PROPOSAL TO APPROVE THE AMENDMENT TO THE CERTIFICATE OF INCORPORATION OF AVIRAGEN EFFECTING THE REVERSE STOCK SPLIT AT A RATIO IN THE RANGE OF 10 AND 20-FOR-1, WITH SUCH SPECIFIC RATIO TO BE MUTALLY AGREED UPON BY AVIRAGEN AND VAXART OR, IF THE STOCK ISSUANCE PROPOSAL IS NOT APPROVED BY AVIRAGEN STOCKHOLDERS, DETERMINED SOLELY BY THE AVIRAGEN BOARD OF DIRECTORS FOLLOWING THE SPECIAL MEETING.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440"/>
        <w:spacing w:after="0" w:line="280" w:lineRule="auto"/>
        <w:rPr>
          <w:sz w:val="20"/>
          <w:szCs w:val="20"/>
          <w:color w:val="auto"/>
        </w:rPr>
      </w:pPr>
      <w:r>
        <w:rPr>
          <w:rFonts w:ascii="Arial" w:cs="Arial" w:eastAsia="Arial" w:hAnsi="Arial"/>
          <w:sz w:val="18"/>
          <w:szCs w:val="18"/>
          <w:b w:val="1"/>
          <w:bCs w:val="1"/>
          <w:color w:val="auto"/>
        </w:rPr>
        <w:t>Aviragen Proposal No. 3 (Executive Merger Compensation Proposal): Advisory, Non-Binding Vote on Merger-Related Executive Compensation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Section 14A of the Exchange Act, which was enacted as part of the Dodd-Frank Wall Street Reform and Consumer Protection Act of 2010, requires that Aviragen provide stockholders with the opportunity to vote to approve, on non-binding, advisory basis, the payment of certain compensation that will or may become payable by Aviragen to its named executive officers in connection with the merger, as disclosed in the section titled "The Merger—Interests of the Aviragen Directors and Executive Officers in the Merger.”</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the consummation of the merger, each of the Aviragen named executive officers will resign with good reason. Therefore, Aviragen is asking stockholders to indicate their approval of the compensation that will or may become payable by Aviragen to its named executive officers in connection with the merger and the associated termination by the named executive officers for good reason upon the consummation of the merger. These payments are set forth in the section titled "The Merger—Interests of the Aviragen Directors and Executive Officers in the Merger," and the accompanying footnotes. In general, the employment agreements, equity awards and other arrangements pursuant to which these compensation payments may be made have previously formed a part of Aviragen’s overall compensation program for its named executive officers and previously have been disclosed to stockholders as part of Aviragen’s annual proxy statements or its other reports filed with the SEC. These historical employment agreements, equity awards and other arrangements were adopted and approved by the compensation committee of the Aviragen board of directors, which is composed solely of non-management directors, and are believed to be reasonable and in line with marketplace norms.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Accordingly, Aviragen is seeking approval of the following resolution at the special meeting:</w:t>
      </w:r>
    </w:p>
    <w:p>
      <w:pPr>
        <w:spacing w:after="0" w:line="224" w:lineRule="exact"/>
        <w:rPr>
          <w:sz w:val="20"/>
          <w:szCs w:val="20"/>
          <w:color w:val="auto"/>
        </w:rPr>
      </w:pPr>
    </w:p>
    <w:p>
      <w:pPr>
        <w:ind w:left="660" w:right="120"/>
        <w:spacing w:after="0" w:line="262" w:lineRule="auto"/>
        <w:rPr>
          <w:sz w:val="20"/>
          <w:szCs w:val="20"/>
          <w:color w:val="auto"/>
        </w:rPr>
      </w:pPr>
      <w:r>
        <w:rPr>
          <w:rFonts w:ascii="Arial" w:cs="Arial" w:eastAsia="Arial" w:hAnsi="Arial"/>
          <w:sz w:val="18"/>
          <w:szCs w:val="18"/>
          <w:color w:val="auto"/>
        </w:rPr>
        <w:t>"RESOLVED, that the stockholders of Aviragen Therapeutics, Inc. approve, on a nonbinding, advisory basis, the compensation that will or may become payable by Aviragen to its named executive officers that is based on or otherwise relates to the merger as disclosed in the section titled "The Merger—Interests of the Aviragen Directors and Executive Officers in the Merger."</w:t>
      </w:r>
    </w:p>
    <w:p>
      <w:pPr>
        <w:spacing w:after="0" w:line="183"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Stockholders of Aviragen should note that this proposal is not a condition to the closing of the merger, and as an advisory vote, the result will not be binding on Aviragen, its board of directors or the named executive officers. Further, the underlying employment agreements, equity awards and other arrangements are contractual in nature and not, by their terms, subject to stockholder approval. Accordingly, regardless of the outcome of the advisory vote, if the merger is consummated and Aviragen’s named executive officers are terminated in connection with the merger, the named executive officers will be eligible to receive the compensation that is based on or otherwise relates to the merger in accordance with the terms and conditions applicable to the underlying employment agreements, equity awards and other arrangements Aviragen entered into with these named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224"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affirmative vote of the holders of a majority of the shares of Aviragen common stock properly cast at the Aviragen special meeting is required to approve the non-binding advisory vote on merger-related executive compensation arrangements.</w:t>
      </w:r>
    </w:p>
    <w:p>
      <w:pPr>
        <w:spacing w:after="0" w:line="166"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color w:val="auto"/>
        </w:rPr>
        <w:t>THE AVIRAGEN BOARD OF DIRECTORS RECOMMENDS THAT THE AVIRAGEN STOCKHOLDERS VOTE "FOR" THE EXECUTIVE MERGER COMPENSATION PROPOSAL TO APPROVE, ON A NON-BINDING ADVISORY BASIS, COMPENSATION THAT WILL OR MAY BECOME PAYABLE BY AVIRAGEN TO ITS NAMED EXECUTIVE OFFICERS IN CONNECTION WITH THE MERGER.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660"/>
        <w:spacing w:after="0" w:line="280" w:lineRule="auto"/>
        <w:rPr>
          <w:sz w:val="20"/>
          <w:szCs w:val="20"/>
          <w:color w:val="auto"/>
        </w:rPr>
      </w:pPr>
      <w:r>
        <w:rPr>
          <w:rFonts w:ascii="Arial" w:cs="Arial" w:eastAsia="Arial" w:hAnsi="Arial"/>
          <w:sz w:val="18"/>
          <w:szCs w:val="18"/>
          <w:b w:val="1"/>
          <w:bCs w:val="1"/>
          <w:color w:val="auto"/>
        </w:rPr>
        <w:t>Aviragen Proposal No. 4 (Say-on-Pay Frequency Proposal): Advisory, Non-Binding Vote on the Frequency of an Advisory Vote on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Section 14A of the Exchange Act requires that Aviragen provide its stockholders with the opportunity to vote, on a non-binding, advisory basis, for their preference as to how frequently to include future advisory votes on the compensation of Aviragen’s named executive officers. Aviragen last sought an advisory vote on frequency of say-on-pay votes in 2011. By voting on this proposal, stockholders may indicate whether they would prefer an advisory vote on named executive officer compensation once every one, two, or three years or abstain from voting on this proposal. For the reasons described below, the Aviragen board of directors recommends that its stockholders select a frequency of every year, or an annual vote.</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After careful consideration of this proposal, the Aviragen board of directors has determined that an advisory vote on executive compensation that occurs every year is the most appropriate alternative for Aviragen, and therefore the Aviragen board of directors recommends that you vote for an annual interval for the advisory vote on executive compensation.</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formulating its recommendation, the Aviragen board of directors considered that an annual advisory vote on executive compensation will allow the Aviragen stockholders to provide Aviragen with their direct input on Aviragen’s compensation philosophy, policies and practices as disclosed in the proxy statement every year. Additionally, an annual advisory vote on executive compensation is consistent with Aviragen’s policy of seeking input from, and engaging in discussions with, its stockholders on corporate governance matters and Aviragen’s executive compensation philosophy, policies and practices. Aviragen understands that its stockholders may have different views as to what is the best approach for Aviragen, and Aviragen looks forward to hearing from its stockholders on this proposal.</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You may cast your vote on your preferred voting frequency by choosing the option of once every year, once every two years, once every three years or abstain from voting when you vote in response to the resolution set forth below.</w:t>
      </w:r>
    </w:p>
    <w:p>
      <w:pPr>
        <w:spacing w:after="0" w:line="17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“RESOLVED, that the option of “ONCE EVERY YEAR,” “ONCE EVERY TWO YEARS” and “ONCE EVERY THREE YEARS” that receives the highest number of votes cast for this resolution will be determined to be the preferred frequency with which Aviragen Therapeutics, Inc. is to hold a stockholder vote to approve the compensation of the named executive officers, as disclosed pursuant to the SEC’s compensation disclosure rules (which disclosure shall include the Compensation Discussion and Analysis, the Summary Compensation Table, and the other related tables and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option of “ONCE EVERY YEAR,” “ONCE EVERY TWO YEARS” or “ONCE EVERY THREE YEARS” that receives the highest number of votes cast by stockholders will be the frequency for the advisory vote on executive compensation that has been selected by Aviragen’s stockholders. However, because this vote is advisory and not binding on the Aviragen board of directors or Aviragen in any way, the Aviragen board of directors may decide that it is in the best interests of Aviragen’s stockholders and Aviragen to hold an advisory vote on executive compensation more or less frequently than the option approved by Aviragen’s stockholders.</w:t>
      </w:r>
    </w:p>
    <w:p>
      <w:pPr>
        <w:spacing w:after="0" w:line="184"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b w:val="1"/>
          <w:bCs w:val="1"/>
          <w:color w:val="auto"/>
        </w:rPr>
        <w:t>THE AVIRAGEN BOARD OF DIRECTORS UNANIMOUSLY RECOMMENDS THAT THE AVIRAGEN STOCKHOLDERS VOTE FOR THE SELECTION OF “ONCE EVERY YEAR” AS THE FREQUENCY WITH WHICH STOCKHOLDERS ARE ASKED TO PROVIDE AN ADVISORY VOTE ON THE COMPENSATION OF AVIRAGEN’S NAMED EXECUTIVE OFFICERS.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38" w:name="page139"/>
    <w:bookmarkEnd w:id="13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 Proposal No. 5 (Adjournment Proposal): Approval of Possible Adjournment of the Aviragen Special Meeting</w:t>
      </w:r>
    </w:p>
    <w:p>
      <w:pPr>
        <w:spacing w:after="0" w:line="22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If Aviragen fails to receive a sufficient number of votes to approve the Stock Issuance Proposal and/or the Reverse Stock Split Proposal, Aviragen may propose to adjourn the Aviragen special meeting for the purpose of soliciting additional proxies to approve the Stock Issuance Proposal and/or the Reverse Stock Split Proposal. Aviragen currently does not intend to propose adjournment at the Aviragen special meeting if there are sufficient votes to approve the Stock Issuance Proposal or the Reverse Stock Split Proposal.</w:t>
      </w:r>
    </w:p>
    <w:p>
      <w:pPr>
        <w:spacing w:after="0" w:line="18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If a quorum is present, and the Stock Issuance Proposal has received sufficient votes for approval, but the Reverse Stock Split Proposal has not received the requisite votes for approval, and votes representing 2% or less of the aggregate number of shares of Aviragen common stock are needed to obtain such approval, then the special meeting will be adjourned with respect to the Reverse Stock Split Proposal for a maximum of five calendar days, during which period Aviragen will use commercially reasonable efforts to obtain such additional votes.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22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affirmative vote of the holders of a majority of the shares of Aviragen common stock properly cast at the Aviragen special meeting is required for approval of this proposal is required to approve the adjournment, if necessary, of the Aviragen special meeting for the purpose of soliciting additional proxies to approve the Stock Issuance Proposal and/or the Reverse Stock Split Proposal.</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THE AVIRAGEN BOARD OF DIRECTORS UNANIMOUSLY RECOMMENDS THAT THE AVIRAGEN STOCKHOLDERS VOTE “FOR” THE ADJOURNMENT PROPOSAL TO ADJOURN THE SPECIAL MEETING, IF NECESSARY, TO SOLICIT ADDITIONAL PROXIES IF THERE ARE NOT SUFFICIENT VOTES IN FAVOR OF THE STOCK ISSUANCE PROPOSAL AND/OR REVERSE STOCK SPLIT PROPOSAL.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39" w:name="page140"/>
    <w:bookmarkEnd w:id="13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Aviragen’s Business and Recent Developments</w:t>
      </w:r>
    </w:p>
    <w:p>
      <w:pPr>
        <w:spacing w:after="0" w:line="2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Aviragen is a biopharmaceutical company focused on the discovery and development of direct-acting antivirals to treat infections that have limited therapeutic options and affect a significant number of patients globally. Aviragen has three Phase 2 clinical stage compounds: BTA074 (teslexivir), an antiviral treatment for condyloma caused by human papillomavirus types 6 &amp; 11; vapendavir, a capsid inhibitor for the prevention or treatment of rhinovirus, or HRV, upper respiratory infections; and BTA585 (enzaplatovir), a fusion protein inhibitor in development for the treatment of respiratory syncytial virus infections. Aviragen also has a preclinical RSV non-fusion inhibitor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April 2017, Aviragen engaged Stifel as advisor to assist with the exploration of certain strategic alternatives in the strategic review process.</w:t>
      </w:r>
    </w:p>
    <w:p>
      <w:pPr>
        <w:spacing w:after="0" w:line="22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On October 27, 2017, Aviragen and Vaxart, Inc., or Vaxart, a privately held pharmaceutical company, entered into an Agreement and Plan of Merger and Reorganization, or the Merger Agreement, under which Aviragen will acquire Vaxart in an all-stock transaction. Upon the closing of the merger, the Vaxart stockholders are expected to own approximately 60% of the combined company’s outstanding shares and Aviragen’s current equity holders are expected to own the remaining approximately 40% of the combined company’s outstanding shares. Following the closing of the merger, Aviragen Therapeutics, Inc. will be renamed Vaxart, Inc. On October 27, 2017, the Aviragen board of directors adopted a change in Aviragen’s operations, due to the Merger Agreement with Vaxart, whereby Aviragen will reduce its workforce by six to a total of 10 full-time employees, who will remain on board to complete the BTA074 Phase 2 clinical trial and assist with the transition of duties to the Vaxart management team. As a result, Aviragen anticipates incurring approximately $0.9 million to $1.7 million in total costs associated with these terminations, comprised mostly of one-time termination benefits. Aviragen expects that these cash expenditures will be incurred in the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Merger Agreement with Vaxart</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On October 27, 2017, Aviragen, Agora Merger Sub, Inc., a Delaware corporation, or Merger Sub, and Vaxart entered into the Merger Agreement, pursuant to which, among other things, subject to the satisfaction or waiver of the conditions set forth in the Merger Agreement, Merger Sub will merge with and into Vaxart, with Vaxart surviving the merger as the wholly-owned subsidiary of the combined company. The Merger Agreement and the transactions contemplated hereby are described in detail elsewhere in this proxy statement/prospectus/information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Aviragen has historically focused its research and drug development capabilities on discovering and developing small molecule compounds that can prevent or treat infectious diseases. Infectious diseases are caused by pathogens that are present in the environment, such as viruses and bacteria, which enter the body through various means and overwhelm its natural defenses and cause an infection. The severity of an infectious disease varies depending on the nature of the infectious pathogen, as well as the degree to which the body’s immune system or available therapies can prevent or fight the infection. The market for anti-infective drugs can be divided into three general categories: antiviral, antibacterial and antifungal. Aviragen is currently focused on developing antiviral compounds.</w:t>
      </w:r>
    </w:p>
    <w:p>
      <w:pPr>
        <w:spacing w:after="0" w:line="19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use of antiviral drugs has led to a significant reduction in the morbidity and mortality associated with infectious diseases. However, for many infectious diseases, current treatment options, to the extent any such treatment options are currently available, are associated with suboptimal treatment outcomes, significant toxicities, tolerability issues or adverse side effects, the emergence of drug resistant pathogens, complex dosing schedules, and inconvenient methods of administration. These sub-optimal characteristics of many existing treatment options often lead to patients prematurely discontinuing treatment or not fully complying with treatment dosing schedules, resulting in a treatment failure. A patient’s failure to comply fully with a recommended dosing schedule can also both accelerate and exacerbate the emergence of drug-resistant strains. In recent years, the increasing prevalence of drug-resistant pathogens has created ongoing treatment challenges with respect to many infectious diseases. The ability of viruses to adapt rapidly to existing or new treatments through genetic mutations allows new strains to develop that may be resistant to currently available drugs.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Aviragen’s Pipeline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key information regarding Aviragen’s antiviral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Papillomavirus, or HPV</w:t>
      </w:r>
    </w:p>
    <w:p>
      <w:pPr>
        <w:spacing w:after="0" w:line="22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HPVs are small non-enveloped, double stranded DNA viruses that infect mucosal or cutaneous squamous epithelia, where they may cause benign or malignant hyperproliferation of the skin and mucosa. HPV is the most common cause of sexually transmitted infection and the disease burden includes skin warts, genital warts, cervical and other anogenital dysplasias and carcinomas, oropharyngeal cancer and recurrent respiratory papillomatosis, or RRP. Over 40 distinct types of HPV can infect the genital tract. Approximately 90% of infections caused by HPV’s are asymptomatic and resolve spontaneously within two years. However, persistent infection with some HPV types can cause cancer and other benign diseases. Of the 13 HPV types designated as human carcinogens, types 16 and 18 account for 70% of cervical cancers worldwide. Among non-carcinogenic types, HPV 6 and 11 are responsible for 90% of anogenital warts.</w:t>
      </w:r>
    </w:p>
    <w:p>
      <w:pPr>
        <w:sectPr>
          <w:pgSz w:w="11900" w:h="16838" w:orient="portrait"/>
          <w:cols w:equalWidth="0" w:num="1">
            <w:col w:w="11420"/>
          </w:cols>
          <w:pgMar w:left="240" w:top="118" w:right="2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72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40" w:name="page141"/>
    <w:bookmarkEnd w:id="14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Genital warts, also referred to as anogenital warts or condyloma, are the most commonly identified pathology caused by genital HPVs. Genital warts are sexually transmitted, with a high rate of transmission and significant psychosocial morbidity. Genital warts are one of the most common viral sexually transmitted disease, or STD, worldwide. It is one of the most frequent STDs diagnosed among genitourinary medicine clinics and accounts for more frequent visits to general practitioners or genitourinary medicine clinics than those for genital herpes. In 2013, the Centers for Disease Control and Prevention estimated that in the United States there were more than 400,000 visits to physicians’ offices related to genital warts.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Currently, no approved HPV-specific direct acting antiviral drugs exist to treat genital warts. Existing treatments for genital warts can be divided broadly into two categories: provider-administered ablative/cytodestructive therapies (including cryotherapy, laser ablation, and trichloroacetic acid) and patient-administered topical therapies, such as podophyllotoxin, sinecatechins, and imiquimod. Imiquimod directly activates innate immune cells through toll-like receptor 7, resulting in production of cytokines. Treatment choice depends on the morphology, number, and distribution of warts and patient preference. Significant failure and relapse rates, often as much as 20-30% or more have been reported for all of these existing treatments. Further, all existing therapies are associated with local skin reactions including itching, burning, erosions and pain. Therefore, despite the existence of marketed prophylactic vaccines, effective therapies against pathologies caused by HPV6 and HPV11 are still needed.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BTA074</w:t>
      </w:r>
    </w:p>
    <w:p>
      <w:pPr>
        <w:spacing w:after="0" w:line="22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BTA074 is in development for the treatment of genital warts caused by HPV. BTA074 is a potent and selective inhibitor of the interaction between two viral proteins from HPV6 and HPV11, E1 and E2, an interaction that is an essential step for HPV DNA replication and thus, viral production and pathogenesis. This inhibition results from the binding of BTA074 to the E2 protein (Kd=168 nM). BTA074 is a first-in-class directing acting antiviral specific to HPV and possesses new mechanism of action that can be exploited to treat infections caused by HPV types 6 &amp; 11. BTA074 was selected for clinical development among more than 1200 unique compounds tested. BTA074 was developed by combining chemo-informatics modeling and </w:t>
      </w:r>
      <w:r>
        <w:rPr>
          <w:rFonts w:ascii="Arial" w:cs="Arial" w:eastAsia="Arial" w:hAnsi="Arial"/>
          <w:sz w:val="16"/>
          <w:szCs w:val="16"/>
          <w:i w:val="1"/>
          <w:iCs w:val="1"/>
          <w:color w:val="auto"/>
        </w:rPr>
        <w:t>in cellulo</w:t>
      </w:r>
      <w:r>
        <w:rPr>
          <w:rFonts w:ascii="Arial" w:cs="Arial" w:eastAsia="Arial" w:hAnsi="Arial"/>
          <w:sz w:val="16"/>
          <w:szCs w:val="16"/>
          <w:color w:val="auto"/>
        </w:rPr>
        <w:t xml:space="preserve"> screening of E1/E2 protein-protein interactions. These studies showed that BTA074 inhibits the HPV6 and HPV11 E1/E2 interaction or HPV DNA replication </w:t>
      </w:r>
      <w:r>
        <w:rPr>
          <w:rFonts w:ascii="Arial" w:cs="Arial" w:eastAsia="Arial" w:hAnsi="Arial"/>
          <w:sz w:val="16"/>
          <w:szCs w:val="16"/>
          <w:i w:val="1"/>
          <w:iCs w:val="1"/>
          <w:color w:val="auto"/>
        </w:rPr>
        <w:t>in cellulo</w:t>
      </w:r>
      <w:r>
        <w:rPr>
          <w:rFonts w:ascii="Arial" w:cs="Arial" w:eastAsia="Arial" w:hAnsi="Arial"/>
          <w:sz w:val="16"/>
          <w:szCs w:val="16"/>
          <w:color w:val="auto"/>
        </w:rPr>
        <w:t xml:space="preserve"> with an IC50 of 0.5-1 M. The IC50 represents the concentration of a drug that is required for 50% inhibition of a biological process. Moreover, BTA074 is highly selective for low-risk types HPV 6 and HPV 11, since it does not inhibit replication of HPV 18 or E1/E2 protein interactions of other HPVs.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BTA074 Clinical Trials</w:t>
      </w:r>
    </w:p>
    <w:p>
      <w:pPr>
        <w:spacing w:after="0" w:line="22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ongoing Phase 2 trial Aviragen initiated in February 2016 is intended to further validate BTA074’s favorable local skin tolerability profile and</w:t>
      </w:r>
      <w:r>
        <w:rPr>
          <w:rFonts w:ascii="Arial" w:cs="Arial" w:eastAsia="Arial" w:hAnsi="Arial"/>
          <w:sz w:val="17"/>
          <w:szCs w:val="17"/>
          <w:i w:val="1"/>
          <w:iCs w:val="1"/>
          <w:color w:val="auto"/>
        </w:rPr>
        <w:t xml:space="preserve"> </w:t>
      </w:r>
      <w:r>
        <w:rPr>
          <w:rFonts w:ascii="Arial" w:cs="Arial" w:eastAsia="Arial" w:hAnsi="Arial"/>
          <w:sz w:val="17"/>
          <w:szCs w:val="17"/>
          <w:color w:val="auto"/>
        </w:rPr>
        <w:t>antiviral activity. The trial is designed as a double-blind placebo controlled, randomized, Phase 2 study the primary objective of which is to assess the safety, tolerability, pharmacokinetics and efficacy of twice daily topical treatments of BTA074 5% gel for up to 16 weeks in approximately 210 genital warts patients. A primary efficacy endpoint is to determine the complete clearance rate for baseline genital warts lesions after twice daily application of BTA074 5% gel or placebo from baseline week 0 visit to the completion of the treatment. The Phase 2 trial is ongoing with completion of enrollment in the fourth quarter of calendar year 2017. Top-line safety and efficacy data are expected in the second quarter of calendar year 2018.</w:t>
      </w:r>
    </w:p>
    <w:p>
      <w:pPr>
        <w:spacing w:after="0" w:line="17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Phase 2a. </w:t>
      </w:r>
      <w:r>
        <w:rPr>
          <w:rFonts w:ascii="Arial" w:cs="Arial" w:eastAsia="Arial" w:hAnsi="Arial"/>
          <w:sz w:val="18"/>
          <w:szCs w:val="18"/>
          <w:color w:val="auto"/>
        </w:rPr>
        <w:t>In 2013, a Phase 2a clinical trial of BTA074 5% gel was completed. The six-week, Phase 2a study in 24 subjects (16 active; eight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demonstrated that twice daily application of 100 mg BTA074 5% gel had an excellent local skin tolerability profile and resulted in high patient compliance and no patient drop-outs or treatment interruptions. Further, treatment with BTA074 produced a 56% overall response rate and a 38% reduction in mean baseline wart area.</w:t>
      </w:r>
    </w:p>
    <w:p>
      <w:pPr>
        <w:spacing w:after="0" w:line="187"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i w:val="1"/>
          <w:iCs w:val="1"/>
          <w:color w:val="auto"/>
        </w:rPr>
        <w:t xml:space="preserve">Phase 1b. </w:t>
      </w:r>
      <w:r>
        <w:rPr>
          <w:rFonts w:ascii="Arial" w:cs="Arial" w:eastAsia="Arial" w:hAnsi="Arial"/>
          <w:sz w:val="16"/>
          <w:szCs w:val="16"/>
          <w:color w:val="auto"/>
        </w:rPr>
        <w:t>In 2013, a Phase 1b multicenter, double-blind, randomized, placebo-controlled study in eight genital warts subjects (six active; two placebo) was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100 mg BTA074 5% gel was applied topically twice daily for seven days to the infected area. No adverse events were reported during this study and no clinically relevant findings were observed in clinical examination, laboratory parameters, vital signs or electrocardiogram, or ECG, parameters.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Rhinovirus, or HRV</w:t>
      </w:r>
    </w:p>
    <w:p>
      <w:pPr>
        <w:spacing w:after="0" w:line="22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Human rhinovirus, or HRV, is a non-enveloped, single-stranded virus that belongs to the </w:t>
      </w:r>
      <w:r>
        <w:rPr>
          <w:rFonts w:ascii="Arial" w:cs="Arial" w:eastAsia="Arial" w:hAnsi="Arial"/>
          <w:sz w:val="17"/>
          <w:szCs w:val="17"/>
          <w:i w:val="1"/>
          <w:iCs w:val="1"/>
          <w:color w:val="auto"/>
        </w:rPr>
        <w:t>Picornaviridae</w:t>
      </w:r>
      <w:r>
        <w:rPr>
          <w:rFonts w:ascii="Arial" w:cs="Arial" w:eastAsia="Arial" w:hAnsi="Arial"/>
          <w:sz w:val="17"/>
          <w:szCs w:val="17"/>
          <w:color w:val="auto"/>
        </w:rPr>
        <w:t xml:space="preserve"> family. Currently more than 100 distinct serotypes of HRV are classified into three species, HRV-A, HRV-B, and HRV-C. HRV is the virus that causes the common cold. Primary market research conducted by the IMS Consulting Group on Aviragen’s behalf with pulmonologists, internists and general practitioners indicated that adult asthma and chronic obstructive pulmonary disease, or COPD, patients experience four to six colds per year. Asthma is a common disease with underlying inflammation of the airways that affects an estimated 300 million people worldwide and 26 million people in the United States. Respiratory viruses, and in particular HRV, are a significant cause of exacerbations. In a 2014 study of asthma patients with cold-like symptoms, 63% of the patients had respiratory viruses that were detected by quantitative polymerase chain reaction and the majority of those samples (68%) contained HRV.</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1" w:name="page142"/>
    <w:bookmarkEnd w:id="14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color w:val="auto"/>
        </w:rPr>
        <w:t>COPD is the most common chronic respiratory condition in adults whose prevalence is expected to continue to increase in the future. Currently, the World Health Organization, or WHO, estimates that 64 million people have moderate to severe COPD worldwide. In the United States there are an estimated 28 million individuals over the age of 40 with COPD, with an annual average growth rate of 1.9%. Further, of the estimated 28 million COPD patients in the United States, approximately 13 million are classified as having moderate to severe/very severe COPD.</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Similar to the presence of HRV in asthma exacerbations, HRV is the most common virus detected during exacerbations of COPD. In COPD patients, colds often precede exacerbation symptoms. In a published experimental challenge study, COPD patients with an HRV infection showed more severe and prolonged lower respiratory symptoms, airway obstruction, and neutrophilic airway inflammation than subjects without COPD. In addition, a recent natural exposure study in COPD patients demonstrated that HRV prevalence and viral load at exacerbation presentation were significantly higher compared to a period when the patient was not experiencing an exacerbation. Further, the HRV viral load was elevated in COPD patients that presented to the clinic, consistent with the experimental challenge study, suggesting that viral replication may be ongoing, and antiviral therapy may be an effective treatment modality to prevent or reduce the severity of exacerbations.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There are currently no direct antiviral drugs approved for the treatment of HRV. As such, there remains a significant unmet medical need to identify treatments that can reduce the impact that HRV infection has on the frequency of exacerbations and loss of control, prevent viral transmission, lessen the severity and duration of cold-like HRV symptoms and minimize secondary bacterial infections in asthma and COPD patients.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Vapendavir (BTA798)</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Aviragen is developing vapendavir (BTA798), a potent antiviral capsid binder that is designed to bind to a highly conserved pocket in the HRV capsid and interfere with receptor binding and/or related early steps in the infectious cycle. Vapendavir is a potent inhibitor of picornaviruses and has been shown to inhibit the replication of a wide range of HRV serotypes and the replication of a majority of recent HRV clinical isolates in tissue culture assays. The median EC50 value for vapendavir against the 100 HRV serotypes is a potent 5.8 ng/mL (15.2 nM). The EC50 represents the concentration of drug that is required for 50% inhibition of viral replication </w:t>
      </w:r>
      <w:r>
        <w:rPr>
          <w:rFonts w:ascii="Arial" w:cs="Arial" w:eastAsia="Arial" w:hAnsi="Arial"/>
          <w:sz w:val="18"/>
          <w:szCs w:val="18"/>
          <w:i w:val="1"/>
          <w:iCs w:val="1"/>
          <w:color w:val="auto"/>
        </w:rPr>
        <w:t>in vitro</w:t>
      </w:r>
      <w:r>
        <w:rPr>
          <w:rFonts w:ascii="Arial" w:cs="Arial" w:eastAsia="Arial" w:hAnsi="Arial"/>
          <w:sz w:val="18"/>
          <w:szCs w:val="18"/>
          <w:color w:val="auto"/>
        </w:rPr>
        <w:t>. Vapendavir has also demonstrated antiviral activity against other clinically relevant enteroviruses, or EV, including EV-71 and poliovirus types 1, 2 and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Vapendavir (BTA798) Clinical Trials</w:t>
      </w:r>
    </w:p>
    <w:p>
      <w:pPr>
        <w:spacing w:after="0" w:line="22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Phase 2b SPIRITUS Trial. </w:t>
      </w:r>
      <w:r>
        <w:rPr>
          <w:rFonts w:ascii="Arial" w:cs="Arial" w:eastAsia="Arial" w:hAnsi="Arial"/>
          <w:sz w:val="17"/>
          <w:szCs w:val="17"/>
          <w:color w:val="auto"/>
        </w:rPr>
        <w:t>In February 2017, Aviragen announced top-line data from its Phase 2b SPIRITUS trial, a multi-center, randomized, double-blind,</w:t>
      </w:r>
      <w:r>
        <w:rPr>
          <w:rFonts w:ascii="Arial" w:cs="Arial" w:eastAsia="Arial" w:hAnsi="Arial"/>
          <w:sz w:val="17"/>
          <w:szCs w:val="17"/>
          <w:i w:val="1"/>
          <w:iCs w:val="1"/>
          <w:color w:val="auto"/>
        </w:rPr>
        <w:t xml:space="preserve"> </w:t>
      </w:r>
      <w:r>
        <w:rPr>
          <w:rFonts w:ascii="Arial" w:cs="Arial" w:eastAsia="Arial" w:hAnsi="Arial"/>
          <w:sz w:val="17"/>
          <w:szCs w:val="17"/>
          <w:color w:val="auto"/>
        </w:rPr>
        <w:t>placebo controlled, dose-ranging study of vapendavir in 454 moderate to severe asthmatics with a rhinovirus infection. Vapendavir did not demonstrate a statistically significant reduction in the primary endpoint, asthma control questionnaire-6 (ACQ-6) at day 14 compared to placebo; however, Vapendavir did demonstrate an antiviral effect and clinical benefit in subjects dosed within 24 hours of symptom onset, consistent with that observed in earlier clinical trials with the drug. Aviragen is working with several key opinion leaders in evaluating a potential clinical development path for the drug based on the consistent antiviral effect observed in all of its Phase 2 clinical studies and its favorable safety profile.</w:t>
      </w:r>
    </w:p>
    <w:p>
      <w:pPr>
        <w:spacing w:after="0" w:line="17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i w:val="1"/>
          <w:iCs w:val="1"/>
          <w:color w:val="auto"/>
        </w:rPr>
        <w:t xml:space="preserve">Phase 1 Bioavailability Trial. </w:t>
      </w:r>
      <w:r>
        <w:rPr>
          <w:rFonts w:ascii="Arial" w:cs="Arial" w:eastAsia="Arial" w:hAnsi="Arial"/>
          <w:sz w:val="16"/>
          <w:szCs w:val="16"/>
          <w:color w:val="auto"/>
        </w:rPr>
        <w:t>In 2016, Aviragen initiated a single-center, open-label, three-period comparative bioavailability study in healthy volunteers to</w:t>
      </w:r>
      <w:r>
        <w:rPr>
          <w:rFonts w:ascii="Arial" w:cs="Arial" w:eastAsia="Arial" w:hAnsi="Arial"/>
          <w:sz w:val="16"/>
          <w:szCs w:val="16"/>
          <w:i w:val="1"/>
          <w:iCs w:val="1"/>
          <w:color w:val="auto"/>
        </w:rPr>
        <w:t xml:space="preserve"> </w:t>
      </w:r>
      <w:r>
        <w:rPr>
          <w:rFonts w:ascii="Arial" w:cs="Arial" w:eastAsia="Arial" w:hAnsi="Arial"/>
          <w:sz w:val="16"/>
          <w:szCs w:val="16"/>
          <w:color w:val="auto"/>
        </w:rPr>
        <w:t>assess the comparability of the vapendavir phosphate salt capsule, and two new formulations of vapendavir free base in the forms of an oral suspension and tablet. Forty-six (46) subjects completed three periods of dosing and the plasma pharmacokinetic results indicated that the bioavailability of the oral suspension and tablet formulations were comparable to the capsule form of vapendavir. The oral suspension formulation is intended to enable the conduct of future pediatric trials, and the tablet formulation will allow an increase in manufacturing scale appropriate for Phase 3 trials and commercial development.</w:t>
      </w:r>
    </w:p>
    <w:p>
      <w:pPr>
        <w:spacing w:after="0" w:line="16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Phase 1 Drug-Drug Interaction Trial</w:t>
      </w:r>
      <w:r>
        <w:rPr>
          <w:rFonts w:ascii="Arial" w:cs="Arial" w:eastAsia="Arial" w:hAnsi="Arial"/>
          <w:sz w:val="16"/>
          <w:szCs w:val="16"/>
          <w:color w:val="auto"/>
        </w:rPr>
        <w:t>. In 2014, Aviragen also completed a drug-drug interaction study entitled ‘A Phase 1, Randomized, Open-Label Study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Effect of Vapendavir (BTA798) on the Pharmacokinetics of Orally Administered Midazolam, a CYP3A4 Substrate, in Healthy Male and Female Volunteers’. This study was designed to assess the effect of vapendavir on the PK profile of midazolam, a CYP3A4 substrate. Additionally, the effect of midazolam on the PK profile of vapendavir, the PK profile differences of vapendavir in males and females, and the safety profile of vapendavir were assessed. 12 male and 12 female subjects aged 18 to 55 years were randomized to receive one of two oral doses of vapendavir and midazolam. Of the 24 subjects randomized, 22 completed all study visits. No serious adverse events, or SAEs, occurred during the study. The results of the study confirmed vapendavir’s pharmacokinetic profile as established in prior clinical trials and established that vapendavir is a weak to moderate inducer of CYP3A4, which suggests that vapendavir may be used to treat asthma and COPD patients receiving multiple background medications.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2" w:name="page143"/>
    <w:bookmarkEnd w:id="14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In 2012, Aviragen completed a 300-patient, multicenter, randomized, double-blind, placebo-controlled study of vapendavir in adults with mild to</w:t>
      </w:r>
      <w:r>
        <w:rPr>
          <w:rFonts w:ascii="Arial" w:cs="Arial" w:eastAsia="Arial" w:hAnsi="Arial"/>
          <w:sz w:val="16"/>
          <w:szCs w:val="16"/>
          <w:i w:val="1"/>
          <w:iCs w:val="1"/>
          <w:color w:val="auto"/>
        </w:rPr>
        <w:t xml:space="preserve"> </w:t>
      </w:r>
      <w:r>
        <w:rPr>
          <w:rFonts w:ascii="Arial" w:cs="Arial" w:eastAsia="Arial" w:hAnsi="Arial"/>
          <w:sz w:val="16"/>
          <w:szCs w:val="16"/>
          <w:color w:val="auto"/>
        </w:rPr>
        <w:t>moderate asthma that had a symptomatic HRV infection. The primary objective of the study was to determine the efficacy of vapendavir on symptoms of presumptive HRV infection in asthmatic adults, as measured by the WURSS-21 severity scores. Vapendavir was dosed at 264 mg twice daily for six days. The study was conducted over two HRV seasons (18 months) and 155 subjects in the vapendavir arm and 145 subjects in the placebo group were randomized into the study. The trial successfully met its primary endpoint, which was a reduction of cold symptoms based on the WURSS-21 severity score averaged over days two through day four. The mean daily reduction in WURSS-21 severity score averaged over days two to four was significantly greater in the vapendavir treated group compared to the placebo group (least square mean difference: -4.01, p = 0.020). Vapendavir was generally tolerated and most treatment-related adverse events were of mild intensity, with moderate treatment-related events reported in 2.3% of subjects. No SAE’s occurred during the study.</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7"/>
          <w:szCs w:val="17"/>
          <w:i w:val="1"/>
          <w:iCs w:val="1"/>
          <w:color w:val="auto"/>
        </w:rPr>
        <w:t xml:space="preserve">Phase 2 HRV39 Challenge Study. </w:t>
      </w:r>
      <w:r>
        <w:rPr>
          <w:rFonts w:ascii="Arial" w:cs="Arial" w:eastAsia="Arial" w:hAnsi="Arial"/>
          <w:sz w:val="17"/>
          <w:szCs w:val="17"/>
          <w:color w:val="auto"/>
        </w:rPr>
        <w:t>In 2009, Aviragen completed a Phase 2a placebo-controlled, double-blind, randomized, parallel group trial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of 16.5 mg, 66 mg and 264 mg of vapendavir, when dosed twice daily for 10 days, to prevent experimental HRV39 infection (challenge design) in 41 healthy volunteers. Subjects that received 264 mg of vapendavir achieved a statistically significant reduction compared to placebo in mean viral load on days two to five inclusive. Vapendavir was generally well tolerated, and the overall incidence of adverse events was low, not dose dependent, and was similar to placebo. There was one SAE of neutropenic sepsis in a subject in the 66 mg arm of the trial.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Respiratory Syncytial Virus, or RSV</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RSV, a member of the </w:t>
      </w:r>
      <w:r>
        <w:rPr>
          <w:rFonts w:ascii="Arial" w:cs="Arial" w:eastAsia="Arial" w:hAnsi="Arial"/>
          <w:sz w:val="17"/>
          <w:szCs w:val="17"/>
          <w:i w:val="1"/>
          <w:iCs w:val="1"/>
          <w:color w:val="auto"/>
        </w:rPr>
        <w:t>Paramyxoviridae</w:t>
      </w:r>
      <w:r>
        <w:rPr>
          <w:rFonts w:ascii="Arial" w:cs="Arial" w:eastAsia="Arial" w:hAnsi="Arial"/>
          <w:sz w:val="17"/>
          <w:szCs w:val="17"/>
          <w:color w:val="auto"/>
        </w:rPr>
        <w:t xml:space="preserve"> family of viruses, is a major cause of acute upper and lower respiratory tract infections in infants, young children, and adults. Datamonitor, an independent research provider, estimates that approximately 18 million people are infected annually with RSV in the seven major markets worldwide, including over 9 million children under the age of four, 5.5 million elderly, and 3 million adults with underlying disease. About 900,000 of these individuals are hospitalized for their RSV infection. These infections are particularly problematic in infants, as approximately 91,000 are hospitalized with RSV infection in the United States in any given year. RSV infections are also responsible for 40% to 50% of hospitalizations for pediatric bronchiolitis and 25% of hospitalizations for pediatric pneumonia. In addition to pediatric patients, elderly patients with cardiac or pulmonary conditions and adults that have received a hematopoietic stem cell transplant are at an increased risk for severe RSV infection. The overall magnitude of hospitalizations makes RSV a costly disease, although mortality is low.</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To date, only three drugs have been approved to either prevent or treat RSV infections. Ribavirin is used to treat serious RSV infections in infants with severe bronchiolitis and in immunocompromised patients. However, its use is restricted due to highly variable efficacy and toxicity risks. In fact, current American Academy of Pediatrics guidelines for the treatment of bronchiolitis in children do not recommend the routine use of ribavirin to treat RSV infection due to lack of clinical evidence supporting its use. Antibody-based products RespiGam</w:t>
      </w:r>
      <w:r>
        <w:rPr>
          <w:rFonts w:ascii="Arial" w:cs="Arial" w:eastAsia="Arial" w:hAnsi="Arial"/>
          <w:sz w:val="31"/>
          <w:szCs w:val="31"/>
          <w:color w:val="auto"/>
          <w:vertAlign w:val="superscript"/>
        </w:rPr>
        <w:t>®</w:t>
      </w:r>
      <w:r>
        <w:rPr>
          <w:rFonts w:ascii="Arial" w:cs="Arial" w:eastAsia="Arial" w:hAnsi="Arial"/>
          <w:sz w:val="16"/>
          <w:szCs w:val="16"/>
          <w:color w:val="auto"/>
        </w:rPr>
        <w:t xml:space="preserve"> (no longer available) and Synagis</w:t>
      </w:r>
      <w:r>
        <w:rPr>
          <w:rFonts w:ascii="Arial" w:cs="Arial" w:eastAsia="Arial" w:hAnsi="Arial"/>
          <w:sz w:val="31"/>
          <w:szCs w:val="31"/>
          <w:color w:val="auto"/>
          <w:vertAlign w:val="superscript"/>
        </w:rPr>
        <w:t>®</w:t>
      </w:r>
      <w:r>
        <w:rPr>
          <w:rFonts w:ascii="Arial" w:cs="Arial" w:eastAsia="Arial" w:hAnsi="Arial"/>
          <w:sz w:val="16"/>
          <w:szCs w:val="16"/>
          <w:color w:val="auto"/>
        </w:rPr>
        <w:t xml:space="preserve"> (palivizumab) were designed,</w:t>
      </w:r>
    </w:p>
    <w:p>
      <w:pPr>
        <w:spacing w:after="0" w:line="200" w:lineRule="auto"/>
        <w:rPr>
          <w:sz w:val="20"/>
          <w:szCs w:val="20"/>
          <w:color w:val="auto"/>
        </w:rPr>
      </w:pPr>
      <w:r>
        <w:rPr>
          <w:rFonts w:ascii="Arial" w:cs="Arial" w:eastAsia="Arial" w:hAnsi="Arial"/>
          <w:sz w:val="18"/>
          <w:szCs w:val="18"/>
          <w:color w:val="auto"/>
        </w:rPr>
        <w:t>developed and approved to prevent, not treat, RSV infections in high risk premature infants. Due to the high cost of treatment with Synagis</w:t>
      </w:r>
      <w:r>
        <w:rPr>
          <w:rFonts w:ascii="Arial" w:cs="Arial" w:eastAsia="Arial" w:hAnsi="Arial"/>
          <w:sz w:val="35"/>
          <w:szCs w:val="35"/>
          <w:color w:val="auto"/>
          <w:vertAlign w:val="superscript"/>
        </w:rPr>
        <w:t>®</w:t>
      </w:r>
      <w:r>
        <w:rPr>
          <w:rFonts w:ascii="Arial" w:cs="Arial" w:eastAsia="Arial" w:hAnsi="Arial"/>
          <w:sz w:val="18"/>
          <w:szCs w:val="18"/>
          <w:color w:val="auto"/>
        </w:rPr>
        <w:t>, its use is limited in many hospitals. There remains a significant unmet need for a safe and effective treatment for RSV in all at-risk populations.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BTA585 (enzaplatovir)</w:t>
      </w:r>
    </w:p>
    <w:p>
      <w:pPr>
        <w:spacing w:after="0" w:line="22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Aviragen’s lead compound, BTA585, is a potent, non-cytotoxic and selective inhibitor of the RSV F protein. Data from studies investigating the mechanism of BTA585 antiviral activity, including analysis of RSV resistance mutants, support the conclusion that BTA585 inhibits the function of the RSV F protein. Therefore, BTA585 exerts its antiviral activity by interfering with the earliest stage of infection by inhibiting the attachment and/or fusion of the virus to the host cell. BTA585 is equally active against both RSV A and B subtypes but has no known activity against other pathogenic viruses. When tested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against a panel of RSV A &amp; B clinical isolates, BTA585 was found to be potent with an average EC50 =138nM.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BTA585 Clinical Trials</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double-blind, placebo-controlled, Phase 2a trial initiated in April 2016 in the U.K. was designed to evaluate the safety, pharmacokinetics, and antiviral activity of orally dosed BTA585 in healthy volunteers challenged intranasally with RSV-A Memphis 37b. Following intranasal inoculation with RSV, and a positive test for RSV or five days after challenge, approximately 60 healthy adults were randomized to receive either BTA585 400 mg BID, BTA585 600 mg BID, or placebo, dosed twice daily for seven days and monitored for 28 days.</w:t>
      </w:r>
    </w:p>
    <w:p>
      <w:pPr>
        <w:spacing w:after="0" w:line="18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In February 2017, Aviragen announced top-line data from its double-blind, placebo-controlled Phase 2a study of BTA585 in adults challenged intranasally with RSV. The data indicated there was not a significant reduction in the primary endpoint, which was change in AUC viral load (copies/mL*hours) from first dose of study drug through study day 12. The overall safety profile of BTA585 was favorable and consistent across treatment groups. Further analysis of the pharmacokinetic/pharmadynamic results from patients in the trial suggested that the systemic concentration of BTA585 was not sustained above the EC90 for the challenge RSV-A strain Memphis 37b over the duration of dosing period potentially contributing to sub-therapeutic antiviral levels.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3" w:name="page144"/>
    <w:bookmarkEnd w:id="14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During the Phase 2a trial, in May 2016, Aviragen announced a voluntary delay in enrollment due to the receipt of a lab result from one subject showing an increase of a cardiac enzyme level coupled with transient ECG changes, which led to a hospitalization of less than 24 hours for observation and assessment. The subject's ECGs normalized in the clinic prior to hospitalization and the cardiac enzyme levels returned to baseline shortly thereafter. Furthermore, a cardiac MRI was normal with no evidence of functional deficit or ongoing cardiac condition. After a review of the subject’s data, the MHRA agreed to allow enrollment to resume in order to complete the higher dose level cohort. Aviragen also reported that subsequent to the submission of the requisite safety report of this event to the FDA, Aviragen received communication from the FDA that the IND for BTA585 had been placed on clinical hold for future studies being conducted in the United States under the IND. In the first half of calendar year 2017, Aviragen had completed the requested non-clinical studies requested by the FDA to support a response to the clinical hold, but has subsequently put all activities related to the BTA585 program on hold until completion of Aviragen’s strategic review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Multiple Ascending Dose, or MAD, Clinical Trial</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2016, Aviragen completed a blinded, placebo-controlled MAD study, conducted in the United States under an IND, which evaluated the safety and PK of three cohorts of healthy volunteers (100, 400, and 600 mg BTA585) dosed orally twice a day for seven consecutive days. Each of the dose cohorts consisted of eight subjects that received BTA585 and four that received placebo. Adverse events occurring in more than two BTA585-treated subjects were headache and chromaturia. Additional results showed that BTA585 plasma Cmax was rapidly achieved at approximately one hour following oral dosing, exposure was dose-proportional, there was no accumulation of BTA585 over the duration of dosing and the half-life (T1/2) was approximately 5 to 6 hours.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Single Ascending Dose, or SAD, Clinical Trial</w:t>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2016, Aviragen completed a blinded, placebo-controlled SAD study, which was conducted in the United States under an IND, evaluating the safety and pharmacokinetics, or PK, of six oral doses of BTA585 (50, 100, 200, 400, 500 and 800 mg) in healthy volunteers. In addition, the 100 mg cohort included an evaluation of the effect of food on the PK profile of BTA585. Each of the dose cohorts consisted of seven subjects that received BTA585 and three that received placebo. Overall, there was low incidence of adverse events, or AEs, with BTA585 treatment. AEs occurring in more than two BTA585-treated subjects included headache, nausea, and chromaturia. In the fasted subjects, pharmacokinetic data demonstrated that doses ≥ 100 mg achieved BTA585 plasma levels that exceeded the mean EC50 of RSV clinical isolates for 24 hours. The BTA585 plasma Cmax was rapidly achieved at approximately one hour following oral dosing and the half-life (T1/2) was approximately 5 to 6 hours. Additionally, dosing of BTA585 with a high fat meal did not adversely affect the PK.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Non-Fusion RSV Inhibitors</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July 2016, Aviragen entered into an exclusive, worldwide license and sponsored research agreement with Georgia State University Research Foundation, or GSURF to jointly develop and commercialize RSV replication inhibitors discovered by Professor Richard Plemper and his team in the Institute for Biomedical Sciences, or IBMS, at Georgia State University. Aviragen believes that RSV replication inhibitors could be useful as a stand-alone treatment or potentially in combination therapy with BTA585 or other RSV therapies for the treatment of patients infected with RSV. Aviragen has commenced research activities using medicinal chemistry to synthesize and potentially identify compounds that have biological activity in screening models of RSV replication inhibition.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Laninamivir Octanoate, or LANI</w:t>
      </w:r>
    </w:p>
    <w:p>
      <w:pPr>
        <w:spacing w:after="0" w:line="22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2003, Aviragen cross-licensed intellectual property related to a new class of inhaled long acting neuraminidase inhibitors, or NI’s, with Daiichi Sankyo. The lead product from this collaboration is LANI, also known as CS-8958, a second-generation octanoyl ester pro-drug of laninamivir. LANI has been shown to have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neuraminidase-inhibitory activity against various influenza A and B viruses, including subtypes N1 to N9 and oseltamivir-resistant viruses, and it has also been found to be effective against a swine origin H1N1 strain. Moreover, LANI has long-lasting antiviral activity. LANI was successfully developed</w:t>
      </w:r>
    </w:p>
    <w:p>
      <w:pPr>
        <w:spacing w:after="0" w:line="2" w:lineRule="exact"/>
        <w:rPr>
          <w:sz w:val="20"/>
          <w:szCs w:val="20"/>
          <w:color w:val="auto"/>
        </w:rPr>
      </w:pPr>
    </w:p>
    <w:p>
      <w:pPr>
        <w:ind w:right="120"/>
        <w:spacing w:after="0" w:line="227" w:lineRule="auto"/>
        <w:rPr>
          <w:sz w:val="20"/>
          <w:szCs w:val="20"/>
          <w:color w:val="auto"/>
        </w:rPr>
      </w:pPr>
      <w:r>
        <w:rPr>
          <w:rFonts w:ascii="Arial" w:cs="Arial" w:eastAsia="Arial" w:hAnsi="Arial"/>
          <w:sz w:val="16"/>
          <w:szCs w:val="16"/>
          <w:color w:val="auto"/>
        </w:rPr>
        <w:t>by Daiichi Sankyo in Japan and since 2010 has been marketed there as Inavir</w:t>
      </w:r>
      <w:r>
        <w:rPr>
          <w:rFonts w:ascii="Arial" w:cs="Arial" w:eastAsia="Arial" w:hAnsi="Arial"/>
          <w:sz w:val="31"/>
          <w:szCs w:val="31"/>
          <w:color w:val="auto"/>
          <w:vertAlign w:val="superscript"/>
        </w:rPr>
        <w:t>®</w:t>
      </w:r>
      <w:r>
        <w:rPr>
          <w:rFonts w:ascii="Arial" w:cs="Arial" w:eastAsia="Arial" w:hAnsi="Arial"/>
          <w:sz w:val="16"/>
          <w:szCs w:val="16"/>
          <w:color w:val="auto"/>
        </w:rPr>
        <w:t xml:space="preserve"> for the treatment of influenza A and B infections. In December 2013, Inavir</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was approved for use in the post-exposure prevention of influenza.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Aviragen’s Strategy</w:t>
      </w:r>
    </w:p>
    <w:p>
      <w:pPr>
        <w:spacing w:after="0" w:line="228"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color w:val="auto"/>
        </w:rPr>
        <w:t>Aviragen is focused on the discovery and development of direct-acting antivirals to treat infections that have limited therapeutic options and affect a significant number of patients globally. In the near-term, Aviragen intends to employ the following strategy:</w:t>
      </w:r>
    </w:p>
    <w:p>
      <w:pPr>
        <w:spacing w:after="0" w:line="170" w:lineRule="exact"/>
        <w:rPr>
          <w:sz w:val="20"/>
          <w:szCs w:val="20"/>
          <w:color w:val="auto"/>
        </w:rPr>
      </w:pPr>
    </w:p>
    <w:p>
      <w:pPr>
        <w:ind w:left="660" w:right="400" w:hanging="329"/>
        <w:spacing w:after="0" w:line="276"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focus its resources on the clinical development of Aviragen’s topical antiviral product BTA074 for the treatment of genital warts caused by HPV types 6 &amp; 11 as well as continue preclinical activities related to the RSV non-fusion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4" w:name="page145"/>
    <w:bookmarkEnd w:id="14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over the next 12 months, Aviragen intends to:</w:t>
      </w:r>
    </w:p>
    <w:p>
      <w:pPr>
        <w:spacing w:after="0" w:line="224" w:lineRule="exact"/>
        <w:rPr>
          <w:sz w:val="20"/>
          <w:szCs w:val="20"/>
          <w:color w:val="auto"/>
        </w:rPr>
      </w:pPr>
    </w:p>
    <w:p>
      <w:pPr>
        <w:ind w:left="660" w:hanging="329"/>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file an investigational new drug application to the FDA for BTA074;</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report top-line data from the BTA074 CT4;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continue research activities to identify a potent, bioavailable, non-fusion RSV clinical candidate.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Aviragen’s research and development expense in fiscal 2017 and 2016 was $28.3 million and $26.3 million, respectively. In fiscal 2018, Aviragen plans to focus Aviragen’s research and development resources primarily on (i) the clinical development of BTA074, and (ii) conduct screening, lead-optimization, and preclinical studies on several series of RSV non-fusion inhibitors.</w:t>
      </w:r>
    </w:p>
    <w:p>
      <w:pPr>
        <w:spacing w:after="0" w:line="18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Aviragen uses third-party research firms and consultants extensively to conduct medicinal chemistry, virology, and cell culture assays activities under Aviragen’s management. Aviragen does not have any future plans to build laboratory facilities or hire significant staff to conduct research, discovery and certain development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Aviragen currently does not have any commercialization or sales and marketing capabilities, and Aviragen has no near term plans to invest in or build such capabilities internally. At the appropriate time, Aviragen plans to investigate partnering, collaborating with or licensing certain rights to Aviragen’s development programs to other larger pharmaceutical or biopharmaceutical companies to support the late stage development and commercialization of Aviragen’s product candidates. Aviragen will then evaluate whether partnering with a third-party for these activities will be more beneficial than developing the capabilities internally for each of Aviragen’s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Aviragen currently does not own or operate any facilities in which it can formulate, manufacture, fill or package Aviragen’s product candidates. Aviragen relies on a group of contract manufacturers to produce its drug substance and to fill and package the materials required to conduct clinical trials under cGMPs. Currently, Aviragen has no plans to own or operate such facilities. If an existing contract manufacturer fails to deliver on schedule, or at all, or fails to manufacture Aviragen’s material in accordance with their or Aviragen’s specifications and/or FDA regulations, it could significantly delay or interrupt the development or commercialization of Aviragen’s product candidates and affect Aviragen’s operating results and estimated development timelines. Aviragen has used contract manufacturers to produce all of the clinical trial material used in the preclinical studies and clinical trials Aviragen has conducted to-date.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Aviragen’s, including research and the development of product candidates for the treatment of infectious diseases. Many of these companies have substantially greater financial and other resources, larger research and development staffs, and more extensive marketing and manufacturing capabilities than Aviragen does. In addition, some of them have considerably more experience in preclinical testing, conducting clinical trials and other regulatory approval procedures. There are also academic institutions, governmental agencies and other research organizations that are conducting research in areas of infectious disease on which Aviragen is working. Aviragen expects to encounter significant direct competition for any of the product candidates Aviragen plans to develop. Companies that complete clinical trials obtain required regulatory approvals and commence commercial sales of their products before their competitors may achieve a significant competitive advantage.</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Currently, there are no approved HPV-specific direct acting anti-viral drugs to treat genital warts. Treatments for genital warts can be divided broadly into two categories: provider-administered ablative/cytodestructive therapies (including cryotherapy, laser ablation, and trichloroacetic acid) and patient-administered topical therapies such as podophyllotoxin (Condylox®; Actavis), sinecatechins (Veregen®; Fougera Pharmaceuticals, Inc.), and imiquimod (Zyclara®, Aldara®; Valeant). Aviragen is aware that there are compounds under clinical development to treat genital warts, including Novan’s SB206 and Cassiopea’s CB-06-02. Aviragen anticipates that BTA074, if successfully developed, would directly compete with the patient-applied topical treatments for genital warts. Aviragen believes key differentiating features of BTA074 could be its mechanism of action, favorable local skin tolerability, efficacy, and lower reoccurrence rate. Three prophylactic vaccines, primarily designed to prevent cervical, vulvar, vaginal, and anal cancers, are currently marketed: a bivalent HPV16/18 vaccine (Cervarix®; GSK), quadrivalent HPV16/18/6/11 (Gardasil®; Merck) and the 9-valent HPV 6/11/16/18/33/52/58 (Gardasil®9; Merck). Gardasil® 9 is indicated for females aged 9 through 26 and males aged 9 through 15, to prevent various HPV related cancers and genital warts in both sexes. Gardasil®, Gardasil® 9, and Cervarix® are not known to exhibit a therapeutic effect on existing HPV lesions.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5" w:name="page146"/>
    <w:bookmarkEnd w:id="14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color w:val="auto"/>
        </w:rPr>
        <w:t>Currently, there are no approved direct-acting antiviral drugs to treat HRV infections. However, Aviragen’s vapendavir product candidate, if successfully developed, would indirectly compete with drugs approved to reduce the incidence of exacerbations or improve lung function in patients with asthma and</w:t>
      </w:r>
    </w:p>
    <w:p>
      <w:pPr>
        <w:spacing w:after="0" w:line="1" w:lineRule="exact"/>
        <w:rPr>
          <w:sz w:val="20"/>
          <w:szCs w:val="20"/>
          <w:color w:val="auto"/>
        </w:rPr>
      </w:pPr>
    </w:p>
    <w:p>
      <w:pPr>
        <w:jc w:val="both"/>
        <w:ind w:right="100"/>
        <w:spacing w:after="0" w:line="182" w:lineRule="auto"/>
        <w:rPr>
          <w:sz w:val="20"/>
          <w:szCs w:val="20"/>
          <w:color w:val="auto"/>
        </w:rPr>
      </w:pPr>
      <w:r>
        <w:rPr>
          <w:rFonts w:ascii="Arial" w:cs="Arial" w:eastAsia="Arial" w:hAnsi="Arial"/>
          <w:sz w:val="17"/>
          <w:szCs w:val="17"/>
          <w:color w:val="auto"/>
        </w:rPr>
        <w:t>COPD, such as fluticasone propionate (Advair</w:t>
      </w:r>
      <w:r>
        <w:rPr>
          <w:rFonts w:ascii="Arial" w:cs="Arial" w:eastAsia="Arial" w:hAnsi="Arial"/>
          <w:sz w:val="33"/>
          <w:szCs w:val="33"/>
          <w:color w:val="auto"/>
          <w:vertAlign w:val="superscript"/>
        </w:rPr>
        <w:t>®</w:t>
      </w:r>
      <w:r>
        <w:rPr>
          <w:rFonts w:ascii="Arial" w:cs="Arial" w:eastAsia="Arial" w:hAnsi="Arial"/>
          <w:sz w:val="17"/>
          <w:szCs w:val="17"/>
          <w:color w:val="auto"/>
        </w:rPr>
        <w:t>), tiotoprium bromide (Spiriva</w:t>
      </w:r>
      <w:r>
        <w:rPr>
          <w:rFonts w:ascii="Arial" w:cs="Arial" w:eastAsia="Arial" w:hAnsi="Arial"/>
          <w:sz w:val="33"/>
          <w:szCs w:val="33"/>
          <w:color w:val="auto"/>
          <w:vertAlign w:val="superscript"/>
        </w:rPr>
        <w:t>®</w:t>
      </w:r>
      <w:r>
        <w:rPr>
          <w:rFonts w:ascii="Arial" w:cs="Arial" w:eastAsia="Arial" w:hAnsi="Arial"/>
          <w:sz w:val="17"/>
          <w:szCs w:val="17"/>
          <w:color w:val="auto"/>
        </w:rPr>
        <w:t>), fluticasone furoate/vilanterol (Breo Ellipta</w:t>
      </w:r>
      <w:r>
        <w:rPr>
          <w:rFonts w:ascii="Arial" w:cs="Arial" w:eastAsia="Arial" w:hAnsi="Arial"/>
          <w:sz w:val="33"/>
          <w:szCs w:val="33"/>
          <w:color w:val="auto"/>
          <w:vertAlign w:val="superscript"/>
        </w:rPr>
        <w:t>®</w:t>
      </w:r>
      <w:r>
        <w:rPr>
          <w:rFonts w:ascii="Arial" w:cs="Arial" w:eastAsia="Arial" w:hAnsi="Arial"/>
          <w:sz w:val="17"/>
          <w:szCs w:val="17"/>
          <w:color w:val="auto"/>
        </w:rPr>
        <w:t>), and roflumilast (Daliresp</w:t>
      </w:r>
      <w:r>
        <w:rPr>
          <w:rFonts w:ascii="Arial" w:cs="Arial" w:eastAsia="Arial" w:hAnsi="Arial"/>
          <w:sz w:val="33"/>
          <w:szCs w:val="33"/>
          <w:color w:val="auto"/>
          <w:vertAlign w:val="superscript"/>
        </w:rPr>
        <w:t>®</w:t>
      </w:r>
      <w:r>
        <w:rPr>
          <w:rFonts w:ascii="Arial" w:cs="Arial" w:eastAsia="Arial" w:hAnsi="Arial"/>
          <w:sz w:val="17"/>
          <w:szCs w:val="17"/>
          <w:color w:val="auto"/>
        </w:rPr>
        <w:t>). In addition to these approved drugs, there are compounds in the clinical development stage that if successfully developed for the treatment of HRV infections could compete with vapendavir.</w:t>
      </w:r>
    </w:p>
    <w:p>
      <w:pPr>
        <w:spacing w:after="0" w:line="204"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Effective treatments of RSV infections in pediatrics, the elderly, and the immunocompromised are very limited. Currently, only Virazole</w:t>
      </w:r>
      <w:r>
        <w:rPr>
          <w:rFonts w:ascii="Arial" w:cs="Arial" w:eastAsia="Arial" w:hAnsi="Arial"/>
          <w:sz w:val="31"/>
          <w:szCs w:val="31"/>
          <w:color w:val="auto"/>
          <w:vertAlign w:val="superscript"/>
        </w:rPr>
        <w:t>®</w:t>
      </w:r>
      <w:r>
        <w:rPr>
          <w:rFonts w:ascii="Arial" w:cs="Arial" w:eastAsia="Arial" w:hAnsi="Arial"/>
          <w:sz w:val="16"/>
          <w:szCs w:val="16"/>
          <w:color w:val="auto"/>
        </w:rPr>
        <w:t xml:space="preserve"> (ribavirin) is indicated for the treatment of hospitalized infants and young children with severe lower respiratory tract infections due to RSV. Aviragen is aware that there are compounds under development to treat RSV infections, including Gilead’s presatovir, Johnson &amp; Johnson’s JJ-53718678 (ALS-8176), Ablynx’s ALX-0171 and Ark Biosciences’ AK0529. The only approved drug for the prevention of RSV infections in high risk infants is MedImmune’s palivizumab</w:t>
      </w:r>
    </w:p>
    <w:p>
      <w:pPr>
        <w:spacing w:after="0" w:line="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(Synagis</w:t>
      </w:r>
      <w:r>
        <w:rPr>
          <w:rFonts w:ascii="Arial" w:cs="Arial" w:eastAsia="Arial" w:hAnsi="Arial"/>
          <w:sz w:val="33"/>
          <w:szCs w:val="33"/>
          <w:color w:val="auto"/>
          <w:vertAlign w:val="superscript"/>
        </w:rPr>
        <w:t>®</w:t>
      </w:r>
      <w:r>
        <w:rPr>
          <w:rFonts w:ascii="Arial" w:cs="Arial" w:eastAsia="Arial" w:hAnsi="Arial"/>
          <w:sz w:val="17"/>
          <w:szCs w:val="17"/>
          <w:color w:val="auto"/>
        </w:rPr>
        <w:t>), a monoclonal antibody. There are several vaccines and antibody products designed to prevent RSV infections in clinical development. Among the clinical stage product candidates in development are Novavax’s RSV F vaccine, GSK’s GSK3003898A vaccine, GSK’s GSK3389245A vaccine, Bavarian Nordic’s BN</w:t>
      </w:r>
      <w:r>
        <w:rPr>
          <w:rFonts w:ascii="Arial" w:cs="Arial" w:eastAsia="Arial" w:hAnsi="Arial"/>
          <w:sz w:val="33"/>
          <w:szCs w:val="33"/>
          <w:color w:val="auto"/>
          <w:vertAlign w:val="superscript"/>
        </w:rPr>
        <w:t>®</w:t>
      </w:r>
      <w:r>
        <w:rPr>
          <w:rFonts w:ascii="Arial" w:cs="Arial" w:eastAsia="Arial" w:hAnsi="Arial"/>
          <w:sz w:val="17"/>
          <w:szCs w:val="17"/>
          <w:color w:val="auto"/>
        </w:rPr>
        <w:t xml:space="preserve"> RSV vaccine, MedImmune’s MEDI ÄM2-2 vaccine and MedImmune’s monoclonal antibody MEDI8897.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 and Patents</w:t>
      </w:r>
    </w:p>
    <w:p>
      <w:pPr>
        <w:spacing w:after="0" w:line="22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Patents and other proprietary intellectual rights are crucial in Aviragen’s business and industry, and establishing and maintaining these rights are essential to justify the cost to develop and commercialize any of Aviragen’s product candidates and products. Aviragen has sought, and intends to continue to seek, viable and strategic intellectual property rights, including, but not limited to, patent protection for Aviragen’s inventions, and intend to rely upon patents, trade secrets, confidential information, know-how, trademarks, improvements in Aviragen’s technological innovations and licensing opportunities to develop and maintain a competitive advantage for Aviragen’s products and product candidates. In order to protect Aviragen’s intellectual property rights, Avirgen typically requires employees, consultants, collaborators, advisors, potential partners, service providers and contractors to enter into confidentiality agreements with it, generally stating that they will not disclose Aviragen’s confidential information to third parties for a certain period of time, and will otherwise not use Aviragen’s confidential information for anyone’s benefit but Aviragen’s.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patent positions of biotechnology and pharmaceutical companies are highly uncertain and involve complex legal and factual questions. Therefore, the patentability of subject matter Aviragen claims in its patent applications, the breadth of the claims ultimately granted, or their enforceability cannot be predicted. For this reason, Aviragen may not have or be able to obtain or maintain worldwide patent protection for any or all of Aviragen’s products and product candidates, and Aviragen’s intellectual property rights may not be protected or legally enforceable in all countries throughout the world. In some cases, Aviragen may rely upon data exclusivity or similar exclusivities, although there is no guarantee that such exclusivity will be available or obtained in any jurisdiction. Further, as the publication of discoveries in the scientific and/or patent literature often lags behind the actual discoveries, Aviragen cannot be certain that Aviragen or its licensors were the first to make the inventions described in Aviragen’s patent applications or that Aviragen or its licensors were the first to file patent applications for such inventions.</w:t>
      </w:r>
    </w:p>
    <w:p>
      <w:pPr>
        <w:spacing w:after="0" w:line="17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Pursuant to the terms of the Uruguay Round Agreements Act, patents filed on or after June 8, 1995 in the U. S. have a term of 20 years from the date of filing, regardless of the period of time it may take for the patent to ultimately issue. This may shorten the period of patent protection afforded to Aviragen’s products as patent applications in the biopharmaceutical sector often take considerable time to issue. Under the Drug Price Competition and Patent Term Restoration Act of 1984, a sponsor may obtain marketing exclusivity for a period of time following FDA approval of certain drug applications, regardless of patent status, if the drug is a new chemical entity or if new clinical studies were used to support the marketing application for the drug.</w:t>
      </w:r>
    </w:p>
    <w:p>
      <w:pPr>
        <w:spacing w:after="0" w:line="161" w:lineRule="exact"/>
        <w:rPr>
          <w:sz w:val="20"/>
          <w:szCs w:val="20"/>
          <w:color w:val="auto"/>
        </w:rPr>
      </w:pPr>
    </w:p>
    <w:p>
      <w:pPr>
        <w:ind w:right="160"/>
        <w:spacing w:after="0" w:line="194" w:lineRule="auto"/>
        <w:rPr>
          <w:sz w:val="20"/>
          <w:szCs w:val="20"/>
          <w:color w:val="auto"/>
        </w:rPr>
      </w:pPr>
      <w:r>
        <w:rPr>
          <w:rFonts w:ascii="Arial" w:cs="Arial" w:eastAsia="Arial" w:hAnsi="Arial"/>
          <w:sz w:val="18"/>
          <w:szCs w:val="18"/>
          <w:color w:val="auto"/>
        </w:rPr>
        <w:t>Zanamivir, a neuraminidase inhibitor, or NI, approved for the treatment and prevention of influenza A and B, is marketed worldwide as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by GSK. Most of Aviragen’s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patents have expired and the only substantial remaining intellectual property related to the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patent portfolio, which is solely owned by Aviragen and exclusively licensed to GSK, is scheduled to expire in July 2019 in Japan.</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LANI, a long acting NI for the treatment and prevention of influenza A and B, is currently marketed as Inavir</w:t>
      </w:r>
      <w:r>
        <w:rPr>
          <w:rFonts w:ascii="Arial" w:cs="Arial" w:eastAsia="Arial" w:hAnsi="Arial"/>
          <w:sz w:val="31"/>
          <w:szCs w:val="31"/>
          <w:color w:val="auto"/>
          <w:vertAlign w:val="superscript"/>
        </w:rPr>
        <w:t>®</w:t>
      </w:r>
      <w:r>
        <w:rPr>
          <w:rFonts w:ascii="Arial" w:cs="Arial" w:eastAsia="Arial" w:hAnsi="Arial"/>
          <w:sz w:val="16"/>
          <w:szCs w:val="16"/>
          <w:color w:val="auto"/>
        </w:rPr>
        <w:t xml:space="preserve"> in Japan by Daiichi-Sankyo. The patent relating to the structure of LANI expires in 2017 in the United States, the European Union and Japan, although the product has received patent term extension in Japan until 2021 for treatment and 2022 for prevention. The patent relating to hydrates and the crystalline form of LANI actually used in the product expires in 2021 (not including extensions) in the United States and the European Union and in 2024 in Japan. In February 2015, a patent containing claims relevant to</w:t>
      </w:r>
    </w:p>
    <w:p>
      <w:pPr>
        <w:spacing w:after="0" w:line="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manufacture of Inavir</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was issued in Japan and expires in December 2029. The dry-powder inhaler device patent portfolio, which includes TwinCaps</w:t>
      </w:r>
      <w:r>
        <w:rPr>
          <w:rFonts w:ascii="Arial" w:cs="Arial" w:eastAsia="Arial" w:hAnsi="Arial"/>
          <w:sz w:val="31"/>
          <w:szCs w:val="31"/>
          <w:color w:val="auto"/>
          <w:vertAlign w:val="superscript"/>
        </w:rPr>
        <w:t>®</w:t>
      </w:r>
      <w:r>
        <w:rPr>
          <w:rFonts w:ascii="Arial" w:cs="Arial" w:eastAsia="Arial" w:hAnsi="Arial"/>
          <w:sz w:val="16"/>
          <w:szCs w:val="16"/>
          <w:color w:val="auto"/>
        </w:rPr>
        <w:t>, is owned by Hovione International Limited, or Hovione, and is exclusively licensed to Aviragen and Daiichi Sankyo worldwide for the prevention and treatment of influenza and other influenza-like viral infections. These patents will expire in 2029 in the United States, and in 2027 in the European Union and Japan.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6" w:name="page147"/>
    <w:bookmarkEnd w:id="14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BTA074 is a direct-acting antiviral Aviragen is developing as a treatment for genital warts caused by HPV 6 and 11. The patent containing composition of matter claims expires in the United States in 2029, without extensions. A U.S. patent with claims to method of use has been issued and will expire in 2033, without extensions.</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Vapendavir is an oral antiviral picornavirus capsid binder Aviragen is currently developing to treat HRV infections. Aviragen exclusively owns the vapendavir patent portfolio, and issued claims under this portfolio will begin to expire in some countries in December 2021, not including extensions. Claims from patents related to a compound comprising an anhydrous crystalline free base form of vapendavir and the preferred commercialization form of vapendavir have been allowed in the United States and other countries and extend intellectual property to 2034, without extensions.</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Aviragen also owns a patent portfolio focused on developing several series of oral antivirals for RSV. Issued patent claims covering the composition of matter for BTA585 will begin to expire in 2031, without extensions.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Restoration/Extension and Marketing Exclusivity</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Depending upon the timing, duration and specifics of FDA approval for the intended use of Aviragen’s product candidates, some of Aviragen’s U.S. patents may be eligible for limited patent term extension under the Drug Price Competition and Patent Term Restoration Act of 1984, commonly referred to as the Hatch-Waxman Act. The Hatch-Waxman Act permits a patent restoration term, or extension, of up to five years as compensation for patent term lost during product development and the FDA regulatory review process. However, patent term restoration cannot extend the remaining term of a patent beyond a total of 14 years from the product’s approval date. Subject to certain limitations, the patent term restoration period is generally one-half the time between the effective date of an IND and the submission date of a new drug application, or NDA, plus the time between the submission date of an NDA and the approval of that application, up to a total of five years. Only one patent applicable to an approved drug is eligible for the extension. The application for such extension must be submitted prior to the expiration of the patent and within 60 days of the drug’s approval. The USPTO in consultation with the FDA, reviews and approves the application for any patent term extension or restoration. Similar provisions are available in Europe and other foreign jurisdictions to extend the term of a patent that covers an approved drug. In the future, Aviragen may apply for restoration of patent term for one or more of Aviragen’s currently owned or licensed patents to add patent life beyond its current expiration date, depending on the expected length of the clinical trials and other factors involved in the filing of the relevant NDA.</w:t>
      </w:r>
    </w:p>
    <w:p>
      <w:pPr>
        <w:spacing w:after="0" w:line="18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Market exclusivity provisions under the Federal Drug, Food and Cosmetic Act, or FDCA, can also delay the submission or the approval of certain applications of other companies seeking to reference another company’s NDA.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Aviragen cannot assure you that it will be able to take advantage of either the patent term extension or marketing exclusivity provisions of this law.</w:t>
      </w:r>
    </w:p>
    <w:p>
      <w:pPr>
        <w:spacing w:after="0" w:line="17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Pediatric exclusivity is another type of exclusivity available in the United Stat. Pediatric exclusivity, if granted, provides an additional six months to existing exclusivity periods and patent terms. This six-month exclusivity, which runs from the end of other exclusivity protection or the patent term, may be granted based on the voluntary completion of a pediatric study in accordance with a FDA request for such a study. The current pediatric exclusivity provision was reauthorized in September 2007 as part of the Food and Drug Administration Amendments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7" w:name="page148"/>
    <w:bookmarkEnd w:id="14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Agreements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w:t>
      </w:r>
    </w:p>
    <w:p>
      <w:pPr>
        <w:spacing w:after="0" w:line="224"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In 1990, Aviragen entered into a royalty-bearing research and license agreement with GSK for the development and commercialization of zanamivir, a NI marketed by GSK as Relenza</w:t>
      </w:r>
      <w:r>
        <w:rPr>
          <w:rFonts w:ascii="Arial" w:cs="Arial" w:eastAsia="Arial" w:hAnsi="Arial"/>
          <w:sz w:val="31"/>
          <w:szCs w:val="31"/>
          <w:color w:val="auto"/>
          <w:vertAlign w:val="superscript"/>
        </w:rPr>
        <w:t>®</w:t>
      </w:r>
      <w:r>
        <w:rPr>
          <w:rFonts w:ascii="Arial" w:cs="Arial" w:eastAsia="Arial" w:hAnsi="Arial"/>
          <w:sz w:val="16"/>
          <w:szCs w:val="16"/>
          <w:color w:val="auto"/>
        </w:rPr>
        <w:t xml:space="preserve"> to prevent and treat influenza. Under the terms of the agreement, Aviragen licensed zanamivir to GSK on an exclusive,</w:t>
      </w:r>
    </w:p>
    <w:p>
      <w:pPr>
        <w:jc w:val="both"/>
        <w:spacing w:after="0" w:line="226" w:lineRule="auto"/>
        <w:rPr>
          <w:sz w:val="20"/>
          <w:szCs w:val="20"/>
          <w:color w:val="auto"/>
        </w:rPr>
      </w:pPr>
      <w:r>
        <w:rPr>
          <w:rFonts w:ascii="Arial" w:cs="Arial" w:eastAsia="Arial" w:hAnsi="Arial"/>
          <w:sz w:val="16"/>
          <w:szCs w:val="16"/>
          <w:color w:val="auto"/>
        </w:rPr>
        <w:t>worldwide basis and is entitled to receive royalty payments of 7% of GSK's annual net sales of Relenza</w:t>
      </w:r>
      <w:r>
        <w:rPr>
          <w:rFonts w:ascii="Arial" w:cs="Arial" w:eastAsia="Arial" w:hAnsi="Arial"/>
          <w:sz w:val="31"/>
          <w:szCs w:val="31"/>
          <w:color w:val="auto"/>
          <w:vertAlign w:val="superscript"/>
        </w:rPr>
        <w:t>®</w:t>
      </w:r>
      <w:r>
        <w:rPr>
          <w:rFonts w:ascii="Arial" w:cs="Arial" w:eastAsia="Arial" w:hAnsi="Arial"/>
          <w:sz w:val="16"/>
          <w:szCs w:val="16"/>
          <w:color w:val="auto"/>
        </w:rPr>
        <w:t xml:space="preserve"> in the United States, Europe, Japan and certain other countries and 10% in Australia, New Zealand, South Africa and Indonesia to the extent that the underlying patents in those respective countries do not expire.</w:t>
      </w:r>
    </w:p>
    <w:p>
      <w:pPr>
        <w:spacing w:after="0" w:line="1"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Most of Aviragen’s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issued patents have expired, and the only substantial remaining intellectual property related to the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patent portfolio is scheduled to expire in July 2019 in Japan.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Daiichi Sankyo</w:t>
      </w:r>
    </w:p>
    <w:p>
      <w:pPr>
        <w:spacing w:after="0" w:line="2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2003, Aviragen entered into collaboration and license agreement with Daiichi Sankyo related to the development of second generation long acting NIs, including LANI. Under the collaboration and license agreement, Aviragen and Daiichi Sankyo cross-licensed the right to develop, make, use, sell or offer for sale, or import products based on Aviragen’s respective intellectual property related to Aviragen’s long acting NIs. In the event that the related intellectual property was out-licensed to a third-party, Aviragen would share equally with Daiichi Sankyo in any future royalties, license fees, milestones or other payments received from such a licensee. To date, there have been no third-party licenses granted pursuant to this agreement; therefore, a royalty rate on net sales outside of Japan has not been established.</w:t>
      </w:r>
    </w:p>
    <w:p>
      <w:pPr>
        <w:spacing w:after="0" w:line="19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March 2009, Aviragen entered into a commercialization agreement with Daiichi Sankyo, pursuant to which Daiichi Sankyo obtained exclusive marketing rights in Japan for long acting NIs, including LANI, covered by the 2003 collaboration and license agreement between the parties. In consideration for these</w:t>
      </w:r>
    </w:p>
    <w:p>
      <w:pPr>
        <w:spacing w:after="0" w:line="1"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rights, Daiichi Sankyo agreed to pay Aviragen a royalty rate equal to 4% on net sales in Japan. In September 2010, LANI (Inavir</w:t>
      </w:r>
      <w:r>
        <w:rPr>
          <w:rFonts w:ascii="Arial" w:cs="Arial" w:eastAsia="Arial" w:hAnsi="Arial"/>
          <w:sz w:val="35"/>
          <w:szCs w:val="35"/>
          <w:color w:val="auto"/>
          <w:vertAlign w:val="superscript"/>
        </w:rPr>
        <w:t>®</w:t>
      </w:r>
      <w:r>
        <w:rPr>
          <w:rFonts w:ascii="Arial" w:cs="Arial" w:eastAsia="Arial" w:hAnsi="Arial"/>
          <w:sz w:val="18"/>
          <w:szCs w:val="18"/>
          <w:color w:val="auto"/>
        </w:rPr>
        <w:t>) was approved for sale by the Japanese Ministry of Health and Welfare for the treatment of influenza in adults and children.</w:t>
      </w:r>
    </w:p>
    <w:p>
      <w:pPr>
        <w:spacing w:after="0" w:line="202"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In April 2016, Aviragen entered into a definitive agreement and received a cash payment of $20 million from HCRP in exchange for a portion of Aviragen’s royalty rights related to Inavir</w:t>
      </w:r>
      <w:r>
        <w:rPr>
          <w:rFonts w:ascii="Arial" w:cs="Arial" w:eastAsia="Arial" w:hAnsi="Arial"/>
          <w:sz w:val="35"/>
          <w:szCs w:val="35"/>
          <w:color w:val="auto"/>
          <w:vertAlign w:val="superscript"/>
        </w:rPr>
        <w:t>®</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preclinical and clinical testing, manufacture, labeling, storage, distribution, promotion, sale, export, reporting and record-keeping of drug products and product candidates is subject to extensive regulation by numerous governmental authorities in the United States, principally the FDA and corresponding state agencies, and similar regulatory authorities in other countries.</w:t>
      </w:r>
    </w:p>
    <w:p>
      <w:pPr>
        <w:spacing w:after="0" w:line="18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Non-compliance with applicable regulatory requirements can result in, among other things, total or partial suspension of the clinical development, manufacturing and marketing of a product or product candidate, the refusal of the FDA or similar regulatory authorities in other countries to grant marketing approval, the withdrawal of marketing approvals, fines, injunctions, seizure of products and criminal prosecution.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Regulatory Approval</w:t>
      </w:r>
    </w:p>
    <w:p>
      <w:pPr>
        <w:spacing w:after="0" w:line="224" w:lineRule="exact"/>
        <w:rPr>
          <w:sz w:val="20"/>
          <w:szCs w:val="20"/>
          <w:color w:val="auto"/>
        </w:rPr>
      </w:pPr>
    </w:p>
    <w:p>
      <w:pPr>
        <w:ind w:right="500"/>
        <w:spacing w:after="0" w:line="306" w:lineRule="auto"/>
        <w:rPr>
          <w:sz w:val="20"/>
          <w:szCs w:val="20"/>
          <w:color w:val="auto"/>
        </w:rPr>
      </w:pPr>
      <w:r>
        <w:rPr>
          <w:rFonts w:ascii="Arial" w:cs="Arial" w:eastAsia="Arial" w:hAnsi="Arial"/>
          <w:sz w:val="17"/>
          <w:szCs w:val="17"/>
          <w:color w:val="auto"/>
        </w:rPr>
        <w:t>Pursuant to FDA regulations, Aviragen is required to successfully undertake a long and rigorous development process before any of Aviragen’s product candidates can be approved and marketed or sold in the United States. This regulatory process typically includes the following steps:</w:t>
      </w:r>
    </w:p>
    <w:p>
      <w:pPr>
        <w:spacing w:after="0" w:line="148" w:lineRule="exact"/>
        <w:rPr>
          <w:sz w:val="20"/>
          <w:szCs w:val="20"/>
          <w:color w:val="auto"/>
        </w:rPr>
      </w:pPr>
    </w:p>
    <w:p>
      <w:pPr>
        <w:ind w:left="660" w:hanging="329"/>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successful completion of satisfactory preclinical studies under the FDA’s good laboratory practices, or GLP, regulations;</w:t>
      </w:r>
    </w:p>
    <w:p>
      <w:pPr>
        <w:spacing w:after="0" w:line="223"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submission and acceptance of an IND that must be reviewed and accepted by the FDA and become effective before human clinical trials may begin;</w:t>
      </w:r>
    </w:p>
    <w:p>
      <w:pPr>
        <w:spacing w:after="0" w:line="169" w:lineRule="exact"/>
        <w:rPr>
          <w:rFonts w:ascii="Arial" w:cs="Arial" w:eastAsia="Arial" w:hAnsi="Arial"/>
          <w:sz w:val="18"/>
          <w:szCs w:val="18"/>
          <w:color w:val="auto"/>
        </w:rPr>
      </w:pPr>
    </w:p>
    <w:p>
      <w:pPr>
        <w:ind w:left="660" w:right="120" w:hanging="329"/>
        <w:spacing w:after="0" w:line="27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approval of an IRB at each site or location where Aviragen plans to conduct a clinical trial to protect the welfare and rights of human subjects in clinical trials;</w:t>
      </w:r>
    </w:p>
    <w:p>
      <w:pPr>
        <w:spacing w:after="0" w:line="169"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successful completion of a series of adequate and well-controlled human clinical trials to establish the safety, potency, efficacy and purity of any product candidate for its intended use, which conform to the FDA’s good clinical practice, or GCP, regulations;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8" w:name="page149"/>
    <w:bookmarkEnd w:id="14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development and demonstration of manufacturing processes that conform to FDA-mandated cGMPs;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submission to, and review and approval by, the FDA of a NDA prior to any commercial sale or shipment of a product.</w:t>
      </w:r>
    </w:p>
    <w:p>
      <w:pPr>
        <w:spacing w:after="0" w:line="224"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Successfully completing this development process requires a substantial amount of time, risk and financial resources. Aviragen cannot assure you that this process will be completed for any of its product candidates, or will result in the granting of an approval for any of its product candidates on a timely basis, if at all, or that Aviragen will have sufficient financial resources to see the process for any of its product candidates through to completion.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Preclinical Studies</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Preclinical studies generally include laboratory,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evaluation of a product candidate, its chemistry, formulation, stability and toxicity, as well as certain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to assess its potential safety and biologic activity. Aviragen must submit the results of these preclinical studies, together with other information, including manufacturing records, analytical data and proposed clinical trial protocols, to the FDA as part of an IND, which must be reviewed by the FDA and become effective before Aviragen may begin any human clinical trials. An IND generally becomes effective approximately 30 days after receipt by the FDA, unless the FDA, within this 30-day time period, raises material concerns or questions about the intended conduct of the proposed trials and imposes what is referred to as a clinical hold or partial clinical hold. If one or more of its product candidates is placed on clinical hold, Aviragen may be required to resolve any outstanding issues to the satisfaction of the FDA before Aviragen can begin, or continue, clinical trials of such product candidates.</w:t>
      </w:r>
    </w:p>
    <w:p>
      <w:pPr>
        <w:spacing w:after="0" w:line="16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Certain preclinical studies must be conducted in compliance with the FDA’s GLP regulations and the U.S. Department of Agriculture’s Animal Welfare Act. Violations of these regulations can, in some cases, lead to invalidation of the studies, requiring such studies to be conducted again. Preclinical studies supportive of an IND generally take a year or more to complete, and there is no guarantee that an IND based on those studies will become effective, thus allowing human clinical testing to begin.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Trials</w:t>
      </w:r>
    </w:p>
    <w:p>
      <w:pPr>
        <w:spacing w:after="0" w:line="2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 phase of drug development occurs after a successful IND submission, and involves the activities necessary to demonstrate the safety, tolerability, biologic activity, efficacy and dosage of an investigational new drug substance in humans, as well as the ability to produce the drug substance in accordance with the FDA’s cGMP requirements. Clinical trials are conducted under protocols detailing, among other things, the objectives of the trial and the parameters to be used in assessing the safety and the activity or efficacy of the product candidate. Each clinical trial protocol must be submitted to the FDA under the IND prior to beginning the trial. Each trial, and the related clinical protocol, must be reviewed, approved and conducted under the auspices of an IRB and, with limited exceptions, requires the patient’s informed consent to participate in the trial. Sponsors, investigators, and IRBs also must satisfy extensive GCPs, including regulations and guidelines for obtaining informed consent from the study subjects, complying with the protocol and investigational plan, adequately monitoring the clinical trial, and reporting any SAEs on a timely basis.</w:t>
      </w:r>
    </w:p>
    <w:p>
      <w:pPr>
        <w:spacing w:after="0" w:line="17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Clinical trials to support a NDA for marketing approval are typically conducted in three sequential phases: Phase 1, 2 and 3. Data from these activities are compiled in a NDA for submission to the FDA requesting approval to market the drug. These phases may be compressed, may overlap, or may be omitted in some circumstances. The FDA may also require sponsors to conduct Phase 4 clinical trials after market approval to study certain safety issues or other patient populations.</w:t>
      </w:r>
    </w:p>
    <w:p>
      <w:pPr>
        <w:spacing w:after="0" w:line="187" w:lineRule="exact"/>
        <w:rPr>
          <w:sz w:val="20"/>
          <w:szCs w:val="20"/>
          <w:color w:val="auto"/>
        </w:rPr>
      </w:pPr>
    </w:p>
    <w:p>
      <w:pPr>
        <w:ind w:left="660" w:right="80" w:hanging="329"/>
        <w:spacing w:after="0" w:line="256" w:lineRule="auto"/>
        <w:tabs>
          <w:tab w:leader="none" w:pos="660" w:val="left"/>
        </w:tabs>
        <w:numPr>
          <w:ilvl w:val="0"/>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After an IND becomes effective, Phase 1 human clinical trials can begin. A product candidate is typically introduced either into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or in certain cases, patients with the medical condition for which the product candidate is intended to be used. Generally, the purpose of a Phase 1 trial is to assess a product candidate’s safety and the ability of the human body to tolerate it at different dose levels. Absorption, metabolism, distribution and pharmacokinetic trials are also generally performed at this stage. Phase 1 trials typically evaluate these aspects of the investigational drug in both single and multiple doses.</w:t>
      </w:r>
    </w:p>
    <w:p>
      <w:pPr>
        <w:spacing w:after="0" w:line="188" w:lineRule="exact"/>
        <w:rPr>
          <w:rFonts w:ascii="Arial" w:cs="Arial" w:eastAsia="Arial" w:hAnsi="Arial"/>
          <w:sz w:val="18"/>
          <w:szCs w:val="18"/>
          <w:i w:val="1"/>
          <w:iCs w:val="1"/>
          <w:color w:val="auto"/>
        </w:rPr>
      </w:pPr>
    </w:p>
    <w:p>
      <w:pPr>
        <w:ind w:left="660" w:hanging="329"/>
        <w:spacing w:after="0" w:line="271" w:lineRule="auto"/>
        <w:tabs>
          <w:tab w:leader="none" w:pos="660"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Phase 2</w:t>
      </w:r>
      <w:r>
        <w:rPr>
          <w:rFonts w:ascii="Arial" w:cs="Arial" w:eastAsia="Arial" w:hAnsi="Arial"/>
          <w:sz w:val="17"/>
          <w:szCs w:val="17"/>
          <w:color w:val="auto"/>
        </w:rPr>
        <w:t>: During Phase 2 clinical trials, a product candidate is generally studied in an exploratory trial or trials in a limited number of patients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or medical condition for which it is intended to be used in order to (i) further identify any possible adverse side effects and safety risks, (ii) assess the preliminary or potential effectiveness or biologic activity of the product candidate for specific targeted diseases or medical conditions, and (iii) assess dose tolerance and determine the optimal dose for a subsequent Phase 2 or Phase 3 trial. Phase 2 trials generally involve patients who are divided into one or more groups that will get one of several dose levels of the product candidate, and a control group that is not treated with the product candidate but either receives a placebo or a drug already on the market for the same indication. Typically, two or more Phase 2 studies will be conducted for a product candidate prior to advancing to Phase 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9" w:name="page150"/>
    <w:bookmarkEnd w:id="14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line="254" w:lineRule="auto"/>
        <w:tabs>
          <w:tab w:leader="none" w:pos="66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If and when one or more Phase 2 trials demonstrate that a specific dose or range of doses of a product candidate is potentially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an acceptable safety and tolerability profile, one or more Phase 3 trials may be undertaken to further demonstrate or confirm the clinical efficacy and safety of the investigational drug in an expanded patient population, with the goal of evaluating its overall risk-benefit relationship. Phase 3 trials are generally designed to reach a specific goal or end point, the achievement of which is intended to demonstrate the product candidate’s clinical efficacy. The successful demonstration of clinical efficacy and safety in one or more Phase 3 trials is typically a prerequisite to the filing of a NDA for a product candidate.</w:t>
      </w:r>
    </w:p>
    <w:p>
      <w:pPr>
        <w:spacing w:after="0" w:line="1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sponsor of a clinical-stage development program may request an “end-of-Phase 2 Meeting” with the FDA to assess the safety of the dose regimen to be studied in a Phase 3 clinical trial, to evaluate the planned design of a Phase 3 trial, and to identify any additional information that will be needed to support an NDA. If a Phase 3 clinical trial has been the subject of discussion at an end-of-Phase 2 Meeting, the sponsor may be eligible for a Special Protocol Assessment, or SPA, a process by which the FDA, at the request of the sponsor, will evaluate the trial protocol and issues relating to the protocol to assess whether it is deemed to be adequate to meet the scientific and regulatory requirements identified by the sponsor. If the FDA and the sponsor reach agreement on the design and size of a Phase 3 clinical trial intended to form the primary basis of an efficacy claim in an NDA, the FDA may reduce the understanding to writing. The SPA, however, is not a guarantee of product approval by the FDA, or approval of any permissible claims about the product.</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Throughout the various phases of clinical development, samples of the product candidate made in different batches are tested for stability to establish any shelf life constraints. In addition, large-scale production protocols and written standard operating procedures for each aspect of commercial manufacture and testing must be developed and validated.</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Phase 1, 2, and 3 testing may not be completed successfully within any specified time period, if at all. The FDA closely monitors the progress of each of the three phases of clinical development and may, at its discretion, reevaluate, alter, suspend, or terminate further evaluation or trials based upon the data accumulated to that point and the FDA’s assessment of the risk/benefit ratio to the patient. The FDA, the sponsor, a data safety monitoring board or an IRB may suspend or terminate a clinical trial at any time for various reasons, including a finding that the subjects or patients are being exposed to an unacceptable health or safety risk. The FDA can also request additional clinical trials be conducted as a condition to product approval or advancement to the next stage of development. Additionally, new government requirements may be established that could delay or prevent regulatory approval of product candidates under development.</w:t>
      </w:r>
    </w:p>
    <w:p>
      <w:pPr>
        <w:spacing w:after="0" w:line="18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Clinical trials performed outside the United States under an IND must meet the same requirements that apply to studies conducted in the United States. The FDA may also accept a foreign clinical study not conducted under an IND if the study is well-designed, well-conducted, performed by qualified investigators, and conforms to the ethical principles contained in the Declaration of Helsinki, or with the laws and regulations of the country in which the research was conducted, whichever provides greater protection of the human subjects.</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information about clinical trials, including a description of the study, participation criteria, location of study sites, and contact information, is required to be sent to the National Institutes of Health, or NIH, for inclusion in a publicly-accessible database that is available at www.clinicaltrials.gov. Sponsors also are subject to certain state laws imposing requirements to make publicly available certain information on clinical trial results. In addition, the Food and Drug Administration Amendments Act of 2007 directed the FDA to issue regulations that will require sponsors to submit to the NIH the results of all controlled clinical studies, other than Phase 1 studies.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Drug Applications, or NDA</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and when Aviragen believes that all the requisite clinical trials for a product candidate have been completed with satisfactory and supporting clinical, toxicology, safety and manufacturing-related data, Aviragen must submit an NDA to the FDA in order to obtain approval for the marketing and sale of a product candidate in the United States. Among many other items, an NDA typically includes the results of all preclinical and toxicology studies and human clinical trials and a description of the manufacturing process and quality control methods. The FDA must approve the NDA prior to the marketing and sale of the related product. The FDA may deny or reject an NDA if it believes all applicable regulatory criteria are not satisfied, or it may require additional data, including clinical, toxicology, safety or manufacturing data prior to approval. The FDA has 60 days from its receipt of an NDA to review the application to ensure that it is sufficiently complete for a substantive review before accepting it for filing. The FDA may request additional information rather than accept an NDA for filing. In this event, the NDA must be amended with any additional information requested. The FDA may also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The FDA is not bound by the recommendation of an advisory committee.</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 NDA can receive either standard or priority review. A product candidate representing a potentially significant improvement in the treatment, prevention or diagnosis of a life threatening or serious disease may receive a priority review. In addition, product candidates studied for their safety and effectiveness in treating serious or life-threatening illnesses that provide meaningful therapeutic benefit over existing treatments may also receive accelerated approval on the basis of adequate and well-controlled clinical trials establishing that the drug product has an effect on a surrogate endpoint that is reasonably likely to predict clinical benefit, or on the basis of an effect on a clinical endpoint other than survival or irreversible morbidity. Priority review and accelerated approval do not change the standards for approval, but may expedite the approval process.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0" w:name="page151"/>
    <w:bookmarkEnd w:id="15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If the results of the FDA’s evaluation of the NDA and inspection of manufacturing facilities are favorable, the FDA may issue an approval letter. An approval letter authorizes the commercial marketing of the drug with specific prescribing information for a specific indication. As a condition of NDA approval, the FDA may require post-approval testing, including Phase 4 trials, and surveillance to monitor the drug’s safety or efficacy and may impose other conditions, including labeling or distribution restrictions which can materially impact the potential market and profitability of the drug. Once granted, product approvals may be withdrawn if compliance with regulatory standards is not maintained or problems are identified following initial marketing.</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the FDA determines that it cannot approve the NDA in its present form, it generally issues what is referred to as a complete response letter. A complete response letter will describe all of the specific deficiencies that the agency has identified in an application that must be met in order to secure final approval of the NDA. If and when those conditions are met to the FDA’s satisfaction, the FDA will typically re-review the application and possibly issue an approval letter. However, even after submitting this additional information, the FDA ultimately may decide that the application does not satisfy the regulatory criteria for approval. It can take several years for the FDA to approve a NDA once it is submitted, and the actual time required for any product candidate to be approved may vary substantially, depending upon the nature, complexity and novelty of the product candidate.</w:t>
      </w:r>
    </w:p>
    <w:p>
      <w:pPr>
        <w:spacing w:after="0" w:line="178"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Aviragen cannot assure you that the FDA, or any other similar regulatory authority in another country, will grant approval for any of its product candidates on a timely basis, if at all. Success in preclinical or early-stage clinical trials does not assure success in later stage clinical trials. Data obtained from preclinical and clinical activities is not always conclusive and may be susceptible to varying interpretations that could delay, limit or prevent regulatory approval.</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Post-Approval Regulations</w:t>
      </w:r>
    </w:p>
    <w:p>
      <w:pPr>
        <w:spacing w:after="0" w:line="2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and when a product candidate receives regulatory approval to be marketed and sold, the approval is typically limited to a specific clinical indication or use. Further, even after regulatory approval is obtained, subsequent discovery of previously unknown safety problems with a product may result in restrictions on its use, or even complete withdrawal of the product from the market. Any FDA-approved products manufactured or distributed by Aviragen are subject to continuing regulation by the FDA, including record-keeping requirements and reporting of adverse events or experiences. Further, drug manufacturers and their subcontractors are required to register their establishments with the FDA and state agencies, and are subject to periodic inspections by the FDA and state agencies for compliance with cGMP regulations, which impose rigorous procedural and documentation requirements upon Aviragen and its contract manufacturers. Aviragen cannot be certain that it, or its present or future contract manufacturers or suppliers, will be able to comply with cGMP regulations and other FDA regulatory requirements. Failure to comply with these requirements may result in, among other things, total or partial suspension of production activities for Aviragen’s current and future product candidates, failure of the FDA to grant approval for the marketing of such product candidates, and withdrawal, suspension, or revocation of marketing approvals.</w:t>
      </w:r>
    </w:p>
    <w:p>
      <w:pPr>
        <w:spacing w:after="0" w:line="17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If the FDA approves one or more of Aviragen’s product candidates, Aviragen and its contract manufacturers must provide the FDA with certain updated safety, efficacy and manufacturing information. Product changes, as well as certain changes in the manufacturing process or facilities where the manufacturing occurs or other post-approval changes may necessitate additional FDA review and approval. Aviragen relies, and expects to continue to rely, on third parties for the formulation and manufacture of clinical and commercial quantities of Aviragen’s products. Future FDA and state inspections may identify compliance issues at the facilities of Aviragen’s contract manufacturers that may disrupt production or distribution, or require substantial resources to correct.</w:t>
      </w:r>
    </w:p>
    <w:p>
      <w:pPr>
        <w:spacing w:after="0" w:line="161"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The labeling, advertising, promotion, marketing and distribution of an approved drug or biologic product must also comply with FDA and Federal Trade Commission, or FTC, requirements which include, among others, standards and regulations for direct-to-consumer advertising, off-label promotion, industry sponsored scientific and educational activities, and promotional activities involving the Internet. The FDA and FTC have very broad enforcement authority, and failure to abide by these regulations can result in penalties, including the issuance of a warning letter directing the company to correct deviations from regulatory standards and enforcement actions that can include seizures, fines, injunctions and criminal prosecution.</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in some circumstances the FDA has the power to prevent or limit further marketing of a product based on the results of these post-marketing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1" w:name="page152"/>
    <w:bookmarkEnd w:id="15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legislation is drafted and later introduced and passed that could significantly change the statutory provisions governing the approval, manufacturing and marketing of products regulated by the FDA. In addition, FDA regulations and guidance are often revised or reinterpreted by the agency in ways that may significantly affect Aviragen’s business and Aviragen’s product candidates. It is impossible to predict whether legislative changes will be enacted, or whether FDA regulations, guidance or interpretations will change or what the impact of such changes, if any, may be. Aviragen cannot predict the likelihood, nature or extent of adverse governmental regulation that might arise from future legislative or administrative action, either in the United States or abroad, or the impact such changes could have on its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 Care Laws and Compliance Requirements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United States, Aviragen’s activities are subject to regulation by various federal, state and local authorities in addition to the FDA, including the Centers for Medicare and Medicaid Services (formerly the Health Care Financing Administration), other divisions of the U.S. Department of Health and Human Services, or HHS (e.g., the Office of Inspector General), the U.S. Department of Justice and individual U.S. Attorney offices within the Department of Justice, and state and local governments. For example, sales, marketing and scientific/educational grant programs must comply with the anti-fraud and abuse provisions of the Social Security Act, the False Claims Act, the privacy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drugs at a reduced price to a number of federal agencies including the U.S. Department of Veterans Affairs and U.S. Department of Defense, the Public Health Service and certain private Public Health Service designated entities in order to participate in other federal funding programs including Medicare and Medicaid. Recent legislative changes purport to require that discounted prices be offered for certain U.S. Department of Defense purchases for its TRICARE program via a rebate system. Participation under VHCA requires submission of pricing data and calculation of discounts and rebates pursuant to complex statutory formulas, as well as the entry into government procurement contracts governed by the Federal Acquisition Regulations.</w:t>
      </w:r>
    </w:p>
    <w:p>
      <w:pPr>
        <w:spacing w:after="0" w:line="17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March 2010, the ACA was signed into law, which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Implementation of the ACA has substantially changed healthcare financing and delivery by both governmental and private insurers, and significantly impacted the pharmaceutical industry. The ACA, among other things, established an annual, nondeductible fee on any entity that manufactures or imports certain specified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Since its enactment there have been judicial and Congressional challenges to certain aspects of the ACA, and Aviragen expects there will be additional challenges and amendments to the ACA in the future. There is currently uncertainty with respect to the impact any such challenges and amendments may have and any resulting changes may take time to unfold, which could have an impact on coverage and reimbursement for healthcare items and services covered by plans that were authorized by the ACA.</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order to distribute products commercially, Aviragen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a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or register their sales representatives, as well as prohibiting pharmacies and other health care entities from providing certain physician prescribing data to pharmaceutical companies for use in sales and marketing, and prohibiting certain other sales and marketing practices. All of Aviragen’s activities are potentially subject to federal and state consumer protection and unfair competition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regulations in the United States, Aviragen is subject to a variety of foreign regulations governing clinical trials and commercial sales and distribution of Aviragen’s product candidates to the extent Aviragen chooses to develop these product candidates or sell any products outside of the United States. Whether or not Aviragen obtains FDA approval for a product, it must obtain similar approval by comparable regulatory authorities in foreign countries before it can commence clinical trials or the marketing of a product in those countries.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2" w:name="page153"/>
    <w:bookmarkEnd w:id="15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European Union, or EU, member states require both regulatory clearances by the national competent authority and a favorable ethics committee opinion prior to the commencement of a clinical trial. Under the European Union regulatory systems, Aviragen may submit marketing authorization applications either under a centralized or decentralized procedure. The centralized procedure provides for the grant of a single marketing authorization that is valid for all EU member states. The centralized procedure is compulsory for medicines produced by certain biotechnological processes, products with a new active substance indicated for the treatment of certain diseases and products designated as orphan medicinal products and optional for those products which are highly innovative or for which a centralized process is in the interest of patients. The decentralized procedure of approval provides for approval by one or more other, or concerned, member states of an assessment of an application performed by one member state, known as the reference member state. Under the decentralized approval procedure, an applicant submits an application, or dossier, and related materials (draft summary of product characteristics,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public health, the disputed points may eventually be referred to the European Commission, whose decision is binding on all member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Significant uncertainty exists as to the coverage and reimbursement status of any pharmaceutical products for which Aviragen may obtain regulatory approval to market and sell. In the United States and other countries, revenue from any products for which Aviragen receives regulatory approval to sell will depend considerably on the availability of reimbursement from third-party payers. Third-party payers include government health administrative authorities, managed care providers, private health insurers and other organizations. The process for determining whether a payer will provide coverage for a product may be separate from the process for setting the price or reimbursement rate that the payer will pay for the product. Third-party payers may limit coverage to specific products on an approved list, or formulary, which might not include all of the FDA-approved products for a particular indication. Third-party payers are increasingly challenging the price and examining the medical necessity and cost-effectiveness of medical products and services, in addition to their safety and efficacy. Aviragen may need to conduct expensive pharmacoeconomic studies in order to demonstrate the medical necessity and cost-effectiveness of Aviragen’s products, which would be in addition to the costs required to obtain FDA approvals. Aviragen’s products may not be considered medically necessary or cost-effective. A payer’s decision to provide coverage for a product does not imply that an adequate reimbursement rate will be approved. Adequate third-party reimbursement may not be available to enable Aviragen to maintain price levels sufficient to realize an appropriate return on Aviragen’s investment in developing a product.</w:t>
      </w:r>
    </w:p>
    <w:p>
      <w:pPr>
        <w:spacing w:after="0" w:line="1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2003, the U.S. government enacted legislation providing a prescription drug benefit for Medicare recipients, which became effective at the beginning of 2006. Government payment for some of the costs of prescription drugs may increase demand for any products for which Aviragen receives marketing approval. However, to obtain payments under this program, Aviragen would be required to sell products to Medicare recipients through prescription drug plans operating pursuant to this legislation. These plans will likely negotiate discounted prices for Aviragen’s products. In March 2010, the Patient Protection and Affordable Care Act became law in the United States, which substantially changed the way healthcare is financed by both governmental and private insurers. Aviragen anticipates that this legislation will result in additional downward pressure on the price, if any, that Aviragen may receive for any approved product. Federal, state and local governments in the United States continue to consider legislation to limit the growth of health care costs, including the cost of prescription drugs. Future legislation could limit payments for pharmaceutical products, including the product candidates that Aviragen is developing.</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Aviragen’s particular drug products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marketability of any products for which Aviragen receives regulatory approval to sell may suffer if the government and third-party payers fail to provide adequate coverage and reimbursement. In addition, an increasing emphasis on managed care in the United States has increased, and Aviragen expects that this will continue to increase the pressure on pharmaceutical pricing. Coverage policies and third-party reimbursement rates may change at any time. Even if favorable coverage and reimbursement status is attained for one or more products for which Aviragen receives regulatory approval, less favorable coverage policies and reimbursement rates may be implemented in the future.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3" w:name="page154"/>
    <w:bookmarkEnd w:id="15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September 30, 2017, Aviragen had 16 full-time employees, seven of whom were engaged in research and development, and nine of whom were engaged in corporate, administration, finance, and business development activities. On October 27, 2017, Aviragen reduced its workforce by six to a total of 10 full-time employees, who will remain on board to complete the BTA074 Phase 2 clinical trial and assist with the transition of duties to the Vaxart management team. All of Aviragen’s employees have entered into non-disclosure agreements with Aviragen regarding its intellectual property, trade secrets and other confidential information. None of Aviragen’s employees are represented by a labor union or covered by a collective bargaining agreement, nor has Aviragen experienced any work stoppages. Aviragen believes that it maintains satisfactory relations with its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Aviragen’s website address is www.aviragentherapeutics.com. Please note that this website address is provided as an inactive textual reference only. Aviragen makes available free of charge through its website its Annual Report on Form 10-K, Quarterly Reports on Form 10-Q, Current Reports on Form 8-K, and all amendments to those reports as soon as reasonably practicable after such material is electronically filed with or furnished to the SEC. The information provided on Aviragen’s website is not part of this proxy statement/prospectus/information statement, and is therefore not incorporated by reference unless such information is otherwise specifically referenced elsewhere in this proxy statement/prospectus/information statement.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4" w:name="page155"/>
    <w:bookmarkEnd w:id="15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VAXART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Vaxart is a clinical-stage biotechnology company focused on developing oral recombinant protein vaccines based on its proprietary oral vaccine platform. Vaxart’s oral vaccines are designed to generate broad and durable immune responses that protect against a wide range of infectious diseases and may be useful for the treatment of chronic viral infections and cancer. Vaxart’s oral vaccines are administered using a convenient room temperature-stable tablet, rather than by injection. Vaxart believes that tablet vaccines are easier to distribute and administer than injectable vaccines, and have the potential to significantly increase vaccination rates.</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Vaxart is developing prophylactic vaccine candidates that target a range of infectious diseases, including norovirus, a widespread cause of the stomach flu or winter vomiting disease for which two Phase 1 human studies have been completed, seasonal influenza, for which recently a Phase 2 challenge study was completed, and respiratory syncytial virus, or RSV, a common cause of respiratory tract infections. In addition, Vaxart is developing its first therapeutic vaccine targeting cervical cancer and dysplasia caused by human papillomavirus, or HPV.</w:t>
      </w:r>
    </w:p>
    <w:p>
      <w:pPr>
        <w:spacing w:after="0" w:line="187"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Vaccines represent a major healthcare success story and have been essential in eradicating or significantly reducing multiple devastating infectious diseases, including polio, smallpox, mumps, measles, diphtheria, hepatitis B, influenza, human papillomavirus and several others. According to the Tufts Center for the Study of Drug Development, the global vaccine market was estimated to be $29.6 billion in 2014 and is projected to grow to $40.0 billion by 2020.</w:t>
      </w:r>
    </w:p>
    <w:p>
      <w:pPr>
        <w:spacing w:after="0" w:line="148"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Vaxart believes its tablet vaccine candidates offer several important advantages. First, they are designed to generate broad and durable immune responses, including mucosal and T cell responses, which may enhance protection against certain infectious diseases, such as norovirus and RSV for which no vaccines exist, and have potential clinical benefit for certain cancers and chronic viral infections, such as those caused by HPV.</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Second, Vaxart’s tablet vaccine candidates are designed to provide a more efficient and convenient method of administration, enhance patient acceptance and reduce distribution bottlenecks, which it believes will improve the effectiveness of vaccination campaigns. For example, according to the U.S. Centers for Disease Control and Prevention, or CDC, in the 2014/2015 seasonal influenza season, only approximately 47% of the U.S. population was vaccinated against influenza, with particularly low vaccination rates among adults between ages 18 and 49.</w:t>
      </w:r>
    </w:p>
    <w:p>
      <w:pPr>
        <w:spacing w:after="0" w:line="183" w:lineRule="exact"/>
        <w:rPr>
          <w:sz w:val="20"/>
          <w:szCs w:val="20"/>
          <w:color w:val="auto"/>
        </w:rPr>
      </w:pPr>
    </w:p>
    <w:p>
      <w:pPr>
        <w:ind w:right="660"/>
        <w:spacing w:after="0" w:line="280" w:lineRule="auto"/>
        <w:rPr>
          <w:sz w:val="20"/>
          <w:szCs w:val="20"/>
          <w:color w:val="auto"/>
        </w:rPr>
      </w:pPr>
      <w:r>
        <w:rPr>
          <w:rFonts w:ascii="Arial" w:cs="Arial" w:eastAsia="Arial" w:hAnsi="Arial"/>
          <w:sz w:val="18"/>
          <w:szCs w:val="18"/>
          <w:color w:val="auto"/>
        </w:rPr>
        <w:t>Finally, Vaxart believes that utilizing its recombinant methods</w:t>
      </w:r>
      <w:r>
        <w:rPr>
          <w:rFonts w:ascii="Arial" w:cs="Arial" w:eastAsia="Arial" w:hAnsi="Arial"/>
          <w:sz w:val="18"/>
          <w:szCs w:val="18"/>
          <w:b w:val="1"/>
          <w:bCs w:val="1"/>
          <w:color w:val="auto"/>
        </w:rPr>
        <w:t>,</w:t>
      </w:r>
      <w:r>
        <w:rPr>
          <w:rFonts w:ascii="Arial" w:cs="Arial" w:eastAsia="Arial" w:hAnsi="Arial"/>
          <w:sz w:val="18"/>
          <w:szCs w:val="18"/>
          <w:color w:val="auto"/>
        </w:rPr>
        <w:t xml:space="preserve"> technology and production process will allow it to manufacture vaccines at scale more efficiently and within shorter time frames than conventional vaccines manufactured using traditional methods.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 Development Programs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Vaxart is applying its proprietary platform to develop the following tablet vaccine candidates:</w:t>
      </w:r>
    </w:p>
    <w:p>
      <w:pPr>
        <w:spacing w:after="0" w:line="224" w:lineRule="exact"/>
        <w:rPr>
          <w:sz w:val="20"/>
          <w:szCs w:val="20"/>
          <w:color w:val="auto"/>
        </w:rPr>
      </w:pPr>
    </w:p>
    <w:p>
      <w:pPr>
        <w:ind w:left="660" w:hanging="329"/>
        <w:spacing w:after="0" w:line="258" w:lineRule="auto"/>
        <w:tabs>
          <w:tab w:leader="none" w:pos="66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Norovirus Vaccine. </w:t>
      </w:r>
      <w:r>
        <w:rPr>
          <w:rFonts w:ascii="Arial" w:cs="Arial" w:eastAsia="Arial" w:hAnsi="Arial"/>
          <w:sz w:val="18"/>
          <w:szCs w:val="18"/>
          <w:color w:val="auto"/>
        </w:rPr>
        <w:t>Vaxart is developing a bivalent oral tablet vaccine for norovirus, a leading cause of acute viral gastroenteritis and food-borne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in the United States and Europe. Because norovirus is a pathogen that infects the small intestine, Vaxart believes that a vaccine that produces mucosal antibodies locally in the intestine, in addition to systemic antibodies that circulate in the blood, may better protect against norovirus infection than an injectable vaccine.</w:t>
      </w:r>
    </w:p>
    <w:p>
      <w:pPr>
        <w:spacing w:after="0" w:line="186" w:lineRule="exact"/>
        <w:rPr>
          <w:rFonts w:ascii="Arial" w:cs="Arial" w:eastAsia="Arial" w:hAnsi="Arial"/>
          <w:sz w:val="18"/>
          <w:szCs w:val="18"/>
          <w:b w:val="1"/>
          <w:bCs w:val="1"/>
          <w:i w:val="1"/>
          <w:iCs w:val="1"/>
          <w:color w:val="auto"/>
        </w:rPr>
      </w:pPr>
    </w:p>
    <w:p>
      <w:pPr>
        <w:ind w:left="660" w:right="60"/>
        <w:spacing w:after="0" w:line="295" w:lineRule="auto"/>
        <w:rPr>
          <w:rFonts w:ascii="Arial" w:cs="Arial" w:eastAsia="Arial" w:hAnsi="Arial"/>
          <w:sz w:val="18"/>
          <w:szCs w:val="18"/>
          <w:b w:val="1"/>
          <w:bCs w:val="1"/>
          <w:i w:val="1"/>
          <w:iCs w:val="1"/>
          <w:color w:val="auto"/>
        </w:rPr>
      </w:pPr>
      <w:r>
        <w:rPr>
          <w:rFonts w:ascii="Arial" w:cs="Arial" w:eastAsia="Arial" w:hAnsi="Arial"/>
          <w:sz w:val="16"/>
          <w:szCs w:val="16"/>
          <w:color w:val="auto"/>
        </w:rPr>
        <w:t>Vaxart has completed two Phase 1 clinical trials with its monovalent oral tablet vaccine based on the GI.1 norovirus strain, demonstrating that its norovirus tablet vaccine was well-tolerated, and generated broad systemic and mucosal immune responses. In the recently completed clinical Phase 1b dose optimization study in healthy adults in which Vaxart evaluated four different dosing regimens, all vaccine recipients (100%) in the high dose group responded as measured by a significant increase in norovirus specific B cells of both IgA and IgG subtypes. In the same group, there was at least a two-fold increase of norovirus specific antibody titers in serum in more than 90% of recipients 56 days after dosing.</w:t>
      </w:r>
    </w:p>
    <w:p>
      <w:pPr>
        <w:spacing w:after="0" w:line="161" w:lineRule="exact"/>
        <w:rPr>
          <w:rFonts w:ascii="Arial" w:cs="Arial" w:eastAsia="Arial" w:hAnsi="Arial"/>
          <w:sz w:val="18"/>
          <w:szCs w:val="18"/>
          <w:b w:val="1"/>
          <w:bCs w:val="1"/>
          <w:i w:val="1"/>
          <w:iCs w:val="1"/>
          <w:color w:val="auto"/>
        </w:rPr>
      </w:pPr>
    </w:p>
    <w:p>
      <w:pPr>
        <w:ind w:left="660" w:right="12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Vaxart plans to initiate a Phase 1 trial of its bivalent norovirus vaccine candidate designed to assess safety and immunogenicity in the second half of 2018, and commence a Phase 2 challenge study with its GI.1 monovalent vaccine designed to assess the protective efficacy against live norovirus challenge, also in the second half of 2018.</w:t>
      </w:r>
    </w:p>
    <w:p>
      <w:pPr>
        <w:spacing w:after="0" w:line="183" w:lineRule="exact"/>
        <w:rPr>
          <w:rFonts w:ascii="Arial" w:cs="Arial" w:eastAsia="Arial" w:hAnsi="Arial"/>
          <w:sz w:val="18"/>
          <w:szCs w:val="18"/>
          <w:b w:val="1"/>
          <w:bCs w:val="1"/>
          <w:i w:val="1"/>
          <w:iCs w:val="1"/>
          <w:color w:val="auto"/>
        </w:rPr>
      </w:pPr>
    </w:p>
    <w:p>
      <w:pPr>
        <w:ind w:left="660" w:right="80" w:hanging="329"/>
        <w:spacing w:after="0" w:line="262" w:lineRule="auto"/>
        <w:tabs>
          <w:tab w:leader="none" w:pos="660" w:val="left"/>
        </w:tabs>
        <w:numPr>
          <w:ilvl w:val="0"/>
          <w:numId w:val="1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Seasonal Influenza Vaccine. </w:t>
      </w:r>
      <w:r>
        <w:rPr>
          <w:rFonts w:ascii="Arial" w:cs="Arial" w:eastAsia="Arial" w:hAnsi="Arial"/>
          <w:sz w:val="18"/>
          <w:szCs w:val="18"/>
          <w:color w:val="auto"/>
        </w:rPr>
        <w:t>Influenza is a major cause of morbidity and mortality in the U.S. and worldwide, but currently marketed vaccines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suboptimal efficacy and only 47% of eligible U.S. citizens were vaccinated in 2016/2017. Vaxart believes its oral tablet vaccine has the potential to improve the protective efficacy of currently available influenza vaccines and increase flu vaccination rates.</w:t>
      </w:r>
    </w:p>
    <w:p>
      <w:pPr>
        <w:spacing w:after="0" w:line="183" w:lineRule="exact"/>
        <w:rPr>
          <w:sz w:val="20"/>
          <w:szCs w:val="20"/>
          <w:color w:val="auto"/>
        </w:rPr>
      </w:pPr>
    </w:p>
    <w:p>
      <w:pPr>
        <w:ind w:left="660" w:right="240"/>
        <w:spacing w:after="0" w:line="276" w:lineRule="auto"/>
        <w:rPr>
          <w:sz w:val="20"/>
          <w:szCs w:val="20"/>
          <w:color w:val="auto"/>
        </w:rPr>
      </w:pPr>
      <w:r>
        <w:rPr>
          <w:rFonts w:ascii="Arial" w:cs="Arial" w:eastAsia="Arial" w:hAnsi="Arial"/>
          <w:sz w:val="18"/>
          <w:szCs w:val="18"/>
          <w:color w:val="auto"/>
        </w:rPr>
        <w:t>Vaxart has completed Phase 1 trials for an H1N1 influenza A strain and for an influenza B strain, demonstrating safety and immune responses that correlate with protection from influenza.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5" w:name="page156"/>
    <w:bookmarkEnd w:id="15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60"/>
        <w:spacing w:after="0" w:line="271" w:lineRule="auto"/>
        <w:rPr>
          <w:sz w:val="20"/>
          <w:szCs w:val="20"/>
          <w:color w:val="auto"/>
        </w:rPr>
      </w:pPr>
      <w:r>
        <w:rPr>
          <w:rFonts w:ascii="Arial" w:cs="Arial" w:eastAsia="Arial" w:hAnsi="Arial"/>
          <w:sz w:val="17"/>
          <w:szCs w:val="17"/>
          <w:color w:val="auto"/>
        </w:rPr>
        <w:t>In September 2015, Vaxart was awarded a $13.9 million contract by the U.S. Government through the Office of Biomedical Advanced Research and Development Authority, or BARDA, which funded a Phase 2 challenge study designed to evaluate whether Vaxart’s H1 influenza tablet vaccine candidate offers broader and more durable protection against H1 influenza infection than a currently marketed injectable quadrivalent influenza vaccine. In April 2017, the contract with BARDA was increased to $15.7 million. On October 26, 2017, Vaxart announced that in healthy volunteers experimentally infected with H1 influenza, its H1 influenza oral tablet vaccine resulted in a 39% reduction in clinical disease relative to placebo, compared to a 27% reduction by the active comparator, the market-leading injectable quadrivalent influenza vaccine. The Vaxart tablet vaccine also showed a favorable safety profile, indistinguishable from placebo.</w:t>
      </w:r>
    </w:p>
    <w:p>
      <w:pPr>
        <w:spacing w:after="0" w:line="178" w:lineRule="exact"/>
        <w:rPr>
          <w:sz w:val="20"/>
          <w:szCs w:val="20"/>
          <w:color w:val="auto"/>
        </w:rPr>
      </w:pPr>
    </w:p>
    <w:p>
      <w:pPr>
        <w:ind w:left="660" w:right="40"/>
        <w:spacing w:after="0" w:line="262" w:lineRule="auto"/>
        <w:rPr>
          <w:sz w:val="20"/>
          <w:szCs w:val="20"/>
          <w:color w:val="auto"/>
        </w:rPr>
      </w:pPr>
      <w:r>
        <w:rPr>
          <w:rFonts w:ascii="Arial" w:cs="Arial" w:eastAsia="Arial" w:hAnsi="Arial"/>
          <w:sz w:val="18"/>
          <w:szCs w:val="18"/>
          <w:color w:val="auto"/>
        </w:rPr>
        <w:t>At this time, Vaxart aims to finance development and commercialization of its seasonal quadrivalent influenza oral tablet vaccine through third-party collaboration and licensing arrangements, and/or non-dilutive funding. In the future, it may also consider equity offerings and/or debt financings to fund the program.</w:t>
      </w:r>
    </w:p>
    <w:p>
      <w:pPr>
        <w:spacing w:after="0" w:line="183" w:lineRule="exact"/>
        <w:rPr>
          <w:sz w:val="20"/>
          <w:szCs w:val="20"/>
          <w:color w:val="auto"/>
        </w:rPr>
      </w:pPr>
    </w:p>
    <w:p>
      <w:pPr>
        <w:ind w:left="660" w:hanging="329"/>
        <w:spacing w:after="0" w:line="276" w:lineRule="auto"/>
        <w:tabs>
          <w:tab w:leader="none" w:pos="66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RSV Vaccine. </w:t>
      </w:r>
      <w:r>
        <w:rPr>
          <w:rFonts w:ascii="Arial" w:cs="Arial" w:eastAsia="Arial" w:hAnsi="Arial"/>
          <w:sz w:val="18"/>
          <w:szCs w:val="18"/>
          <w:color w:val="auto"/>
        </w:rPr>
        <w:t>RSV is an important respiratory pathogen with a significant burden of disease in the very young and in the elderly, and Vaxart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vaccine based on its oral recombinant vaccine platform could offer significant advantages over injectable vaccines.</w:t>
      </w:r>
    </w:p>
    <w:p>
      <w:pPr>
        <w:spacing w:after="0" w:line="169" w:lineRule="exact"/>
        <w:rPr>
          <w:rFonts w:ascii="Arial" w:cs="Arial" w:eastAsia="Arial" w:hAnsi="Arial"/>
          <w:sz w:val="18"/>
          <w:szCs w:val="18"/>
          <w:b w:val="1"/>
          <w:bCs w:val="1"/>
          <w:i w:val="1"/>
          <w:iCs w:val="1"/>
          <w:color w:val="auto"/>
        </w:rPr>
      </w:pPr>
    </w:p>
    <w:p>
      <w:pPr>
        <w:ind w:left="660" w:right="24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Vaxart has conducted proof-of-concept studies with a vaccine candidate using an unmodified RSV fusion protein, or F-protein, as antigen. In a challenge study in cotton rats, this vaccine generated sterilizing immunity, protecting 100% of animals against challenge. In a subsequent Phase 1 clinical study with a single dose of the Vaxart RSV oral tablet vaccine, results were inconclusive as increases in serum antibody responses to RSV were difficult to detect against background.</w:t>
      </w:r>
    </w:p>
    <w:p>
      <w:pPr>
        <w:spacing w:after="0" w:line="186" w:lineRule="exact"/>
        <w:rPr>
          <w:rFonts w:ascii="Arial" w:cs="Arial" w:eastAsia="Arial" w:hAnsi="Arial"/>
          <w:sz w:val="18"/>
          <w:szCs w:val="18"/>
          <w:b w:val="1"/>
          <w:bCs w:val="1"/>
          <w:i w:val="1"/>
          <w:iCs w:val="1"/>
          <w:color w:val="auto"/>
        </w:rPr>
      </w:pPr>
    </w:p>
    <w:p>
      <w:pPr>
        <w:ind w:left="66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Based on the results cotton rat study, Vaxart believes its proprietary oral vaccine platform is the optimal delivery system for RSV, but a different antigen may be required. Vaxart now aims to develop an oral RSV vaccine using a modified RSV F-protein antigen, to be obtained through partnering or licensing. Vaxart is currently evaluating RSV development strategies, and aims to develop a state-of-the-art oral RSV vaccine, either by licensing one or more RSV protein antigens that have been demonstrated to protect against RSV infection in clinical studies, or by partnering with an industrial partner with deep RSV expertise and resources.</w:t>
      </w:r>
    </w:p>
    <w:p>
      <w:pPr>
        <w:spacing w:after="0" w:line="188" w:lineRule="exact"/>
        <w:rPr>
          <w:rFonts w:ascii="Arial" w:cs="Arial" w:eastAsia="Arial" w:hAnsi="Arial"/>
          <w:sz w:val="18"/>
          <w:szCs w:val="18"/>
          <w:b w:val="1"/>
          <w:bCs w:val="1"/>
          <w:i w:val="1"/>
          <w:iCs w:val="1"/>
          <w:color w:val="auto"/>
        </w:rPr>
      </w:pPr>
    </w:p>
    <w:p>
      <w:pPr>
        <w:ind w:left="660" w:hanging="329"/>
        <w:spacing w:after="0"/>
        <w:tabs>
          <w:tab w:leader="none" w:pos="66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HPV Therapeutic Vaccine.</w:t>
      </w:r>
    </w:p>
    <w:p>
      <w:pPr>
        <w:spacing w:after="0" w:line="227" w:lineRule="exact"/>
        <w:rPr>
          <w:rFonts w:ascii="Arial" w:cs="Arial" w:eastAsia="Arial" w:hAnsi="Arial"/>
          <w:sz w:val="18"/>
          <w:szCs w:val="18"/>
          <w:b w:val="1"/>
          <w:bCs w:val="1"/>
          <w:i w:val="1"/>
          <w:iCs w:val="1"/>
          <w:color w:val="auto"/>
        </w:rPr>
      </w:pPr>
    </w:p>
    <w:p>
      <w:pPr>
        <w:ind w:left="660" w:right="100"/>
        <w:spacing w:after="0" w:line="223" w:lineRule="auto"/>
        <w:rPr>
          <w:rFonts w:ascii="Arial" w:cs="Arial" w:eastAsia="Arial" w:hAnsi="Arial"/>
          <w:sz w:val="18"/>
          <w:szCs w:val="18"/>
          <w:b w:val="1"/>
          <w:bCs w:val="1"/>
          <w:i w:val="1"/>
          <w:iCs w:val="1"/>
          <w:color w:val="auto"/>
        </w:rPr>
      </w:pPr>
      <w:r>
        <w:rPr>
          <w:rFonts w:ascii="Arial" w:cs="Arial" w:eastAsia="Arial" w:hAnsi="Arial"/>
          <w:sz w:val="18"/>
          <w:szCs w:val="18"/>
          <w:color w:val="auto"/>
        </w:rPr>
        <w:t>HPV is the leading cause of cervical cancer,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most common cancer in women aged 15 to 44 years, with about 13,000 new cases diagnosed annually in the U.S., and a major unmet medical need. Vaxart is developing its first therapeutic vaccine targeting both HPV-16 and HPV-18, the two HPV strains responsible for 70% of cervical cancers and precancerous cervical dysplasia.</w:t>
      </w:r>
    </w:p>
    <w:p>
      <w:pPr>
        <w:spacing w:after="0" w:line="203" w:lineRule="exact"/>
        <w:rPr>
          <w:rFonts w:ascii="Arial" w:cs="Arial" w:eastAsia="Arial" w:hAnsi="Arial"/>
          <w:sz w:val="18"/>
          <w:szCs w:val="18"/>
          <w:b w:val="1"/>
          <w:bCs w:val="1"/>
          <w:i w:val="1"/>
          <w:iCs w:val="1"/>
          <w:color w:val="auto"/>
        </w:rPr>
      </w:pPr>
    </w:p>
    <w:p>
      <w:pPr>
        <w:ind w:left="660" w:right="18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Vaxart’s HPV-16 vaccine was tested in two different HPV-16 solid tumor models in mice. The vaccine elicited T cell responses and promoted migration of the activated T cells into the tumors, leading to tumor cell killing. Mice that received the Vaxart HPV-16 vaccine showed a significant reduction in volume of their established tumors.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Vaxart aims to file an IND for its first therapeutic HPV-16/18 candidate in in the second half of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Objectives</w:t>
      </w:r>
    </w:p>
    <w:p>
      <w:pPr>
        <w:spacing w:after="0" w:line="228" w:lineRule="exact"/>
        <w:rPr>
          <w:sz w:val="20"/>
          <w:szCs w:val="20"/>
          <w:color w:val="auto"/>
        </w:rPr>
      </w:pPr>
    </w:p>
    <w:p>
      <w:pPr>
        <w:ind w:left="660" w:right="40" w:hanging="329"/>
        <w:spacing w:after="0" w:line="254" w:lineRule="auto"/>
        <w:tabs>
          <w:tab w:leader="none" w:pos="660" w:val="left"/>
        </w:tabs>
        <w:numPr>
          <w:ilvl w:val="0"/>
          <w:numId w:val="1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Develop New Tablet Vaccine Candidates Based Upon its Proprietary Platform. </w:t>
      </w:r>
      <w:r>
        <w:rPr>
          <w:rFonts w:ascii="Arial" w:cs="Arial" w:eastAsia="Arial" w:hAnsi="Arial"/>
          <w:sz w:val="18"/>
          <w:szCs w:val="18"/>
          <w:color w:val="auto"/>
        </w:rPr>
        <w:t>Vaxart’s technology platform utilizes a novel mechanism of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it believes can be used to develop a range of vaccines to address a wide variety of infectious diseases. Vaxart’s technology platform employs a modular approach using the same Ad5 vector-adjuvant construct with disease-specific antigens to create new tablet vaccine candidates. Vaxart may consider developing vaccines targeting other infectious diseases including Chikungunya, Ebola, Hepatitis B, Herpes Simplex Virus 2, or HSV-2, and Venezuelan Equine Encephalitis. In addition, Vaxart intends to leverage its vaccine formulation expertise to develop oral formulations suitable for pediatric populations.</w:t>
      </w:r>
    </w:p>
    <w:p>
      <w:pPr>
        <w:spacing w:after="0" w:line="192" w:lineRule="exact"/>
        <w:rPr>
          <w:rFonts w:ascii="Arial" w:cs="Arial" w:eastAsia="Arial" w:hAnsi="Arial"/>
          <w:sz w:val="18"/>
          <w:szCs w:val="18"/>
          <w:b w:val="1"/>
          <w:bCs w:val="1"/>
          <w:i w:val="1"/>
          <w:iCs w:val="1"/>
          <w:color w:val="auto"/>
        </w:rPr>
      </w:pPr>
    </w:p>
    <w:p>
      <w:pPr>
        <w:ind w:left="660" w:right="200" w:hanging="329"/>
        <w:spacing w:after="0" w:line="285" w:lineRule="auto"/>
        <w:tabs>
          <w:tab w:leader="none" w:pos="660" w:val="left"/>
        </w:tabs>
        <w:numPr>
          <w:ilvl w:val="0"/>
          <w:numId w:val="1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Further Strengthen Vaxart’s Intellectual Property Portfolio</w:t>
      </w:r>
      <w:r>
        <w:rPr>
          <w:rFonts w:ascii="Arial" w:cs="Arial" w:eastAsia="Arial" w:hAnsi="Arial"/>
          <w:sz w:val="17"/>
          <w:szCs w:val="17"/>
          <w:color w:val="auto"/>
        </w:rPr>
        <w:t>. Vaxart intends to continue to strengthen its patent portfolio by filing and prosecuting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patent applications in the United States and international jurisdictions. In addition, Vaxart is establishing in-house tableting capabilities which it believes will allow Vaxart to further improve and optimize its proprietary techniques and know-how.</w:t>
      </w:r>
    </w:p>
    <w:p>
      <w:pPr>
        <w:spacing w:after="0" w:line="164" w:lineRule="exact"/>
        <w:rPr>
          <w:rFonts w:ascii="Arial" w:cs="Arial" w:eastAsia="Arial" w:hAnsi="Arial"/>
          <w:sz w:val="17"/>
          <w:szCs w:val="17"/>
          <w:b w:val="1"/>
          <w:bCs w:val="1"/>
          <w:i w:val="1"/>
          <w:iCs w:val="1"/>
          <w:color w:val="auto"/>
        </w:rPr>
      </w:pPr>
    </w:p>
    <w:p>
      <w:pPr>
        <w:ind w:left="660" w:right="220" w:hanging="329"/>
        <w:spacing w:after="0" w:line="285" w:lineRule="auto"/>
        <w:tabs>
          <w:tab w:leader="none" w:pos="660" w:val="left"/>
        </w:tabs>
        <w:numPr>
          <w:ilvl w:val="0"/>
          <w:numId w:val="1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Maximize the Commercial Value of Vaxart’s Tablet Vaccine Candidates</w:t>
      </w:r>
      <w:r>
        <w:rPr>
          <w:rFonts w:ascii="Arial" w:cs="Arial" w:eastAsia="Arial" w:hAnsi="Arial"/>
          <w:sz w:val="17"/>
          <w:szCs w:val="17"/>
          <w:color w:val="auto"/>
        </w:rPr>
        <w:t>. Vaxart believes it owns worldwide rights for the research,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marketing and commercialization of its tablet vaccine candidates. As Vaxart further develops its product candidates, it may opportunistically seek partners to maximize the commercial opportunity of such tablet vaccine candidates.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6" w:name="page157"/>
    <w:bookmarkEnd w:id="15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Pipeline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 </w:t>
      </w:r>
      <w:r>
        <w:rPr>
          <w:rFonts w:ascii="Arial" w:cs="Arial" w:eastAsia="Arial" w:hAnsi="Arial"/>
          <w:sz w:val="18"/>
          <w:szCs w:val="18"/>
          <w:color w:val="auto"/>
        </w:rPr>
        <w:t>The following table outlines the status of Vaxart’s oral vaccine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897120" cy="2453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97120" cy="245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right="240" w:hanging="332"/>
        <w:spacing w:after="0" w:line="276" w:lineRule="auto"/>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Vaxart has completed several Phase 1 clinical trials and a Phase 2 challenge trial for an H1N1 influenza A strain. Vaxart has also completed a Phase 1 clinical trial for an influenza B strain.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Tablet Vaccine Platform</w:t>
      </w:r>
    </w:p>
    <w:p>
      <w:pPr>
        <w:spacing w:after="0" w:line="228"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Vaxart’s technology platform utilizes a novel mechanism of action, which it believes can be used to develop a new class of vaccines to address a wide variety of infectious diseases. Vaxart’s platform technology employs a vector-based approach and consists of the following components: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Adenovirus 5 Vector</w:t>
      </w:r>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vector is a non-harmful bacteria or virus used as a carrier to deliver vaccine antigens. Specifically, Vaxart uses a non-replicating adenovirus type 5, or Ad5, vector that once inside the gut, delivers the DNA for both the antigen and adjuvant to the epithelial cells of the subject’s small bowel, where both the antigen and adjuvant are co-expressed. Ad5 is an extensively studied and well-characterized vector. Over 200 clinical trials have used Ad5 in non-replicating form, and Vaxart believes using the same adenovirus in its tablet vaccine candidates will provide predictable results and reduce regulatory risk, given that the adenovirus is known to regulatory authorities.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57" w:name="page158"/>
    <w:bookmarkEnd w:id="15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Recombinant Antigen</w:t>
      </w:r>
    </w:p>
    <w:p>
      <w:pPr>
        <w:spacing w:after="0" w:line="22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An antigen is a viral or bacterial protein from a pathogen that stimulates an immune response against that same pathogen. Vaxart uses a different antigen for each of its current clinical vaccine candidates. Vaxart’s Ad5 vector contains cloning space where DNA encoding for any recombinant antigen can be inserted. In its tablet vaccine indications pursued to date, Vaxart has chosen recombinant antigens that are known to be key targets of the immune system to provide protection against the corresponding pathogen. The ability to use different antigen genes with the same Ad5 vector-adjuvant gene cassette allows for a modular approach to making new vaccines. In addition, Vaxart believes using a recombinant antigen can enhance safety and scalability.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Adjuvant</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adjuvant is a substance included in a vaccine formulation that enhances the immune-stimulating properties of the vaccine to the antigen. Specifically, Vaxart uses a Toll-like receptor 3, or TLR3, agonist to enhance immune responses. Vaxart uses a short section of double-stranded RNA, or dsRNA. dsRNA, a hallmark of a typical viral infection, is one of the ways in which the immune system recognizes viruses. Exposure to dsRNA signals the immune system to respond. Additionally, dsRNA is one of the few signals available for use in the intestine, as the natural large reservoir of bacteria makes it difficult to use bacteria- related signals. Vaxart chose this adjuvant because of its ability to complement the non-replicating adenovirus when administered orally. Importantly, this adjuvant is expressed within a cell, not provided as a separate component, resulting in a more localized response when compared with adjuvants contained in injectable vaccines.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Enteric-Coated Tablet</w:t>
      </w:r>
    </w:p>
    <w:p>
      <w:pPr>
        <w:spacing w:after="0" w:line="22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Vaxart’s proprietary enteric-coated tablet is designed to deliver the Ad5 vector to the small bowel. While tablets are typically used to deliver small molecules to the intestine, Vaxart has designed its tablets to deliver the larger adenovirus particles. Vaxart holds intellectual property related to the composition and formulation of its tablet vaccine candidates. Vaxart’s tablet manufacturing does not require sterile fill and finish processing, such as for injectables, but rather uses standard tableting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 </w:t>
      </w:r>
      <w:r>
        <w:rPr>
          <w:rFonts w:ascii="Arial" w:cs="Arial" w:eastAsia="Arial" w:hAnsi="Arial"/>
          <w:sz w:val="18"/>
          <w:szCs w:val="18"/>
          <w:color w:val="auto"/>
        </w:rPr>
        <w:t>The Vaxart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067810" cy="2085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67810"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Vaxart Platform: combination of the vector based delivery system, with antigen and adjuvant expressed by the vector.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Vaxart Tablet Vaccine Candidates Work</w:t>
      </w:r>
    </w:p>
    <w:p>
      <w:pPr>
        <w:spacing w:after="0" w:line="22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Vaxart’s tablets are designed to deliver vaccines to the small intestine. The tablets are covered with a protective coating that remains intact in the low pH environment of the stomach and protects the active ingredient contained in the tablet core. The coating is designed to dissolve in the neutral pH environment of the small intestine which it is targeting to generate an optimal immune response. Once the coating has dissolved, the tablets disintegrate, and the vaccine is released into the small intestine where it can reach and enter the mucosal cells lining the intestine. Once inside the mucosal cells, the antigen protein and adjuvant are expressed, or manufactured, by the cells. The adjuvant is molecular in nature and always produced within the exact same intestinal cells that also produce the antigen. Importantly, unlike current recombinant vaccines that are manufactured in insect cells or yeast which may introduce subtle structural changes to the protein antigen, the production of antigens delivered using Vaxart’s approach is identical to that of the actual pathogen when it invades the mucosa. In addition, Vaxart believes delivering the replication incompetent Ad5-vectored vaccine via tablet directly to the gut, avoids neutralization by blood or muscle tissue-based immune cells, an advantage over injected vector- based vaccines.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8" w:name="page159"/>
    <w:bookmarkEnd w:id="15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3. </w:t>
      </w:r>
      <w:r>
        <w:rPr>
          <w:rFonts w:ascii="Arial" w:cs="Arial" w:eastAsia="Arial" w:hAnsi="Arial"/>
          <w:sz w:val="18"/>
          <w:szCs w:val="18"/>
          <w:color w:val="auto"/>
        </w:rPr>
        <w:t>The Vaxart Oral Recombinant Vaccine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80765" cy="23672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80765" cy="236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firstLine="8"/>
        <w:spacing w:after="0" w:line="258" w:lineRule="auto"/>
        <w:tabs>
          <w:tab w:leader="none" w:pos="179" w:val="left"/>
        </w:tabs>
        <w:numPr>
          <w:ilvl w:val="0"/>
          <w:numId w:val="162"/>
        </w:numPr>
        <w:rPr>
          <w:rFonts w:ascii="Arial" w:cs="Arial" w:eastAsia="Arial" w:hAnsi="Arial"/>
          <w:sz w:val="18"/>
          <w:szCs w:val="18"/>
          <w:i w:val="1"/>
          <w:iCs w:val="1"/>
          <w:color w:val="auto"/>
        </w:rPr>
      </w:pPr>
      <w:r>
        <w:rPr>
          <w:rFonts w:ascii="Arial" w:cs="Arial" w:eastAsia="Arial" w:hAnsi="Arial"/>
          <w:sz w:val="18"/>
          <w:szCs w:val="18"/>
          <w:i w:val="1"/>
          <w:iCs w:val="1"/>
          <w:color w:val="auto"/>
        </w:rPr>
        <w:t>Enteric-coated tablet is administered. The tablet coating protects the active ingredient from stomach acid degradation. 2. When the tablet reaches the small intestine, it releases the active ingredient, the viral vector, that can then transfect the epithelial cells in the mucosal epithelium and deliver the genes for the two payloads (antigen and adjuvant). 3. Expression of the antigen and adjuvant in the epithelial cells then leads to the TLR3 signaling cascade that can activate B and T cells.</w:t>
      </w:r>
    </w:p>
    <w:p>
      <w:pPr>
        <w:spacing w:after="0" w:line="18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Immune cells come in contact with proteins, and if the protein elicits an immune recognition signal, the immune cell becomes activated. This eventually leads to an immune response, producing either memory cells or large quantities of antibodies that bind to a key antigen. The expressed antigen and adjuvant of its platform, like other vaccines, cause induction of B and T cells specific for the antigen. Induction is believed to begin when an immature dendritic cell (specialized immune cell) absorbs an epithelial cell expressing both the antigen and adjuvant that were delivered by the Ad5 vector. Upon induction, dendritic cells migrate to the regional lymph nodes where they interact with recirculating naive B and T cells. The dendritic cell presents pieces of the antigen on its surface to stimulate T cells, and some of the antigen drains into the lymph node to stimulate B cells. Upon recognizing its specific antigen, small B or T cells stop migrating and enlarge. These then multiply in a clonal fashion and eventually recirculate to the tissues. B cells secrete antibodies that recognize the antigen and T cells find cells that have antigen presented on their surface and either kill the presenting cell or stimulate a local inflammatory response. A successful vaccination occurs if the B cells and T cells can form either memory cells (cells specialized to respond quickly to the protective antigen upon subsequent exposure) or enough antibody to a key antigen is made in large quantity to block infection.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Significance of Mucosal Immunity and T Cell Responses</w:t>
      </w:r>
    </w:p>
    <w:p>
      <w:pPr>
        <w:spacing w:after="0" w:line="22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immune system has developed defenses against pathogens by creating a special class of immune effectors, such as mucosal antibodies that are directed to wet surfaces and killer T cells that can kill pathogen infected cells. Most vaccines available today have been developed primarily to elicit blood circulating, or systemic B cell responses. However, there remain many infections, such as norovirus and RSV for which no vaccines exist. These and other pathogens may need greater immune responses outside of serum antibodies. Organisms that cause these infections largely evade the antibody immune response generated by serum antibodies in the blood because the pathogenic organism can pass through cells that line the open, mucosal membranes without coming into direct contact with blood. Alternatively, the serum antibodies are unable to penetrate into the cells infected by the pathogen.</w:t>
      </w:r>
    </w:p>
    <w:p>
      <w:pPr>
        <w:spacing w:after="0" w:line="16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Injectable vaccines available today typically do not induce mucosal immune responses, and subunit vaccines do not typically induce strong killer T cell immune responses, which are required to produce an effective level of immunization against several difficult pathogens. Administering vaccines through non-mucosal routes often leads to poor protection against mucosal pathogens primarily because such vaccines do not generate memory lymphocytes that migrate to mucosal surfaces. Although mucosal vaccination induces mucosa-tropic memory lymphocytes, Vaxart believes no complete mucosal recombinant oral vaccines are commercially available. Live attenuated vaccines can pose safety risks, whereas killed pathogens or molecular antigens are usually weak immunogens when applied to intact mucosa. Moreover, the immune mechanisms of protection against many mucosal infections are poorly understood.</w:t>
      </w:r>
    </w:p>
    <w:p>
      <w:pPr>
        <w:spacing w:after="0" w:line="16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One of the key benefits of Vaxart’s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very surface where such pathogens invade. Vaxart’s tablet vaccine candidates target the mucosal immune cells with a vector-based approach and are designed to create a more potent cytotoxic T cell response and mucosal antibody response, which may provide more effective immunity for certain diseases. Besides robust mucosal and systemic antibody responses, Vaxart observed potent and poly-functional T cell responses in its human clinical trials, demonstrating that its tablet vaccine candidates efficiently activate both B and T cells.</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59" w:name="page160"/>
    <w:bookmarkEnd w:id="15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Non-Replicating Ad5 Vector is Designed to Circumvent Anti-Vector Issues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Injected Ad5 vectored vaccines generate strong anti-Ad5 responses, with up to a 100-fold increase in the anti-Ad5 neutralizing antibody titers (O'Brien et al, Nat. Med.). In contrast, Vaxart’s oral Ad5 vectored vaccine is designed to circumvent the complications related to anti-Ad5 immunity, allowing the platform to be used for multiple vaccines and repeat annual and booster vaccinations.</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Anti-vector responses have been studied in Vaxart’s H1 influenza Phase 1 and Phase 2 studies, as well as in the two norovirus Phase 1 studies. In the first H1 influenza oral tablet vaccine study in 12 subjects, there were no significant rises in the neutralizing antibody titers to Ad5 following immunization (Liebowitz, et al, Lancet ID). A challenge study was recently performed using the same H1 flu oral tablet vaccine in more than 60 subjects. This study found a 2.2 geometric fold rise in neutralizing antibody titers to Ad5, compared to a rise of 1.1-fold in the placebo group. Finally, the rise in vaccine anti-vector immune responses were monitored in the two Phase 1 norovirus vaccine studies, study #101 and study #102. There were no significant increases in the neutralizing anti-Ad5 antibody titers following either one or two doses of vaccine, even at the high dose (see figure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4. </w:t>
      </w:r>
      <w:r>
        <w:rPr>
          <w:rFonts w:ascii="Arial" w:cs="Arial" w:eastAsia="Arial" w:hAnsi="Arial"/>
          <w:sz w:val="18"/>
          <w:szCs w:val="18"/>
          <w:color w:val="auto"/>
        </w:rPr>
        <w:t>Anti-vector titers pre- and post-immunization.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384425" cy="20427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84425"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i w:val="1"/>
          <w:iCs w:val="1"/>
          <w:color w:val="auto"/>
        </w:rPr>
        <w:t>In the single dose 101 study, anti-vector titers were measured 28 days after dosing. In the two-dose 102 study, anti-vector titers were measured 28 days after the second dose. No significant increase in Ad5 titers were observed in any group in the two studies.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in all studies to date, immune responses to the antigen of choice appeared to be independent from the recipient’s pre-existing anti-Ad5 immune status. In published studies with the Vaxart Ad5 vectored H1 influenza oral tablet vaccine, the pre-existing antibody titers to Ad5 had no effect on the ability of the vaccine to induce a neutralizing antibody response (by hemagglutinin inhibition or microneutralization assay) to influenza (Liebowitz, et al, Lancet ID; Scallan, et al, CVI). Similarly, in the two recently completed Phase 1 studies with the Vaxart Ad5 vectored norovirus GI.1 oral tablet vaccine, the ability of the vaccine to generate a rise in antibody titers to norovirus or specifically blocking titers to norovirus virus-like particles (VLP) (BT50 assay), was not reduced in subjects with pre-existing anti-Ad5 antibody titers. These results are shown in Fig. 5 below. In conclusion, performance of the Vaxart Ad5 vectored vaccine delivered orally does not appear to be adversely affected by the pre-existing serum antibody status of the recipient.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5. </w:t>
      </w:r>
      <w:r>
        <w:rPr>
          <w:rFonts w:ascii="Arial" w:cs="Arial" w:eastAsia="Arial" w:hAnsi="Arial"/>
          <w:sz w:val="18"/>
          <w:szCs w:val="18"/>
          <w:color w:val="auto"/>
        </w:rPr>
        <w:t>Anti-vector immunity had no effect on the ability of the norovirus vaccine to induce BT50 titers.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871470" cy="16236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7147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0" w:name="page161"/>
    <w:bookmarkEnd w:id="16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Subjects in the high dose groups were divided based on the pre-existing anti-Ad5 titers on day 0. Those with titers ≥100 were considered Ad5 positive, those &lt;100 were considered Ad5 negative. The fold increase in BT50 titers for each subject was plotted. The average increase in the BT50 titers for the Ad5 positive group was not lower than for the Ad5 negative group.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Norovirus Program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Norovirus is the leading cause of acute viral gastroenteritis in all age groups in the United States. Each year, on average, norovirus causes 19 to 21 million cases of acute gastroenteritis, and leads to 56,000 to 71,000 hospitalizations and 570 to 800 deaths, mostly among young children and older adults. Typical symptoms include dehydration, which is the most common complication, vomiting, diarrhea with abdominal cramps, and nausea. In a study conducted by Johns Hopkins University in 2012, the total economic burden of norovirus in the United States has been estimated at $5.5 billion. In the U.S., Vaxart believes a norovirus vaccine would be beneficial for high risk groups such as children 0-5 years old, older adults and elderly, as well as for workers in the food and travel industries, healthcare-, childcare- and elderly care workers, first responders, the military, and finally leisure travelers as well as business travelers. There are currently no approved vaccines or therapies to prevent or treat norovirus infection.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Norovirus Vaccine Candidate</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Vaxart plans to develop a VP1-based bivalent oral tablet vaccine that protects against norovirus GI and norovirus GII, the two major norovirus genogroups affecting humans, by targeting the norovirus GI.1 Norwalk strain and the norovirus GII.4 Sydney strain. Vaxart believes its tablet vaccine would have important advantages over the injectable vaccine in clinical development by Takeda. Because norovirus is an enteric pathogen that infects epithelial cells of the small intestine, Vaxart believes that a vaccine that produces antibodies in the intestine against norovirus locally in the intestine, such as its tablet vaccine candidate which is delivered directly to the gut, may be optimal at protecting against infection. The main isotype of antibodies found at the intestinal mucosal surface is IgA, whereas the main isotype of protective antibodies found in serum is IgG. Vaxart has demonstrated in its seasonal influenza clinical trials and in preclinical norovirus studies that its vaccine candidates can generate mucosal antibodies to the antigen encoded in its vaccine.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Vaxart has conducted multiple preclinical studies of its norovirus vaccine candidate in mice and ferrets. Overall, as compared with injectable VP1 protein vaccine, its norovirus vaccine candidate generated comparable levels of serum antibody and superior levels of mucosal antibody to the VP1 injectable protein vaccine.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Vaxart has completed two Phase 1 studies with its monovalent norovirus GI.1 oral tablet vaccine, one of the two strains that will be included in the bivalent vaccine. In both Phase 1 studies, the primary endpoint was safety and the secondary endpoint was immunogenicity.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101. Placebo Controlled Study</w:t>
      </w:r>
    </w:p>
    <w:p>
      <w:pPr>
        <w:spacing w:after="0" w:line="228" w:lineRule="exact"/>
        <w:rPr>
          <w:sz w:val="20"/>
          <w:szCs w:val="20"/>
          <w:color w:val="auto"/>
        </w:rPr>
      </w:pPr>
    </w:p>
    <w:p>
      <w:pPr>
        <w:jc w:val="both"/>
        <w:ind w:right="560"/>
        <w:spacing w:after="0" w:line="225" w:lineRule="auto"/>
        <w:rPr>
          <w:sz w:val="20"/>
          <w:szCs w:val="20"/>
          <w:color w:val="auto"/>
        </w:rPr>
      </w:pPr>
      <w:r>
        <w:rPr>
          <w:rFonts w:ascii="Arial" w:cs="Arial" w:eastAsia="Arial" w:hAnsi="Arial"/>
          <w:sz w:val="18"/>
          <w:szCs w:val="18"/>
          <w:color w:val="auto"/>
        </w:rPr>
        <w:t>In the Phase 1 study designed to evaluate the norovirus vaccine (VXA-GI.1-NN), 66 healthy adults were randomized in three groups, with 23 subjects receiving a single low dose of 1 x 10</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infectious units (IU), 23 subjects receiving a single high dose of 1 x 10</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IU, and 20 subjects randomized to the placebo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Results. 101 Study</w:t>
      </w:r>
    </w:p>
    <w:p>
      <w:pPr>
        <w:spacing w:after="0" w:line="22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Solicited Events. </w:t>
      </w:r>
      <w:r>
        <w:rPr>
          <w:rFonts w:ascii="Arial" w:cs="Arial" w:eastAsia="Arial" w:hAnsi="Arial"/>
          <w:sz w:val="17"/>
          <w:szCs w:val="17"/>
          <w:color w:val="auto"/>
        </w:rPr>
        <w:t>In the first 7 days following study drug administration, 35 study subjects had at least one solicited adverse event (AE) reported with 25/46</w:t>
      </w:r>
      <w:r>
        <w:rPr>
          <w:rFonts w:ascii="Arial" w:cs="Arial" w:eastAsia="Arial" w:hAnsi="Arial"/>
          <w:sz w:val="17"/>
          <w:szCs w:val="17"/>
          <w:i w:val="1"/>
          <w:iCs w:val="1"/>
          <w:color w:val="auto"/>
        </w:rPr>
        <w:t xml:space="preserve"> </w:t>
      </w:r>
      <w:r>
        <w:rPr>
          <w:rFonts w:ascii="Arial" w:cs="Arial" w:eastAsia="Arial" w:hAnsi="Arial"/>
          <w:sz w:val="17"/>
          <w:szCs w:val="17"/>
          <w:color w:val="auto"/>
        </w:rPr>
        <w:t>(54%) subjects in the VXA-GI.1-NN vaccine groups and 10/20 (50%) of subjects in the placebo group (See table below). All of the solicited AEs reported (n=46) were grade 1 or 2 in severity with the majority being mild events (44 grade 1 and 2 grade 2 events). The percentage of subjects with any solicited symptoms was similar among treatments (See table below). Diarrhea and headache were the most common solicited symptoms following VXA-GI.1-NN administration, both reported by 15 (33%) subjects in the treated groups. Headache and nausea were reported evenly across treatments, including placebo. The only solicited symptom demonstrating a statistically significant difference from placebo was diarrhea (p = 0.0275), reported by 11 subjects in the high dose group. Nine of the 11 subjects reported mild severity diarrhea, while 2 subjects reported moderate severity episodes following the high dose vaccine. Onset of diarrhea (verbatim term “loose stools”) ranged from day 1 to day 6 following vaccine administration, and most episodes resolved within 1 day. At no point did any of the loose stools impact normal activity such as work or school, and none required treatment with anti-diarrheal medications or rehydration therapy. In summary, the vaccine appeared well-tolerated without causing any dose limiting toxicities.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1" w:name="page162"/>
    <w:bookmarkEnd w:id="16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 </w:t>
      </w:r>
      <w:r>
        <w:rPr>
          <w:rFonts w:ascii="Arial" w:cs="Arial" w:eastAsia="Arial" w:hAnsi="Arial"/>
          <w:sz w:val="18"/>
          <w:szCs w:val="18"/>
          <w:color w:val="auto"/>
        </w:rPr>
        <w:t>Norovirus Study 101 Solicited* Symptoms – Number and Percent of Subjects Reporting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6302375" cy="16021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02375" cy="160210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Adverse Events</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Placebo</w:t>
            </w: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Low Dose</w:t>
            </w: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High Dose</w:t>
            </w:r>
          </w:p>
        </w:tc>
        <w:tc>
          <w:tcPr>
            <w:tcW w:w="20" w:type="dxa"/>
            <w:vAlign w:val="bottom"/>
            <w:tcBorders>
              <w:top w:val="single" w:sz="8" w:color="auto"/>
            </w:tcBorders>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N=20</w:t>
            </w: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N=23</w:t>
            </w: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N=23</w:t>
            </w:r>
          </w:p>
        </w:tc>
        <w:tc>
          <w:tcPr>
            <w:tcW w:w="20" w:type="dxa"/>
            <w:vAlign w:val="bottom"/>
            <w:tcBorders>
              <w:bottom w:val="single" w:sz="8" w:color="auto"/>
            </w:tcBorders>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 of Subjects with Any Symptoms</w:t>
            </w:r>
          </w:p>
        </w:tc>
        <w:tc>
          <w:tcPr>
            <w:tcW w:w="16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 (50%)</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11 (48%)</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14 (61%)</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Gastrointestinal disorders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 (35%)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(39%)</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12 (52%)</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Abdominal pain</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 (10%)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Diarrhea</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 (15%)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11 (48%)</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Nausea</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 (20%)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General disorders and administration site conditions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 (10%)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Malaise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 (10%)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Nervous system disorders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 (40%)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80"/>
              <w:spacing w:after="0"/>
              <w:rPr>
                <w:sz w:val="20"/>
                <w:szCs w:val="20"/>
                <w:color w:val="auto"/>
              </w:rPr>
            </w:pPr>
            <w:r>
              <w:rPr>
                <w:rFonts w:ascii="Arial" w:cs="Arial" w:eastAsia="Arial" w:hAnsi="Arial"/>
                <w:sz w:val="18"/>
                <w:szCs w:val="18"/>
                <w:color w:val="auto"/>
              </w:rPr>
              <w:t>Headache</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8 (40%)</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tcPr>
          <w:p>
            <w:pPr>
              <w:ind w:left="20"/>
              <w:spacing w:after="0"/>
              <w:rPr>
                <w:sz w:val="20"/>
                <w:szCs w:val="20"/>
                <w:color w:val="auto"/>
              </w:rPr>
            </w:pPr>
            <w:r>
              <w:rPr>
                <w:rFonts w:ascii="Arial" w:cs="Arial" w:eastAsia="Arial" w:hAnsi="Arial"/>
                <w:sz w:val="18"/>
                <w:szCs w:val="18"/>
                <w:color w:val="auto"/>
              </w:rPr>
              <w:t>(35%)</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ind w:lef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 Solicited symptoms were collected for 7 days following immunization.</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Unsolicited Events. </w:t>
      </w:r>
      <w:r>
        <w:rPr>
          <w:rFonts w:ascii="Arial" w:cs="Arial" w:eastAsia="Arial" w:hAnsi="Arial"/>
          <w:sz w:val="18"/>
          <w:szCs w:val="18"/>
          <w:color w:val="auto"/>
        </w:rPr>
        <w:t>A total of 83 unsolicited Treatment Emergent Adverse Events (TEAEs) were reported by 33 of the 66 subjects within the first 28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dosing, with slightly more placebo subjects 12/20 (60%) reporting AEs than low dose 11/23 (48%) or high dose vaccinated subjects 10/23 (44%). Headache was the most common AE reported in all treatments. Most TEAEs were mild or moderate in severity. The PI considered 28 TEAEs possibly related, 42 unlikely related, and 13 not related.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102. Dose and Schedule Optimization.</w:t>
      </w:r>
    </w:p>
    <w:p>
      <w:pPr>
        <w:spacing w:after="0" w:line="22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study was designed to evaluate the norovirus vaccine (VXA-GI.1-NN) in 60 subjects given multiple doses, with some differences in schedule for the lower dose groups. The first three groups enrolled (N=15 each) used low doses of 1 x 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infectious units (IU). Group A received two doses of VXA-GI.1-NN on days 0 and 7, group B received three doses on days 0, 2, and 4, and group C received two doses on days 0 and 28. The fourth group, group D (N=15),</w:t>
      </w:r>
    </w:p>
    <w:p>
      <w:pPr>
        <w:spacing w:after="0" w:line="1"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evaluated two high doses of 1 x 10</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IU given on days 0 and 28. The vaccine study was an open labeled study, and enrolled more or less sequentially from group A to group D. The primary endpoint of the study was to evaluate the safety of all dosing regimens and the secondary endpoint was to compare immunogenicity between groups by BT50 titers and antibody secreting cells (ASC) counts.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Results. 102 Study</w:t>
      </w:r>
    </w:p>
    <w:p>
      <w:pPr>
        <w:spacing w:after="0" w:line="228"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In the first 7 days following study drug administration, there were 27 subjects reporting adverse events, distributed across the groups with the highest number of reporting adverse events in group C (11/15) and the lowest in group D (3/15). The most common adverse event reported was headache, reported in 21 subjects out of 60. Group C reported the highest number of headaches, and adverse events overall. This group was given two low dose vaccines 28 days apart. This was not observed in group D, a vaccine group given the exact same dosing schedule, but receiving two 10-fold higher doses of vaccine.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2. </w:t>
      </w:r>
      <w:r>
        <w:rPr>
          <w:rFonts w:ascii="Arial" w:cs="Arial" w:eastAsia="Arial" w:hAnsi="Arial"/>
          <w:sz w:val="18"/>
          <w:szCs w:val="18"/>
          <w:color w:val="auto"/>
        </w:rPr>
        <w:t>Norovirus Study 102 Solicited* Symptoms – Number and Percent of Subjects Reporting Treatment Emergent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6302375" cy="18929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02375" cy="189293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SYSTEMIC ORGAN CLASS /Preferred Term</w:t>
            </w:r>
          </w:p>
        </w:tc>
        <w:tc>
          <w:tcPr>
            <w:tcW w:w="1580" w:type="dxa"/>
            <w:vAlign w:val="bottom"/>
            <w:tcBorders>
              <w:top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Group A</w:t>
            </w:r>
          </w:p>
        </w:tc>
        <w:tc>
          <w:tcPr>
            <w:tcW w:w="1400" w:type="dxa"/>
            <w:vAlign w:val="bottom"/>
            <w:tcBorders>
              <w:top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Group B</w:t>
            </w:r>
          </w:p>
        </w:tc>
        <w:tc>
          <w:tcPr>
            <w:tcW w:w="1360" w:type="dxa"/>
            <w:vAlign w:val="bottom"/>
            <w:tcBorders>
              <w:top w:val="single" w:sz="8" w:color="auto"/>
              <w:right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Group C</w:t>
            </w:r>
          </w:p>
        </w:tc>
        <w:tc>
          <w:tcPr>
            <w:tcW w:w="13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Group D</w:t>
            </w:r>
          </w:p>
        </w:tc>
        <w:tc>
          <w:tcPr>
            <w:tcW w:w="20" w:type="dxa"/>
            <w:vAlign w:val="bottom"/>
            <w:tcBorders>
              <w:top w:val="single" w:sz="8" w:color="auto"/>
            </w:tcBorders>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right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N=15</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N=15</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N=15</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N=15</w:t>
            </w:r>
          </w:p>
        </w:tc>
        <w:tc>
          <w:tcPr>
            <w:tcW w:w="20" w:type="dxa"/>
            <w:vAlign w:val="bottom"/>
            <w:tcBorders>
              <w:bottom w:val="single" w:sz="8" w:color="auto"/>
            </w:tcBorders>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 Number Reporting an Adverse Event</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2"/>
              </w:rPr>
              <w:t>5 (33.3%)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 (53.3%)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 (73.3%)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 (20%)</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GASTROINTESTINAL DISORDERS</w:t>
            </w:r>
          </w:p>
        </w:tc>
        <w:tc>
          <w:tcPr>
            <w:tcW w:w="1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Diarrhea</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79"/>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 (7%)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 (33%)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 (7%)</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Abdominal Pain</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0"/>
              </w:rPr>
              <w:t>1 (7%)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 (20%)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 (7%)</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Nausea</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0"/>
              </w:rPr>
              <w:t>1 (7%)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 (13%)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 (13.3%)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Abdominal Pain, Upper</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79"/>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 (7%)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GENERAL DISORDERS</w:t>
            </w:r>
          </w:p>
        </w:tc>
        <w:tc>
          <w:tcPr>
            <w:tcW w:w="1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Malaise</w:t>
            </w:r>
          </w:p>
        </w:tc>
        <w:tc>
          <w:tcPr>
            <w:tcW w:w="1580" w:type="dxa"/>
            <w:vAlign w:val="bottom"/>
            <w:tcBorders>
              <w:bottom w:val="single" w:sz="8" w:color="auto"/>
              <w:right w:val="single" w:sz="8" w:color="auto"/>
            </w:tcBorders>
          </w:tcPr>
          <w:p>
            <w:pPr>
              <w:jc w:val="center"/>
              <w:ind w:left="110"/>
              <w:spacing w:after="0"/>
              <w:rPr>
                <w:sz w:val="20"/>
                <w:szCs w:val="20"/>
                <w:color w:val="auto"/>
              </w:rPr>
            </w:pPr>
            <w:r>
              <w:rPr>
                <w:rFonts w:ascii="Arial" w:cs="Arial" w:eastAsia="Arial" w:hAnsi="Arial"/>
                <w:sz w:val="18"/>
                <w:szCs w:val="18"/>
                <w:color w:val="auto"/>
                <w:w w:val="91"/>
              </w:rPr>
              <w:t>2 (13%)</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 (13%)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1(7%)</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Feeling Hot</w:t>
            </w:r>
          </w:p>
        </w:tc>
        <w:tc>
          <w:tcPr>
            <w:tcW w:w="158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79"/>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 (7%)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NERVOUS SYSTEM DISORDERS</w:t>
            </w:r>
          </w:p>
        </w:tc>
        <w:tc>
          <w:tcPr>
            <w:tcW w:w="1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80"/>
              <w:spacing w:after="0"/>
              <w:rPr>
                <w:sz w:val="20"/>
                <w:szCs w:val="20"/>
                <w:color w:val="auto"/>
              </w:rPr>
            </w:pPr>
            <w:r>
              <w:rPr>
                <w:rFonts w:ascii="Arial" w:cs="Arial" w:eastAsia="Arial" w:hAnsi="Arial"/>
                <w:sz w:val="18"/>
                <w:szCs w:val="18"/>
                <w:color w:val="auto"/>
              </w:rPr>
              <w:t>Headache</w:t>
            </w:r>
          </w:p>
        </w:tc>
        <w:tc>
          <w:tcPr>
            <w:tcW w:w="1580" w:type="dxa"/>
            <w:vAlign w:val="bottom"/>
          </w:tcPr>
          <w:p>
            <w:pPr>
              <w:jc w:val="center"/>
              <w:ind w:left="110"/>
              <w:spacing w:after="0"/>
              <w:rPr>
                <w:sz w:val="20"/>
                <w:szCs w:val="20"/>
                <w:color w:val="auto"/>
              </w:rPr>
            </w:pPr>
            <w:r>
              <w:rPr>
                <w:rFonts w:ascii="Arial" w:cs="Arial" w:eastAsia="Arial" w:hAnsi="Arial"/>
                <w:sz w:val="18"/>
                <w:szCs w:val="18"/>
                <w:color w:val="auto"/>
                <w:w w:val="91"/>
              </w:rPr>
              <w:t>4 (27%)</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 (47%)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9 (60%)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1 (7%)</w:t>
            </w:r>
          </w:p>
        </w:tc>
        <w:tc>
          <w:tcPr>
            <w:tcW w:w="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 Solicited symptoms were collected for 7 days following immunization.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2" w:name="page163"/>
    <w:bookmarkEnd w:id="16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Summary from the Two Studies.</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103 subjects were treated with VXA-GI.1-NN in the two norovirus vaccine studies. The vaccine was well tolerated, with no severe adverse events reported in either study. The most common solicited adverse event was headache, but this was relatively similar among all the dosing groups including 40% of subjects receiving the placebo in the 101 study. In the 101 study, there was a higher incidence of diarrhea reported in the high dose group versus the other groups. However, in the high dose group in the 102 study, there was only 1 subject (6.7%) reporting diarrhea even after receiving two high doses. These results in total suggest that there were no dose dependent effects that impacted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Immunogenicity Results-Study 101</w:t>
      </w:r>
    </w:p>
    <w:p>
      <w:pPr>
        <w:spacing w:after="0" w:line="22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BT50 Titers</w:t>
      </w:r>
      <w:r>
        <w:rPr>
          <w:rFonts w:ascii="Arial" w:cs="Arial" w:eastAsia="Arial" w:hAnsi="Arial"/>
          <w:sz w:val="16"/>
          <w:szCs w:val="16"/>
          <w:color w:val="auto"/>
        </w:rPr>
        <w:t>. The primary immunological endpoint was to measure antibody titers by an assay that assessed the ability of antibodies to block interaction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norovirus VLP to histogroup blood antigen (HGBA). This assay is known as the BT50 (for 50% inhibition of blocking titer) assay. BT50 titers were assessed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using Le</w:t>
      </w:r>
      <w:r>
        <w:rPr>
          <w:rFonts w:ascii="Arial" w:cs="Arial" w:eastAsia="Arial" w:hAnsi="Arial"/>
          <w:sz w:val="28"/>
          <w:szCs w:val="28"/>
          <w:color w:val="auto"/>
          <w:vertAlign w:val="superscript"/>
        </w:rPr>
        <w:t>b</w:t>
      </w:r>
      <w:r>
        <w:rPr>
          <w:rFonts w:ascii="Arial" w:cs="Arial" w:eastAsia="Arial" w:hAnsi="Arial"/>
          <w:sz w:val="17"/>
          <w:szCs w:val="17"/>
          <w:color w:val="auto"/>
        </w:rPr>
        <w:t xml:space="preserve"> synthetic glycan as the coating antigen. Titers rose in the vaccine recipients, and at all timepoints (Figure 6). By the Le</w:t>
      </w:r>
      <w:r>
        <w:rPr>
          <w:rFonts w:ascii="Arial" w:cs="Arial" w:eastAsia="Arial" w:hAnsi="Arial"/>
          <w:sz w:val="28"/>
          <w:szCs w:val="28"/>
          <w:color w:val="auto"/>
          <w:vertAlign w:val="superscript"/>
        </w:rPr>
        <w:t>b</w:t>
      </w:r>
      <w:r>
        <w:rPr>
          <w:rFonts w:ascii="Arial" w:cs="Arial" w:eastAsia="Arial" w:hAnsi="Arial"/>
          <w:sz w:val="17"/>
          <w:szCs w:val="17"/>
          <w:color w:val="auto"/>
        </w:rPr>
        <w:t xml:space="preserve"> BT50 assay, 14/23 (61%) of the subjects in the low dose group, and 18/23 (78%) in the high dose group, had at least a two-fold rise. One subject in the placebo group had a greater than two-fold rise. On Day 28, the geometric mean titer (GMT) for the low dose vaccine group was 59.0, a 2.3-fold geometric mean fold rise (GMFR) over the initial GMT of 26.2 at baseline. The GMT for the high dose vaccine group was 98.5, a 3.8-fold GMFR over the initial GMT of 25.8 at baseline. The high dose group was significantly increased over placebo on day 28 (P=0.0003). Complete results are given in the table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3. </w:t>
      </w:r>
      <w:r>
        <w:rPr>
          <w:rFonts w:ascii="Arial" w:cs="Arial" w:eastAsia="Arial" w:hAnsi="Arial"/>
          <w:sz w:val="18"/>
          <w:szCs w:val="18"/>
          <w:color w:val="auto"/>
        </w:rPr>
        <w:t>Study 101, Least Squared Geometric Mean Titer (LSGMT) for Le</w:t>
      </w:r>
      <w:r>
        <w:rPr>
          <w:rFonts w:ascii="Arial" w:cs="Arial" w:eastAsia="Arial" w:hAnsi="Arial"/>
          <w:sz w:val="29"/>
          <w:szCs w:val="29"/>
          <w:color w:val="auto"/>
          <w:vertAlign w:val="superscript"/>
        </w:rPr>
        <w:t>b</w:t>
      </w:r>
      <w:r>
        <w:rPr>
          <w:rFonts w:ascii="Arial" w:cs="Arial" w:eastAsia="Arial" w:hAnsi="Arial"/>
          <w:sz w:val="18"/>
          <w:szCs w:val="18"/>
          <w:b w:val="1"/>
          <w:bCs w:val="1"/>
          <w:color w:val="auto"/>
        </w:rPr>
        <w:t xml:space="preserve"> </w:t>
      </w:r>
      <w:r>
        <w:rPr>
          <w:rFonts w:ascii="Arial" w:cs="Arial" w:eastAsia="Arial" w:hAnsi="Arial"/>
          <w:sz w:val="18"/>
          <w:szCs w:val="18"/>
          <w:color w:val="auto"/>
        </w:rPr>
        <w:t>BT50 assay.</w:t>
      </w:r>
    </w:p>
    <w:p>
      <w:pPr>
        <w:spacing w:after="0" w:line="125" w:lineRule="exact"/>
        <w:rPr>
          <w:sz w:val="20"/>
          <w:szCs w:val="20"/>
          <w:color w:val="auto"/>
        </w:rPr>
      </w:pPr>
    </w:p>
    <w:tbl>
      <w:tblPr>
        <w:tblLayout w:type="fixed"/>
        <w:tblInd w:w="490" w:type="dxa"/>
        <w:tblCellMar>
          <w:top w:w="0" w:type="dxa"/>
          <w:left w:w="0" w:type="dxa"/>
          <w:bottom w:w="0" w:type="dxa"/>
          <w:right w:w="0" w:type="dxa"/>
        </w:tblCellMar>
      </w:tblPr>
      <w:tr>
        <w:trPr>
          <w:trHeight w:val="272"/>
        </w:trPr>
        <w:tc>
          <w:tcPr>
            <w:tcW w:w="1860" w:type="dxa"/>
            <w:vAlign w:val="bottom"/>
            <w:tcBorders>
              <w:top w:val="single" w:sz="8" w:color="auto"/>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HBGA</w:t>
            </w:r>
          </w:p>
        </w:tc>
        <w:tc>
          <w:tcPr>
            <w:tcW w:w="1820" w:type="dxa"/>
            <w:vAlign w:val="bottom"/>
            <w:tcBorders>
              <w:top w:val="single" w:sz="8" w:color="auto"/>
              <w:bottom w:val="single" w:sz="8" w:color="auto"/>
              <w:right w:val="single" w:sz="8" w:color="CCEEFF"/>
            </w:tcBorders>
            <w:shd w:val="clear" w:color="auto" w:fill="CCEEFF"/>
          </w:tcPr>
          <w:p>
            <w:pPr>
              <w:spacing w:after="0"/>
              <w:rPr>
                <w:sz w:val="23"/>
                <w:szCs w:val="23"/>
                <w:color w:val="auto"/>
              </w:rPr>
            </w:pPr>
          </w:p>
        </w:tc>
        <w:tc>
          <w:tcPr>
            <w:tcW w:w="1540" w:type="dxa"/>
            <w:vAlign w:val="bottom"/>
            <w:tcBorders>
              <w:top w:val="single" w:sz="8" w:color="auto"/>
              <w:bottom w:val="single" w:sz="8" w:color="auto"/>
            </w:tcBorders>
            <w:shd w:val="clear" w:color="auto" w:fill="CCEEFF"/>
          </w:tcPr>
          <w:p>
            <w:pPr>
              <w:spacing w:after="0"/>
              <w:rPr>
                <w:sz w:val="23"/>
                <w:szCs w:val="23"/>
                <w:color w:val="auto"/>
              </w:rPr>
            </w:pPr>
          </w:p>
        </w:tc>
        <w:tc>
          <w:tcPr>
            <w:tcW w:w="2100" w:type="dxa"/>
            <w:vAlign w:val="bottom"/>
            <w:tcBorders>
              <w:top w:val="single" w:sz="8" w:color="auto"/>
              <w:bottom w:val="single" w:sz="8" w:color="auto"/>
              <w:right w:val="single" w:sz="8" w:color="CCEEFF"/>
            </w:tcBorders>
            <w:gridSpan w:val="2"/>
            <w:shd w:val="clear" w:color="auto" w:fill="CCEEFF"/>
          </w:tcPr>
          <w:p>
            <w:pPr>
              <w:ind w:left="120"/>
              <w:spacing w:after="0" w:line="273" w:lineRule="exact"/>
              <w:rPr>
                <w:sz w:val="20"/>
                <w:szCs w:val="20"/>
                <w:color w:val="auto"/>
              </w:rPr>
            </w:pPr>
            <w:r>
              <w:rPr>
                <w:rFonts w:ascii="Arial" w:cs="Arial" w:eastAsia="Arial" w:hAnsi="Arial"/>
                <w:sz w:val="18"/>
                <w:szCs w:val="18"/>
                <w:b w:val="1"/>
                <w:bCs w:val="1"/>
                <w:color w:val="auto"/>
              </w:rPr>
              <w:t>Le</w:t>
            </w:r>
            <w:r>
              <w:rPr>
                <w:rFonts w:ascii="Arial" w:cs="Arial" w:eastAsia="Arial" w:hAnsi="Arial"/>
                <w:sz w:val="29"/>
                <w:szCs w:val="29"/>
                <w:b w:val="1"/>
                <w:bCs w:val="1"/>
                <w:color w:val="auto"/>
                <w:vertAlign w:val="superscript"/>
              </w:rPr>
              <w:t>b</w:t>
            </w:r>
          </w:p>
        </w:tc>
        <w:tc>
          <w:tcPr>
            <w:tcW w:w="1820" w:type="dxa"/>
            <w:vAlign w:val="bottom"/>
            <w:tcBorders>
              <w:top w:val="single" w:sz="8" w:color="auto"/>
              <w:bottom w:val="single" w:sz="8" w:color="auto"/>
              <w:right w:val="single" w:sz="8" w:color="auto"/>
            </w:tcBorders>
            <w:shd w:val="clear" w:color="auto" w:fill="CCEEFF"/>
          </w:tcPr>
          <w:p>
            <w:pPr>
              <w:spacing w:after="0"/>
              <w:rPr>
                <w:sz w:val="23"/>
                <w:szCs w:val="23"/>
                <w:color w:val="auto"/>
              </w:rPr>
            </w:pPr>
          </w:p>
        </w:tc>
      </w:tr>
      <w:tr>
        <w:trPr>
          <w:trHeight w:val="190"/>
        </w:trPr>
        <w:tc>
          <w:tcPr>
            <w:tcW w:w="1860" w:type="dxa"/>
            <w:vAlign w:val="bottom"/>
            <w:tcBorders>
              <w:left w:val="single" w:sz="8" w:color="auto"/>
              <w:right w:val="single" w:sz="8" w:color="auto"/>
            </w:tcBorders>
          </w:tcPr>
          <w:p>
            <w:pPr>
              <w:ind w:left="120"/>
              <w:spacing w:after="0" w:line="190" w:lineRule="exact"/>
              <w:rPr>
                <w:sz w:val="20"/>
                <w:szCs w:val="20"/>
                <w:color w:val="auto"/>
              </w:rPr>
            </w:pPr>
            <w:r>
              <w:rPr>
                <w:rFonts w:ascii="Arial" w:cs="Arial" w:eastAsia="Arial" w:hAnsi="Arial"/>
                <w:sz w:val="18"/>
                <w:szCs w:val="18"/>
                <w:b w:val="1"/>
                <w:bCs w:val="1"/>
                <w:color w:val="auto"/>
              </w:rPr>
              <w:t>Group</w:t>
            </w:r>
          </w:p>
        </w:tc>
        <w:tc>
          <w:tcPr>
            <w:tcW w:w="1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D0 LSGMT</w:t>
            </w:r>
          </w:p>
        </w:tc>
        <w:tc>
          <w:tcPr>
            <w:tcW w:w="1540" w:type="dxa"/>
            <w:vAlign w:val="bottom"/>
          </w:tcPr>
          <w:p>
            <w:pPr>
              <w:jc w:val="center"/>
              <w:ind w:left="170"/>
              <w:spacing w:after="0" w:line="190" w:lineRule="exact"/>
              <w:rPr>
                <w:sz w:val="20"/>
                <w:szCs w:val="20"/>
                <w:color w:val="auto"/>
              </w:rPr>
            </w:pPr>
            <w:r>
              <w:rPr>
                <w:rFonts w:ascii="Arial" w:cs="Arial" w:eastAsia="Arial" w:hAnsi="Arial"/>
                <w:sz w:val="18"/>
                <w:szCs w:val="18"/>
                <w:b w:val="1"/>
                <w:bCs w:val="1"/>
                <w:color w:val="auto"/>
                <w:w w:val="98"/>
              </w:rPr>
              <w:t>D28 LSGMT</w:t>
            </w:r>
          </w:p>
        </w:tc>
        <w:tc>
          <w:tcPr>
            <w:tcW w:w="2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LSGMR</w:t>
            </w:r>
          </w:p>
        </w:tc>
        <w:tc>
          <w:tcPr>
            <w:tcW w:w="1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2"/>
              </w:rPr>
              <w:t>p value*</w:t>
            </w:r>
          </w:p>
        </w:tc>
      </w:tr>
      <w:tr>
        <w:trPr>
          <w:trHeight w:val="234"/>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(95 CI)</w:t>
            </w:r>
          </w:p>
        </w:tc>
        <w:tc>
          <w:tcPr>
            <w:tcW w:w="15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8"/>
              </w:rPr>
              <w:t>(95 CI)</w:t>
            </w:r>
          </w:p>
        </w:tc>
        <w:tc>
          <w:tcPr>
            <w:tcW w:w="28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r>
      <w:tr>
        <w:trPr>
          <w:trHeight w:val="194"/>
        </w:trPr>
        <w:tc>
          <w:tcPr>
            <w:tcW w:w="1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Low</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26.2</w:t>
            </w:r>
          </w:p>
        </w:tc>
        <w:tc>
          <w:tcPr>
            <w:tcW w:w="154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1"/>
              </w:rPr>
              <w:t>59.0</w:t>
            </w:r>
          </w:p>
        </w:tc>
        <w:tc>
          <w:tcPr>
            <w:tcW w:w="2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2.3</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0.0459</w:t>
            </w: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(16.6-41.2)</w:t>
            </w:r>
          </w:p>
        </w:tc>
        <w:tc>
          <w:tcPr>
            <w:tcW w:w="15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(33.0-105.4)</w:t>
            </w:r>
          </w:p>
        </w:tc>
        <w:tc>
          <w:tcPr>
            <w:tcW w:w="28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r>
      <w:tr>
        <w:trPr>
          <w:trHeight w:val="194"/>
        </w:trPr>
        <w:tc>
          <w:tcPr>
            <w:tcW w:w="1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High</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25.8</w:t>
            </w:r>
          </w:p>
        </w:tc>
        <w:tc>
          <w:tcPr>
            <w:tcW w:w="154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1"/>
              </w:rPr>
              <w:t>98.5</w:t>
            </w:r>
          </w:p>
        </w:tc>
        <w:tc>
          <w:tcPr>
            <w:tcW w:w="2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3.8</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0.0003</w:t>
            </w: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(18.3-36.2)</w:t>
            </w:r>
          </w:p>
        </w:tc>
        <w:tc>
          <w:tcPr>
            <w:tcW w:w="15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(64.4-150.7)</w:t>
            </w:r>
          </w:p>
        </w:tc>
        <w:tc>
          <w:tcPr>
            <w:tcW w:w="28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r>
      <w:tr>
        <w:trPr>
          <w:trHeight w:val="194"/>
        </w:trPr>
        <w:tc>
          <w:tcPr>
            <w:tcW w:w="186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Placebo</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24.6</w:t>
            </w:r>
          </w:p>
        </w:tc>
        <w:tc>
          <w:tcPr>
            <w:tcW w:w="154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1"/>
              </w:rPr>
              <w:t>27.4</w:t>
            </w:r>
          </w:p>
        </w:tc>
        <w:tc>
          <w:tcPr>
            <w:tcW w:w="28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Reference</w:t>
            </w: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(15.3-39.3)</w:t>
            </w:r>
          </w:p>
        </w:tc>
        <w:tc>
          <w:tcPr>
            <w:tcW w:w="15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0"/>
              </w:rPr>
              <w:t>(17.0-44.2)</w:t>
            </w:r>
          </w:p>
        </w:tc>
        <w:tc>
          <w:tcPr>
            <w:tcW w:w="28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r>
      <w:tr>
        <w:trPr>
          <w:trHeight w:val="206"/>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820" w:type="dxa"/>
            <w:vAlign w:val="bottom"/>
            <w:tcBorders>
              <w:bottom w:val="single" w:sz="8" w:color="auto"/>
            </w:tcBorders>
          </w:tcPr>
          <w:p>
            <w:pPr>
              <w:ind w:left="80"/>
              <w:spacing w:after="0" w:line="206" w:lineRule="exact"/>
              <w:rPr>
                <w:sz w:val="20"/>
                <w:szCs w:val="20"/>
                <w:color w:val="auto"/>
              </w:rPr>
            </w:pPr>
            <w:r>
              <w:rPr>
                <w:rFonts w:ascii="Arial" w:cs="Arial" w:eastAsia="Arial" w:hAnsi="Arial"/>
                <w:sz w:val="18"/>
                <w:szCs w:val="18"/>
                <w:b w:val="1"/>
                <w:bCs w:val="1"/>
                <w:color w:val="auto"/>
                <w:w w:val="99"/>
              </w:rPr>
              <w:t>Overall significance</w:t>
            </w: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spacing w:after="0"/>
              <w:rPr>
                <w:sz w:val="17"/>
                <w:szCs w:val="17"/>
                <w:color w:val="auto"/>
              </w:rPr>
            </w:pPr>
          </w:p>
        </w:tc>
        <w:tc>
          <w:tcPr>
            <w:tcW w:w="182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0"/>
              </w:rPr>
              <w:t>0.0017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*Significance by Mann-Whitney vs placebo; overall significance by Kruskal-Wallis Test.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6. </w:t>
      </w:r>
      <w:r>
        <w:rPr>
          <w:rFonts w:ascii="Arial" w:cs="Arial" w:eastAsia="Arial" w:hAnsi="Arial"/>
          <w:sz w:val="18"/>
          <w:szCs w:val="18"/>
          <w:color w:val="auto"/>
        </w:rPr>
        <w:t>Geometric Mean Titer Increases Day 0 – Day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Geomean Serum BT50 Titers over time for Le</w:t>
      </w:r>
      <w:r>
        <w:rPr>
          <w:rFonts w:ascii="Arial" w:cs="Arial" w:eastAsia="Arial" w:hAnsi="Arial"/>
          <w:sz w:val="29"/>
          <w:szCs w:val="29"/>
          <w:i w:val="1"/>
          <w:iCs w:val="1"/>
          <w:color w:val="auto"/>
          <w:vertAlign w:val="superscript"/>
        </w:rPr>
        <w:t>b</w:t>
      </w:r>
      <w:r>
        <w:rPr>
          <w:rFonts w:ascii="Arial" w:cs="Arial" w:eastAsia="Arial" w:hAnsi="Arial"/>
          <w:sz w:val="18"/>
          <w:szCs w:val="18"/>
          <w:i w:val="1"/>
          <w:iCs w:val="1"/>
          <w:color w:val="auto"/>
        </w:rPr>
        <w:t>.</w:t>
      </w:r>
    </w:p>
    <w:p>
      <w:pPr>
        <w:spacing w:after="0" w:line="13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color w:val="auto"/>
        </w:rPr>
        <w:t xml:space="preserve">Antibody Secreting Cell (ASC). </w:t>
      </w:r>
      <w:r>
        <w:rPr>
          <w:rFonts w:ascii="Arial" w:cs="Arial" w:eastAsia="Arial" w:hAnsi="Arial"/>
          <w:sz w:val="16"/>
          <w:szCs w:val="16"/>
          <w:color w:val="auto"/>
        </w:rPr>
        <w:t>The ability of the vaccine to induce norovirus specific B cells in the peripheral blood was measured by ASC assay. This</w:t>
      </w:r>
      <w:r>
        <w:rPr>
          <w:rFonts w:ascii="Arial" w:cs="Arial" w:eastAsia="Arial" w:hAnsi="Arial"/>
          <w:sz w:val="16"/>
          <w:szCs w:val="16"/>
          <w:b w:val="1"/>
          <w:bCs w:val="1"/>
          <w:color w:val="auto"/>
        </w:rPr>
        <w:t xml:space="preserve"> </w:t>
      </w:r>
      <w:r>
        <w:rPr>
          <w:rFonts w:ascii="Arial" w:cs="Arial" w:eastAsia="Arial" w:hAnsi="Arial"/>
          <w:sz w:val="16"/>
          <w:szCs w:val="16"/>
          <w:color w:val="auto"/>
        </w:rPr>
        <w:t>assay essentially counts the number of B cells that emerge after immunization and recognize norovirus in the peripheral blood. The number that circulate in the blood pre-immunization is very low, so the assay is a meaningful way to evaluate the vaccine effects. In the low dose group, 16/23 (70%) of subjects responded and in the high dose group, 19/23 (83%) of subjects responded on day 7 for both IgA and IgG ASCs (Figure 7). Background ASCs were generally</w:t>
      </w:r>
    </w:p>
    <w:p>
      <w:pPr>
        <w:spacing w:after="0" w:line="3" w:lineRule="exact"/>
        <w:rPr>
          <w:sz w:val="20"/>
          <w:szCs w:val="20"/>
          <w:color w:val="auto"/>
        </w:rPr>
      </w:pPr>
    </w:p>
    <w:p>
      <w:pPr>
        <w:ind w:right="60"/>
        <w:spacing w:after="0" w:line="205" w:lineRule="auto"/>
        <w:rPr>
          <w:sz w:val="20"/>
          <w:szCs w:val="20"/>
          <w:color w:val="auto"/>
        </w:rPr>
      </w:pPr>
      <w:r>
        <w:rPr>
          <w:rFonts w:ascii="Arial" w:cs="Arial" w:eastAsia="Arial" w:hAnsi="Arial"/>
          <w:sz w:val="16"/>
          <w:szCs w:val="16"/>
          <w:color w:val="auto"/>
        </w:rPr>
        <w:t>negligible on day 0. For the high dose vaccine treated group, an average of 561 IgA ASCs and 278 IgG ASCs each per 1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peripheral blood mononuclear cells (PBMCs) were found on day 7. For the low dose vaccine treated group, an average of 372 IgA ASCs and 107 IgG ASCs per 1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PBMCs were found</w:t>
      </w:r>
    </w:p>
    <w:p>
      <w:pPr>
        <w:spacing w:after="0" w:line="2"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on day 7. The placebo group had no responders with an average of 3.3 spots for IgA ASCs and 2.2 spots for IgG ASCs per 1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PBMCs on day 7. The treated groups were significantly different than placebo in terms of the ability to elicit an IgG or an IgA ASC response at day 7 (P&lt;0.0001, Mann-Whitney). There was no statistical difference in the number of spots for IgA and IgG ASCs between the high and low dose groups (P=0.21 for IgA, P=0.28 for IgG).</w:t>
      </w:r>
    </w:p>
    <w:p>
      <w:pPr>
        <w:sectPr>
          <w:pgSz w:w="11900" w:h="16838" w:orient="portrait"/>
          <w:cols w:equalWidth="0" w:num="1">
            <w:col w:w="11400"/>
          </w:cols>
          <w:pgMar w:left="240" w:top="118" w:right="25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63" w:name="page164"/>
    <w:bookmarkEnd w:id="16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7. </w:t>
      </w:r>
      <w:r>
        <w:rPr>
          <w:rFonts w:ascii="Arial" w:cs="Arial" w:eastAsia="Arial" w:hAnsi="Arial"/>
          <w:sz w:val="18"/>
          <w:szCs w:val="18"/>
          <w:color w:val="auto"/>
        </w:rPr>
        <w:t>ASC titers on Day 7 post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555240" cy="17519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55240" cy="175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i w:val="1"/>
          <w:iCs w:val="1"/>
          <w:color w:val="auto"/>
        </w:rPr>
        <w:t>ASC counts on day 7 for both IgG and IgA responses to norovirus VLP. This assay measures antigen specific B cells in the peripheral blood that occur post vaccination.</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color w:val="auto"/>
        </w:rPr>
        <w:t xml:space="preserve">Enzyme-linked immunosorbent assay </w:t>
      </w:r>
      <w:r>
        <w:rPr>
          <w:rFonts w:ascii="Arial" w:cs="Arial" w:eastAsia="Arial" w:hAnsi="Arial"/>
          <w:sz w:val="17"/>
          <w:szCs w:val="17"/>
          <w:color w:val="auto"/>
        </w:rPr>
        <w:t>(</w:t>
      </w:r>
      <w:r>
        <w:rPr>
          <w:rFonts w:ascii="Arial" w:cs="Arial" w:eastAsia="Arial" w:hAnsi="Arial"/>
          <w:sz w:val="17"/>
          <w:szCs w:val="17"/>
          <w:b w:val="1"/>
          <w:bCs w:val="1"/>
          <w:color w:val="auto"/>
        </w:rPr>
        <w:t xml:space="preserve">ELISA) IgA and IgG. </w:t>
      </w:r>
      <w:r>
        <w:rPr>
          <w:rFonts w:ascii="Arial" w:cs="Arial" w:eastAsia="Arial" w:hAnsi="Arial"/>
          <w:sz w:val="17"/>
          <w:szCs w:val="17"/>
          <w:color w:val="auto"/>
        </w:rPr>
        <w:t>Serum antibody responses were measured by IgG and IgA ELISA, and the changes in titers at</w:t>
      </w:r>
      <w:r>
        <w:rPr>
          <w:rFonts w:ascii="Arial" w:cs="Arial" w:eastAsia="Arial" w:hAnsi="Arial"/>
          <w:sz w:val="17"/>
          <w:szCs w:val="17"/>
          <w:b w:val="1"/>
          <w:bCs w:val="1"/>
          <w:color w:val="auto"/>
        </w:rPr>
        <w:t xml:space="preserve"> </w:t>
      </w:r>
      <w:r>
        <w:rPr>
          <w:rFonts w:ascii="Arial" w:cs="Arial" w:eastAsia="Arial" w:hAnsi="Arial"/>
          <w:sz w:val="17"/>
          <w:szCs w:val="17"/>
          <w:color w:val="auto"/>
        </w:rPr>
        <w:t>EC50 between days 0 and 28 were calculated for each subject. Most subjects had an increase in antibody titers post immunization. The average change in EC50 for the low dose group was 16 and 7.1-fold in IgA and IgG respectively. Similarly, the average change in the EC50 for the high dose group were 9 and 5.4-fold for IgA and IgG respectively. The change in EC50 are plotted for each subject, separated by group (Figure 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8. </w:t>
      </w:r>
      <w:r>
        <w:rPr>
          <w:rFonts w:ascii="Arial" w:cs="Arial" w:eastAsia="Arial" w:hAnsi="Arial"/>
          <w:sz w:val="18"/>
          <w:szCs w:val="18"/>
          <w:color w:val="auto"/>
        </w:rPr>
        <w:t>ELISA antibody changes post immunization</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555240" cy="2273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55240" cy="227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spacing w:after="0" w:line="340" w:lineRule="auto"/>
        <w:rPr>
          <w:sz w:val="20"/>
          <w:szCs w:val="20"/>
          <w:color w:val="auto"/>
        </w:rPr>
      </w:pPr>
      <w:r>
        <w:rPr>
          <w:rFonts w:ascii="Arial" w:cs="Arial" w:eastAsia="Arial" w:hAnsi="Arial"/>
          <w:sz w:val="16"/>
          <w:szCs w:val="16"/>
          <w:i w:val="1"/>
          <w:iCs w:val="1"/>
          <w:color w:val="auto"/>
        </w:rPr>
        <w:t>Change in IgA or IgG ELISA titers post immunization between days 0 and 28 for all subjects grouped by treatment (placebo, low dose, high dose). Each symbol represents an individual subject. The long horizontal line represents the mean, with the smaller lines the 95% confidence interval.</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Memory Cells. </w:t>
      </w:r>
      <w:r>
        <w:rPr>
          <w:rFonts w:ascii="Arial" w:cs="Arial" w:eastAsia="Arial" w:hAnsi="Arial"/>
          <w:sz w:val="17"/>
          <w:szCs w:val="17"/>
          <w:color w:val="auto"/>
        </w:rPr>
        <w:t>Memory cells are long-lived cells that are important for the rapid induction of immunity following infection. A goal of most vaccines is to</w:t>
      </w:r>
      <w:r>
        <w:rPr>
          <w:rFonts w:ascii="Arial" w:cs="Arial" w:eastAsia="Arial" w:hAnsi="Arial"/>
          <w:sz w:val="17"/>
          <w:szCs w:val="17"/>
          <w:b w:val="1"/>
          <w:bCs w:val="1"/>
          <w:color w:val="auto"/>
        </w:rPr>
        <w:t xml:space="preserve"> </w:t>
      </w:r>
      <w:r>
        <w:rPr>
          <w:rFonts w:ascii="Arial" w:cs="Arial" w:eastAsia="Arial" w:hAnsi="Arial"/>
          <w:sz w:val="17"/>
          <w:szCs w:val="17"/>
          <w:color w:val="auto"/>
        </w:rPr>
        <w:t>safely induce immunological memory to protect people from actual infection. Antigen specific memory B cells were investigated after culturing PMBCs with polyclonal stimulators. VP1 specific IgG memory B cells were higher than IgA memory B cells in the day 0 samples (Figure 9). Post immunization, the response at day 7 was higher for IgA memory B cells, with a geometric mean fold rise (GMFR) of 15.3 for IgA versus 6.5 for IgG between day 0 and 7, before declining again at day 28. In the low dose group, the GMFR was 7.4 for IgA and 3.7 for IgG was observed between days 0 and 7. This decline from day 7 to day 28 may have resulted from homing of circulating B cells from the peripheral blood to the intestinal lymphoid tissues via expression of high levels of the mucosal homing receptor, α4β7. In the high dose group at day 7, 20/23 (87%) for IgA and 19/23 (83%) for IgG showed ≥ 2-fold increase over day 0. In the low dose group at day 7, 18/23 (78%) for IgA and 13/23 (57%) for IgG showed ≥2-fold increase over day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5542280</wp:posOffset>
            </wp:positionH>
            <wp:positionV relativeFrom="paragraph">
              <wp:posOffset>-177165</wp:posOffset>
            </wp:positionV>
            <wp:extent cx="285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9. </w:t>
      </w:r>
      <w:r>
        <w:rPr>
          <w:rFonts w:ascii="Arial" w:cs="Arial" w:eastAsia="Arial" w:hAnsi="Arial"/>
          <w:sz w:val="18"/>
          <w:szCs w:val="18"/>
          <w:color w:val="auto"/>
        </w:rPr>
        <w:t>Memory Cell Responses pre- and post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666490" cy="16065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66490" cy="160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i w:val="1"/>
          <w:iCs w:val="1"/>
          <w:color w:val="auto"/>
        </w:rPr>
        <w:t>Norovirus VP1 specific memory B cell counts were plotted for each time point. Each symbol represents an individual subject. The long horizontal line represents the geometric mean.</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Fecal and Saliva IgA. </w:t>
      </w:r>
      <w:r>
        <w:rPr>
          <w:rFonts w:ascii="Arial" w:cs="Arial" w:eastAsia="Arial" w:hAnsi="Arial"/>
          <w:sz w:val="16"/>
          <w:szCs w:val="16"/>
          <w:color w:val="auto"/>
        </w:rPr>
        <w:t>Norovirus VP1 specific mucosal IgA was explored directly by looking at fecal and saliva samples. Because the quantity of IgA is</w:t>
      </w:r>
      <w:r>
        <w:rPr>
          <w:rFonts w:ascii="Arial" w:cs="Arial" w:eastAsia="Arial" w:hAnsi="Arial"/>
          <w:sz w:val="16"/>
          <w:szCs w:val="16"/>
          <w:b w:val="1"/>
          <w:bCs w:val="1"/>
          <w:color w:val="auto"/>
        </w:rPr>
        <w:t xml:space="preserve"> </w:t>
      </w:r>
      <w:r>
        <w:rPr>
          <w:rFonts w:ascii="Arial" w:cs="Arial" w:eastAsia="Arial" w:hAnsi="Arial"/>
          <w:sz w:val="16"/>
          <w:szCs w:val="16"/>
          <w:color w:val="auto"/>
        </w:rPr>
        <w:t>highly variable within these samples, total IgA was also measured and the ratio between VP1- specific IgA/total IgA for each sample was examined. Samples with IgA levels below the detection limit were excluded from analysis. The increase in the ratio of specific IgA to total IgA was measured between baseline and day 28 (and baseline and day 180 for fecal IgA). In the high dose group, 9/19 (47%) fecal samples were responders with a four-fold rise or greater IgA response at day 28, and 9/21 (43%) at day 180 (Figure 10). The average fold increases in specific IgA/total IgA ratio were 17.2 and 9.7. These results are significantly higher than the placebo group where 2/18 (11%) and 0/16 (0%) were found to have 4-fold or better increases on days 28 and 180 (P=0.029 and P=0.0049 respectively), with average increases of 1.8 and 1.0 (Figure 10). The low dose group had a similar response as the high dose, with 7/20 (35%) and 5/16 (31%) with 4-fold increases on days 28, and 180 respectively. The number of responders trended higher than placebo on day 28, but the difference was statistically significant on day 180 (P=0.13 and 0.043). The low dose group had a 36.2-fold increase on day 28, and a 5.6-fold increase on day 180 (Figure 102E). Fewer subjects had detectable increases in the specific IgA to total IgA ratios in saliva samples of treated subjects at day 28 (Figure 11). The average increase in the specific IgA/total IgA ratio was 2.0 for the low dose, 2.9 for the high dose group, and 1.2 for the placebo group. The high dose and low dose groups had each had 4 subjects with a 4-fold rise in the specific response, versus none for the placebo group. These results demonstrate that the vaccine can induce antibody responses that are measured in the mucosa, particularly in the intestinal mucosa, which is the site of norovirus infection.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10. </w:t>
      </w:r>
      <w:r>
        <w:rPr>
          <w:rFonts w:ascii="Arial" w:cs="Arial" w:eastAsia="Arial" w:hAnsi="Arial"/>
          <w:sz w:val="18"/>
          <w:szCs w:val="18"/>
          <w:color w:val="auto"/>
        </w:rPr>
        <w:t>Fold Induction in Norovirus Specific Fecal IgA Responses Post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580640" cy="16154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80640"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Fecal responses to the vaccine, with fold increase in specific IgA/total IgA for each subject (divided by group and each timepoint) plotted. Average increase is the black bar.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65" w:name="page166"/>
    <w:bookmarkEnd w:id="16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11. </w:t>
      </w:r>
      <w:r>
        <w:rPr>
          <w:rFonts w:ascii="Arial" w:cs="Arial" w:eastAsia="Arial" w:hAnsi="Arial"/>
          <w:sz w:val="18"/>
          <w:szCs w:val="18"/>
          <w:color w:val="auto"/>
        </w:rPr>
        <w:t>Fold Rise in Norovirus Specific Responses in Saliva.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580640" cy="17265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80640"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Saliva IgA responses were measured. The plot shows fold rise of specific IgA/ total IgA post immunization. Responses were compared between days 0 and 28.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Immunological Results - 102 Study</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 xml:space="preserve">BT50 Titers. </w:t>
      </w:r>
      <w:r>
        <w:rPr>
          <w:rFonts w:ascii="Arial" w:cs="Arial" w:eastAsia="Arial" w:hAnsi="Arial"/>
          <w:sz w:val="17"/>
          <w:szCs w:val="17"/>
          <w:color w:val="auto"/>
        </w:rPr>
        <w:t>The objective of the study was to compare schedules and dosing for the ability to elicit immune responses, particularly by evaluating BT50</w:t>
      </w:r>
      <w:r>
        <w:rPr>
          <w:rFonts w:ascii="Arial" w:cs="Arial" w:eastAsia="Arial" w:hAnsi="Arial"/>
          <w:sz w:val="17"/>
          <w:szCs w:val="17"/>
          <w:b w:val="1"/>
          <w:bCs w:val="1"/>
          <w:color w:val="auto"/>
        </w:rPr>
        <w:t xml:space="preserve"> </w:t>
      </w:r>
      <w:r>
        <w:rPr>
          <w:rFonts w:ascii="Arial" w:cs="Arial" w:eastAsia="Arial" w:hAnsi="Arial"/>
          <w:sz w:val="17"/>
          <w:szCs w:val="17"/>
          <w:color w:val="auto"/>
        </w:rPr>
        <w:t>titers. BT50 titers were assessed at multiple times points, given that multiple doses were given. In the high dose group, 12 of 15 subjects had a 2-fold or greater increase in BT50 titers after the first dose and 14 of 15 subjects (92%) had a 2-fold or greater increase in BT50 titers after 2 doses. The GMT titer rose from 21.3 on day to 85.1 on day 28 for a 3.8 GMFR. The GMT at day 56 were measured to be 75.8, a GMFR of 3.6 over the baseline values. Other groups given lower doses of vaccine had lower response rates. Groups A and C had higher increases in the titers compared to Group B, although this is not statistically significant. An ANCOVA model was used to determine the statistical significance of the increases in GMFR. Least-squares (LS) geometric mean titers (LSGMTs) or LS geometric mean fold rises (LSGMFRs) and their 95% CIs were calculated by exponentiating the LSMs from the ANCOVA model, which included log-transformed post baseline titer or log-transformed change from baseline titer as a dependent variable, cohort as a factor, and baseline log-titer as a covariate. The significance in the different groups to increase the GMFR (test is LSGMFR=0), was found to be P=0.0008, 0.1224, 0.0004, and &lt;0.0001 for groups A through D respectively at day 56. This means all groups had statistically significant increases in the GMT with the exception of group B, which had a more modest increase in the titers.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4. </w:t>
      </w:r>
      <w:r>
        <w:rPr>
          <w:rFonts w:ascii="Arial" w:cs="Arial" w:eastAsia="Arial" w:hAnsi="Arial"/>
          <w:sz w:val="18"/>
          <w:szCs w:val="18"/>
          <w:color w:val="auto"/>
        </w:rPr>
        <w:t>Study 102, Geometric Mean Titer</w:t>
      </w:r>
      <w:r>
        <w:rPr>
          <w:rFonts w:ascii="Arial" w:cs="Arial" w:eastAsia="Arial" w:hAnsi="Arial"/>
          <w:sz w:val="18"/>
          <w:szCs w:val="18"/>
          <w:b w:val="1"/>
          <w:bCs w:val="1"/>
          <w:color w:val="auto"/>
        </w:rPr>
        <w:t xml:space="preserve"> (</w:t>
      </w:r>
      <w:r>
        <w:rPr>
          <w:rFonts w:ascii="Arial" w:cs="Arial" w:eastAsia="Arial" w:hAnsi="Arial"/>
          <w:sz w:val="18"/>
          <w:szCs w:val="18"/>
          <w:color w:val="auto"/>
        </w:rPr>
        <w:t>GMT) for Le</w:t>
      </w:r>
      <w:r>
        <w:rPr>
          <w:rFonts w:ascii="Arial" w:cs="Arial" w:eastAsia="Arial" w:hAnsi="Arial"/>
          <w:sz w:val="29"/>
          <w:szCs w:val="29"/>
          <w:color w:val="auto"/>
          <w:vertAlign w:val="superscript"/>
        </w:rPr>
        <w:t>b</w:t>
      </w:r>
      <w:r>
        <w:rPr>
          <w:rFonts w:ascii="Arial" w:cs="Arial" w:eastAsia="Arial" w:hAnsi="Arial"/>
          <w:sz w:val="18"/>
          <w:szCs w:val="18"/>
          <w:b w:val="1"/>
          <w:bCs w:val="1"/>
          <w:color w:val="auto"/>
        </w:rPr>
        <w:t xml:space="preserve"> </w:t>
      </w:r>
      <w:r>
        <w:rPr>
          <w:rFonts w:ascii="Arial" w:cs="Arial" w:eastAsia="Arial" w:hAnsi="Arial"/>
          <w:sz w:val="18"/>
          <w:szCs w:val="18"/>
          <w:color w:val="auto"/>
        </w:rPr>
        <w:t>BT50 assay roger.</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260" w:type="dxa"/>
            <w:vAlign w:val="bottom"/>
            <w:tcBorders>
              <w:top w:val="single" w:sz="8" w:color="auto"/>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Group</w:t>
            </w:r>
          </w:p>
        </w:tc>
        <w:tc>
          <w:tcPr>
            <w:tcW w:w="2880" w:type="dxa"/>
            <w:vAlign w:val="bottom"/>
            <w:tcBorders>
              <w:top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Description</w:t>
            </w:r>
          </w:p>
        </w:tc>
        <w:tc>
          <w:tcPr>
            <w:tcW w:w="12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DO GMT</w:t>
            </w:r>
          </w:p>
        </w:tc>
        <w:tc>
          <w:tcPr>
            <w:tcW w:w="12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D28 (or D36)</w:t>
            </w:r>
          </w:p>
        </w:tc>
        <w:tc>
          <w:tcPr>
            <w:tcW w:w="12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GMFR</w:t>
            </w:r>
          </w:p>
        </w:tc>
        <w:tc>
          <w:tcPr>
            <w:tcW w:w="12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GMT</w:t>
            </w:r>
          </w:p>
        </w:tc>
        <w:tc>
          <w:tcPr>
            <w:tcW w:w="1240" w:type="dxa"/>
            <w:vAlign w:val="bottom"/>
            <w:tcBorders>
              <w:top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GMFR</w:t>
            </w:r>
          </w:p>
        </w:tc>
      </w:tr>
      <w:tr>
        <w:trPr>
          <w:trHeight w:val="234"/>
        </w:trPr>
        <w:tc>
          <w:tcPr>
            <w:tcW w:w="12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880" w:type="dxa"/>
            <w:vAlign w:val="bottom"/>
            <w:tcBorders>
              <w:bottom w:val="single" w:sz="8" w:color="auto"/>
              <w:right w:val="single" w:sz="8" w:color="auto"/>
            </w:tcBorders>
            <w:shd w:val="clear" w:color="auto" w:fill="CCEEFF"/>
          </w:tcPr>
          <w:p>
            <w:pPr>
              <w:spacing w:after="0"/>
              <w:rPr>
                <w:sz w:val="20"/>
                <w:szCs w:val="20"/>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spacing w:after="0"/>
              <w:rPr>
                <w:sz w:val="20"/>
                <w:szCs w:val="20"/>
                <w:color w:val="auto"/>
              </w:rPr>
            </w:pP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D56</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D56</w:t>
            </w:r>
          </w:p>
        </w:tc>
      </w:tr>
      <w:tr>
        <w:trPr>
          <w:trHeight w:val="227"/>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w:t>
            </w:r>
          </w:p>
        </w:tc>
        <w:tc>
          <w:tcPr>
            <w:tcW w:w="2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Low, 2X, 7 days apart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32.2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64.5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66.0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w:t>
            </w:r>
          </w:p>
        </w:tc>
      </w:tr>
      <w:tr>
        <w:trPr>
          <w:trHeight w:val="49"/>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27"/>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w:t>
            </w:r>
          </w:p>
        </w:tc>
        <w:tc>
          <w:tcPr>
            <w:tcW w:w="2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Low, 3X, 2 days apart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31.5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51.2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42.5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1.4</w:t>
            </w:r>
          </w:p>
        </w:tc>
      </w:tr>
      <w:tr>
        <w:trPr>
          <w:trHeight w:val="49"/>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27"/>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w:t>
            </w:r>
          </w:p>
        </w:tc>
        <w:tc>
          <w:tcPr>
            <w:tcW w:w="2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Low, 2X, 28 days apart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29.4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66.0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64.5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2.2</w:t>
            </w:r>
          </w:p>
        </w:tc>
      </w:tr>
      <w:tr>
        <w:trPr>
          <w:trHeight w:val="49"/>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r>
      <w:tr>
        <w:trPr>
          <w:trHeight w:val="227"/>
        </w:trPr>
        <w:tc>
          <w:tcPr>
            <w:tcW w:w="1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w:t>
            </w:r>
          </w:p>
        </w:tc>
        <w:tc>
          <w:tcPr>
            <w:tcW w:w="288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High, 2X, 28 days apart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21.3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85.1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75.8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3.6</w:t>
            </w:r>
          </w:p>
        </w:tc>
      </w:tr>
      <w:tr>
        <w:trPr>
          <w:trHeight w:val="32"/>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b w:val="1"/>
          <w:bCs w:val="1"/>
          <w:color w:val="auto"/>
        </w:rPr>
        <w:t xml:space="preserve">ASCs. </w:t>
      </w:r>
      <w:r>
        <w:rPr>
          <w:rFonts w:ascii="Arial" w:cs="Arial" w:eastAsia="Arial" w:hAnsi="Arial"/>
          <w:sz w:val="16"/>
          <w:szCs w:val="16"/>
          <w:color w:val="auto"/>
        </w:rPr>
        <w:t>Additional immunological analysis was performed by comparing the ASC responders between groups. The high dose group had 14 out of 15 subjects</w:t>
      </w:r>
      <w:r>
        <w:rPr>
          <w:rFonts w:ascii="Arial" w:cs="Arial" w:eastAsia="Arial" w:hAnsi="Arial"/>
          <w:sz w:val="16"/>
          <w:szCs w:val="16"/>
          <w:b w:val="1"/>
          <w:bCs w:val="1"/>
          <w:color w:val="auto"/>
        </w:rPr>
        <w:t xml:space="preserve"> </w:t>
      </w:r>
      <w:r>
        <w:rPr>
          <w:rFonts w:ascii="Arial" w:cs="Arial" w:eastAsia="Arial" w:hAnsi="Arial"/>
          <w:sz w:val="16"/>
          <w:szCs w:val="16"/>
          <w:color w:val="auto"/>
        </w:rPr>
        <w:t>respond to the vaccine, with an average IgA ASC count of 698 per 1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PBMCs. Following a second dose, the subject that didn’t respond the first time had a significant increase in ASC counts so all 15 subjects (100%) were able to elicit an ASC response following two doses. As typical, subjects that had a high</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number of ASC counts after the first immunization had a low response after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dose. The low dose groups were compared by examining the overall response rate, since the dosing and the analysis were performed at different intermediate timepoints. Group A had the highest overall response rate where 12/14 subjects (86%) were able to induce meaningful ASC responses after 1 or 2 doses. Slightly lower responders were observed in group B, where only a few subjects had a response after the first dose, but more subjects responded after additional vaccine doses. Group C had the most variable responses of any group.</w:t>
      </w:r>
    </w:p>
    <w:p>
      <w:pPr>
        <w:spacing w:after="0" w:line="1" w:lineRule="exact"/>
        <w:rPr>
          <w:sz w:val="20"/>
          <w:szCs w:val="20"/>
          <w:color w:val="auto"/>
        </w:rPr>
      </w:pPr>
    </w:p>
    <w:p>
      <w:pPr>
        <w:ind w:right="360"/>
        <w:spacing w:after="0" w:line="228" w:lineRule="auto"/>
        <w:rPr>
          <w:sz w:val="20"/>
          <w:szCs w:val="20"/>
          <w:color w:val="auto"/>
        </w:rPr>
      </w:pPr>
      <w:r>
        <w:rPr>
          <w:rFonts w:ascii="Arial" w:cs="Arial" w:eastAsia="Arial" w:hAnsi="Arial"/>
          <w:sz w:val="18"/>
          <w:szCs w:val="18"/>
          <w:color w:val="auto"/>
        </w:rPr>
        <w:t>The average number of spots was 839 per 1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PBMCs after the first dose, but this was the result of several subjects having extremely high numbers of spots (3 subjects had greater than 1500 per 1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PBMCs), mixed with many subjects that didn’t respond at all.</w:t>
      </w:r>
    </w:p>
    <w:p>
      <w:pPr>
        <w:spacing w:after="0" w:line="7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By Fisher’s Exact test, the high dose group induced a higher number of responders than group C (p=0.02), but only trended higher than groups A and B (0.22, 0.07). Similar results were observed for the IgG ASC responses, with slightly lower values on average.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Fig.12. </w:t>
      </w:r>
      <w:r>
        <w:rPr>
          <w:rFonts w:ascii="Arial" w:cs="Arial" w:eastAsia="Arial" w:hAnsi="Arial"/>
          <w:sz w:val="18"/>
          <w:szCs w:val="18"/>
          <w:color w:val="auto"/>
        </w:rPr>
        <w:t>IgA ASC Counts for the 102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119245" cy="20853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1924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different groups were assessed for IgA ASC counts at each time point taken for each group. Because there were different dosing regiments for each group, there were different timepoints assessed. Response rates at each timepoint are indicated by a fraction and a percentage below each timepoint. The overall response rate (the total number of subjects that responded at any time point) is given near the top of each group. For example, in the last group, 15/15 (100%) subjects responded at either D7 or D35.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13. </w:t>
      </w:r>
      <w:r>
        <w:rPr>
          <w:rFonts w:ascii="Arial" w:cs="Arial" w:eastAsia="Arial" w:hAnsi="Arial"/>
          <w:sz w:val="18"/>
          <w:szCs w:val="18"/>
          <w:color w:val="auto"/>
        </w:rPr>
        <w:t>IgG ASC Counts for the 102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different groups were assessed IgG ASC counts at each time point taken for each group. Because there were different dosing regiments for each group, there were different timepoints assessed. Response rates at each timepoint are indicated by a fraction and a percentage below each timepoint. The overall response rate (the total number of subjects that responded at any time point) is given near the top of each group. For example, in the last group, 15/15 (100%) subjects responded at either D7 or D35.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Norovirus Oral Tablet Vaccine Clinical Development Pathway</w:t>
      </w:r>
    </w:p>
    <w:p>
      <w:pPr>
        <w:spacing w:after="0" w:line="22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b w:val="1"/>
          <w:bCs w:val="1"/>
          <w:i w:val="1"/>
          <w:iCs w:val="1"/>
          <w:color w:val="auto"/>
        </w:rPr>
        <w:t xml:space="preserve">Phase 2 Norovirus GI.1 strain Challenge Study. </w:t>
      </w:r>
      <w:r>
        <w:rPr>
          <w:rFonts w:ascii="Arial" w:cs="Arial" w:eastAsia="Arial" w:hAnsi="Arial"/>
          <w:sz w:val="18"/>
          <w:szCs w:val="18"/>
          <w:color w:val="auto"/>
        </w:rPr>
        <w:t>Vaxart plans to commence a challenge study of the first strain of its bivalent norovirus vaccine candidate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(GI.1) in the second half of 2018.</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Phase 1 Bivalent Norovirus Trial</w:t>
      </w:r>
      <w:r>
        <w:rPr>
          <w:rFonts w:ascii="Arial" w:cs="Arial" w:eastAsia="Arial" w:hAnsi="Arial"/>
          <w:sz w:val="18"/>
          <w:szCs w:val="18"/>
          <w:color w:val="auto"/>
        </w:rPr>
        <w:t>. A Phase 1 bivalent safety and immunogenicity trial. This trial will be designed to assess the safety and immunogenicity,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lack of interference of the two individual norovirus strains.</w:t>
      </w:r>
    </w:p>
    <w:p>
      <w:pPr>
        <w:spacing w:after="0" w:line="170" w:lineRule="exact"/>
        <w:rPr>
          <w:sz w:val="20"/>
          <w:szCs w:val="20"/>
          <w:color w:val="auto"/>
        </w:rPr>
      </w:pPr>
    </w:p>
    <w:p>
      <w:pPr>
        <w:ind w:left="660" w:right="60" w:hanging="329"/>
        <w:spacing w:after="0" w:line="262" w:lineRule="auto"/>
        <w:tabs>
          <w:tab w:leader="none" w:pos="66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Phase 2 Efficacy and Safety Trial</w:t>
      </w:r>
      <w:r>
        <w:rPr>
          <w:rFonts w:ascii="Arial" w:cs="Arial" w:eastAsia="Arial" w:hAnsi="Arial"/>
          <w:sz w:val="18"/>
          <w:szCs w:val="18"/>
          <w:color w:val="auto"/>
        </w:rPr>
        <w:t>. After completing the trials described in the bullets above, a Phase 2 efficacy trial would be conducted.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FDA concurrence, this trial will be designed to assess the safety, immunogenicity and efficacy of the bivalent vaccine in an expanded population of approximately adults ranging in age from 18 to 49 years.</w:t>
      </w:r>
    </w:p>
    <w:p>
      <w:pPr>
        <w:spacing w:after="0" w:line="183" w:lineRule="exact"/>
        <w:rPr>
          <w:rFonts w:ascii="Arial" w:cs="Arial" w:eastAsia="Arial" w:hAnsi="Arial"/>
          <w:sz w:val="18"/>
          <w:szCs w:val="18"/>
          <w:b w:val="1"/>
          <w:bCs w:val="1"/>
          <w:i w:val="1"/>
          <w:iCs w:val="1"/>
          <w:color w:val="auto"/>
        </w:rPr>
      </w:pPr>
    </w:p>
    <w:p>
      <w:pPr>
        <w:ind w:left="660" w:hanging="329"/>
        <w:spacing w:after="0" w:line="276" w:lineRule="auto"/>
        <w:tabs>
          <w:tab w:leader="none" w:pos="66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Path to Approval</w:t>
      </w:r>
      <w:r>
        <w:rPr>
          <w:rFonts w:ascii="Arial" w:cs="Arial" w:eastAsia="Arial" w:hAnsi="Arial"/>
          <w:sz w:val="18"/>
          <w:szCs w:val="18"/>
          <w:color w:val="auto"/>
        </w:rPr>
        <w:t>. After completing the Phase 2 trial, an End-of-Phase 2 meeting would be requested with the FDA to discuss the design of a Phase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that would support licensure.</w:t>
      </w:r>
    </w:p>
    <w:p>
      <w:pPr>
        <w:sectPr>
          <w:pgSz w:w="11900" w:h="16838" w:orient="portrait"/>
          <w:cols w:equalWidth="0" w:num="1">
            <w:col w:w="11380"/>
          </w:cols>
          <w:pgMar w:left="240" w:top="118" w:right="27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67" w:name="page168"/>
    <w:bookmarkEnd w:id="16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Age Groups</w:t>
      </w:r>
    </w:p>
    <w:p>
      <w:pPr>
        <w:spacing w:after="0" w:line="224" w:lineRule="exact"/>
        <w:rPr>
          <w:sz w:val="20"/>
          <w:szCs w:val="20"/>
          <w:color w:val="auto"/>
        </w:rPr>
      </w:pPr>
    </w:p>
    <w:p>
      <w:pPr>
        <w:ind w:left="660" w:hanging="329"/>
        <w:spacing w:after="0" w:line="258" w:lineRule="auto"/>
        <w:tabs>
          <w:tab w:leader="none" w:pos="66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Older Adults, Elderly Population</w:t>
      </w:r>
      <w:r>
        <w:rPr>
          <w:rFonts w:ascii="Arial" w:cs="Arial" w:eastAsia="Arial" w:hAnsi="Arial"/>
          <w:sz w:val="18"/>
          <w:szCs w:val="18"/>
          <w:color w:val="auto"/>
        </w:rPr>
        <w:t>. Following successful completion of the quadrivalent Phase 1 trial in healthy adults age 18 – 49, sequential Phase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Phase 2 clinical trials in healthy adults age 50 – 64 years and age 65 and older would be conducted, designed to support licensure of its tablet vaccine candidate for these age groups. Following these studies, discussions with the FDA would occur to determine the requirements for Phase 3 and licensure.</w:t>
      </w:r>
    </w:p>
    <w:p>
      <w:pPr>
        <w:spacing w:after="0" w:line="186" w:lineRule="exact"/>
        <w:rPr>
          <w:rFonts w:ascii="Arial" w:cs="Arial" w:eastAsia="Arial" w:hAnsi="Arial"/>
          <w:sz w:val="18"/>
          <w:szCs w:val="18"/>
          <w:b w:val="1"/>
          <w:bCs w:val="1"/>
          <w:i w:val="1"/>
          <w:iCs w:val="1"/>
          <w:color w:val="auto"/>
        </w:rPr>
      </w:pPr>
    </w:p>
    <w:p>
      <w:pPr>
        <w:ind w:left="660" w:hanging="329"/>
        <w:spacing w:after="0" w:line="256" w:lineRule="auto"/>
        <w:tabs>
          <w:tab w:leader="none" w:pos="66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Pediatric Population</w:t>
      </w:r>
      <w:r>
        <w:rPr>
          <w:rFonts w:ascii="Arial" w:cs="Arial" w:eastAsia="Arial" w:hAnsi="Arial"/>
          <w:sz w:val="18"/>
          <w:szCs w:val="18"/>
          <w:color w:val="auto"/>
        </w:rPr>
        <w:t>. Vaxart’s current tablet vaccine candidates are designed for delivery to the gut in solid dosage form using an enteric-coated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tablet which Vaxart believes is the optimal vaccine delivery system for the adult population and children 8 years and older. For children 6 months to 8 years in age, it plans to develop proprietary liquid formulations that can deliver the vectored vaccine intact to the gut. Development of the Vaxart norovirus vaccine product candidate in the pediatric population will proceed stepwise through progressively younger age segments (i.e. 9-17 years, 5-8 years, 2-4 years, 6 weeks-2 years).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8" w:name="page169"/>
    <w:bookmarkEnd w:id="16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Seasonal Influenza Program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w:t>
      </w:r>
    </w:p>
    <w:p>
      <w:pPr>
        <w:spacing w:after="0" w:line="22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Influenza is one of the most common global infectious diseases, causing mild to life-threatening illness with symptoms such as sore throat, nasal discharge, fever, and even death. An estimated 1 billion cases of seasonal influenza occur annually worldwide, of which 3 million to 5 million cases are considered severe, causing 300,000 to 500,000 deaths per year globally. Very young children and the elderly are at greatest risk. In the United States, between 5% and 20% of the population contracts influenza, 226,000 people are hospitalized with complications of influenza, and 49,000 people die from influenza and its complications, with up to 90% of influenza-related deaths occurring in adults older than 65.</w:t>
      </w:r>
    </w:p>
    <w:p>
      <w:pPr>
        <w:spacing w:after="0" w:line="17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According to a CDC commissioned-report based on 2003 population figures, in the United States, seasonal influenza costs an average of over 600,000 life-years lost, 3.1 million hospitalized days, and 31.4 million outpatient visits annually. The total economic burden of seasonal influenza has been estimated to be $87.1 billion, including medical costs which average $10.4 billion annually, while lost earnings due to illness and loss of life amount to $16.3 billion annually.</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CDC generally recommends that individuals 6 months and older be vaccinated annually against influenza. In the U.S., this means an influenza vaccination is recommended for more than 300 million people. During the 2016/2017 influenza season, approximately 146 million doses of the influenza vaccine were distributed in the U.S. Differentiated flu vaccines in the U.S. market continue to demonstrate the ability to ask for premium prices based on the additional value they provide to public health. According to a 2017 Datamonitor Healthcare report the seasonal influenza vaccines market within the United States and five major European Union markets (France, Germany, Italy, Spain, and the UK) will increase from $2.7 billion in the 2016/17 season to $3.4 billion in the 2025/26 season. Vaxart believes, worldwide, the primary drivers of market growth include increasing awareness, increasing vaccination coverage in emerging countries, rising government support for immunization against seasonal influenza, pricing increases due to product differentiation and increased focus on the production and advancement of vaccination treatments.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Seasonal Influenza Vaccines</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Despite the number of cases of influenza diagnosed in the United States, according to the CDC, in the 2016/2017 seasonal influenza season, only approximately 47% of the total United States population was vaccinated against influenza, with particularly low vaccination rates among adults between ages 18 and 49. According to the CDC, less than 34% of adults between ages 18 and 49 were vaccinated during the 2016/2017 influenza season. Vaxart believes the low vaccination rates among this population are largely attributed to the following limitations of injectable vaccine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for Providers</w:t>
      </w:r>
    </w:p>
    <w:p>
      <w:pPr>
        <w:spacing w:after="0" w:line="224" w:lineRule="exact"/>
        <w:rPr>
          <w:sz w:val="20"/>
          <w:szCs w:val="20"/>
          <w:color w:val="auto"/>
        </w:rPr>
      </w:pPr>
    </w:p>
    <w:p>
      <w:pPr>
        <w:ind w:left="660" w:hanging="329"/>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longer manufacturing, shipping and handling time for suppliers;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cold storage requirement throughout the logistics chain;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need for healthcare professional oversight during and after the vaccination procedure;</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potential for needle injuries;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medical waste.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for Users</w:t>
      </w:r>
    </w:p>
    <w:p>
      <w:pPr>
        <w:spacing w:after="0" w:line="224" w:lineRule="exact"/>
        <w:rPr>
          <w:sz w:val="20"/>
          <w:szCs w:val="20"/>
          <w:color w:val="auto"/>
        </w:rPr>
      </w:pPr>
    </w:p>
    <w:p>
      <w:pPr>
        <w:ind w:left="660" w:hanging="329"/>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inconvenience and time commitment required to obtain vaccine at a clinic or pharmacy;</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fear of needles;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pain at injection site;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potential for allergic reactions to the egg component of the vaccine.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Seasonal Influenza Vaccine Candidate</w:t>
      </w:r>
    </w:p>
    <w:p>
      <w:pPr>
        <w:spacing w:after="0" w:line="22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Vaxart is developing a tablet vaccine candidate for the immunization of healthy adults against seasonal influenza. Vaxart’s seasonal influenza vaccine candidate is being designed to be a four-strain, or quadrivalent, seasonal influenza vaccine consisting of two circulating influenza A lineage viruses as well as two circulating influenza B lineage viruses, matching the seasonally updated recommendations by the FDA. Vaxart envisions formulating its tablet vaccine candidate as one tablet per strain, or four tablets in total for the quadrivalent vaccine. Vaxart believes this modularity will allow for enhanced flexibility. For instance, in the event of a late season strain change, the tablet containing the obsolete strain could be easily replaced without having to discard the three correctly matched vaccine tablets. Further, given stability of the tablets, excess tablets from one season could be stored and utilized in the next season, while fully formulated quadrivalent vaccines would have to be discarded at the end of each season as is the case with currently marketed influenza vaccines. Alternatively, Vaxart has the option to formulate all four strains into a single tablet. This format would be the simplest to administer, but would take away some of the flexibility advantages that separate tablets would afford. Vaxart will assess the final formulation of its tablet vaccine candidates after conducting market studies to evaluate market acceptance closer to commercialization.</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Vaxart believes its tablet vaccine candidates have the potential to address many of the limitations of current injectable, egg-based seasonal influenza vaccines. First, its tablet vaccine candidates are designed to create broad and durable immune responses, which may provide more effective immunity and protect against additional strain variants. Second, by providing a more convenient method of administration to enhance patient acceptance and simplify distribution and administration. Finally, by using recombinant methods, it believes its tablet vaccine candidates may be manufactured more rapidly than vaccines manufactured using egg-based methods, eliminate the risk of allergic reactions to egg protein, and alleviate issues caused by egg-adaptation of a mammalian virus.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Influenza Clinical Trials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To date, Vaxart has completed two Phase 1 trials and has conducted the active portion of a Phase 2 challenge trial of its H1N1 influenza vaccine candidate.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Vaxart has also completed a Phase 1 trial of an influenza B vaccine candidate.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 VXA02-001, H1N1 Influenza Vaccine Candidate, 10</w:t>
      </w:r>
      <w:r>
        <w:rPr>
          <w:rFonts w:ascii="Arial" w:cs="Arial" w:eastAsia="Arial" w:hAnsi="Arial"/>
          <w:sz w:val="29"/>
          <w:szCs w:val="29"/>
          <w:b w:val="1"/>
          <w:bCs w:val="1"/>
          <w:i w:val="1"/>
          <w:iCs w:val="1"/>
          <w:color w:val="auto"/>
          <w:vertAlign w:val="superscript"/>
        </w:rPr>
        <w:t>9</w:t>
      </w:r>
      <w:r>
        <w:rPr>
          <w:rFonts w:ascii="Arial" w:cs="Arial" w:eastAsia="Arial" w:hAnsi="Arial"/>
          <w:sz w:val="18"/>
          <w:szCs w:val="18"/>
          <w:b w:val="1"/>
          <w:bCs w:val="1"/>
          <w:i w:val="1"/>
          <w:iCs w:val="1"/>
          <w:color w:val="auto"/>
        </w:rPr>
        <w:t xml:space="preserve"> and 10</w:t>
      </w:r>
      <w:r>
        <w:rPr>
          <w:rFonts w:ascii="Arial" w:cs="Arial" w:eastAsia="Arial" w:hAnsi="Arial"/>
          <w:sz w:val="29"/>
          <w:szCs w:val="29"/>
          <w:b w:val="1"/>
          <w:bCs w:val="1"/>
          <w:i w:val="1"/>
          <w:iCs w:val="1"/>
          <w:color w:val="auto"/>
          <w:vertAlign w:val="superscript"/>
        </w:rPr>
        <w:t>10</w:t>
      </w:r>
      <w:r>
        <w:rPr>
          <w:rFonts w:ascii="Arial" w:cs="Arial" w:eastAsia="Arial" w:hAnsi="Arial"/>
          <w:sz w:val="18"/>
          <w:szCs w:val="18"/>
          <w:b w:val="1"/>
          <w:bCs w:val="1"/>
          <w:i w:val="1"/>
          <w:iCs w:val="1"/>
          <w:color w:val="auto"/>
        </w:rPr>
        <w:t xml:space="preserve"> IU Doses</w:t>
      </w:r>
    </w:p>
    <w:p>
      <w:pPr>
        <w:spacing w:after="0" w:line="138" w:lineRule="exact"/>
        <w:rPr>
          <w:sz w:val="20"/>
          <w:szCs w:val="20"/>
          <w:color w:val="auto"/>
        </w:rPr>
      </w:pPr>
    </w:p>
    <w:p>
      <w:pPr>
        <w:ind w:right="320"/>
        <w:spacing w:after="0" w:line="223" w:lineRule="auto"/>
        <w:rPr>
          <w:sz w:val="20"/>
          <w:szCs w:val="20"/>
          <w:color w:val="auto"/>
        </w:rPr>
      </w:pPr>
      <w:r>
        <w:rPr>
          <w:rFonts w:ascii="Arial" w:cs="Arial" w:eastAsia="Arial" w:hAnsi="Arial"/>
          <w:sz w:val="18"/>
          <w:szCs w:val="18"/>
          <w:color w:val="auto"/>
        </w:rPr>
        <w:t>The first Phase 1 H1N1 trial was conducted at doses of 1 x 10</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and 1 x 10</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IU. Two doses were given one month apart. The tablet vaccine candidate generated a favorable safety and tolerability profile. The trial also demonstrated robust T cell responses and modest HAI responses, each dependent on the dosage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 VXA02-003, H1N1 Influenza Vaccine Candidate, 10</w:t>
      </w:r>
      <w:r>
        <w:rPr>
          <w:rFonts w:ascii="Arial" w:cs="Arial" w:eastAsia="Arial" w:hAnsi="Arial"/>
          <w:sz w:val="29"/>
          <w:szCs w:val="29"/>
          <w:b w:val="1"/>
          <w:bCs w:val="1"/>
          <w:i w:val="1"/>
          <w:iCs w:val="1"/>
          <w:color w:val="auto"/>
          <w:vertAlign w:val="superscript"/>
        </w:rPr>
        <w:t>11</w:t>
      </w:r>
      <w:r>
        <w:rPr>
          <w:rFonts w:ascii="Arial" w:cs="Arial" w:eastAsia="Arial" w:hAnsi="Arial"/>
          <w:sz w:val="18"/>
          <w:szCs w:val="18"/>
          <w:b w:val="1"/>
          <w:bCs w:val="1"/>
          <w:i w:val="1"/>
          <w:iCs w:val="1"/>
          <w:color w:val="auto"/>
        </w:rPr>
        <w:t xml:space="preserve"> IU Dose</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second H1N1 trial was a tablet vaccine trial at a dose of 1 x 10</w:t>
      </w:r>
      <w:r>
        <w:rPr>
          <w:rFonts w:ascii="Arial" w:cs="Arial" w:eastAsia="Arial" w:hAnsi="Arial"/>
          <w:sz w:val="28"/>
          <w:szCs w:val="28"/>
          <w:color w:val="auto"/>
          <w:vertAlign w:val="superscript"/>
        </w:rPr>
        <w:t>11</w:t>
      </w:r>
      <w:r>
        <w:rPr>
          <w:rFonts w:ascii="Arial" w:cs="Arial" w:eastAsia="Arial" w:hAnsi="Arial"/>
          <w:sz w:val="17"/>
          <w:szCs w:val="17"/>
          <w:color w:val="auto"/>
        </w:rPr>
        <w:t xml:space="preserve"> IU, delivered in a single administration at the beginning of the trial. A favorable safety and tolerability profile was maintained at this dose level. An HAI seroconversion rate of 75% was measured in the vaccine group, compared to 0% in the placebo group. In terms of MN response, 92% of subjects had a four-fold increase in MN titer after the single administration of tablets. Both the HAI seroconversion rate and the MN responses were substantially higher than the respective rates Vaxart observed at lower doses in Trial VXA02-001. The side effects of the vaccine or placebo in the first seven days following administration were mild. In the first seven days following administration, there were eight total solicited adverse events, or AEs, reported in the vaccine and placebo groups (four in each group). All of these AEs were grade 1 in severity. The most frequent AE was headache (two in placebo, and one in the vaccine group). There were no serious adverse events and no new onsets of chronic illnesses related to the adjuvant recorded during the entire one year follow up period of the study.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trial design and results (serum antibody responses) of Vaxart’s two placebo-controlled Phase 1 H1N1 clinical trials.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5. </w:t>
      </w:r>
      <w:r>
        <w:rPr>
          <w:rFonts w:ascii="Arial" w:cs="Arial" w:eastAsia="Arial" w:hAnsi="Arial"/>
          <w:sz w:val="18"/>
          <w:szCs w:val="18"/>
          <w:color w:val="auto"/>
        </w:rPr>
        <w:t>Overview: H1 Influenza Phase 1 Placebo-Controlled Studies.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00" w:type="dxa"/>
            <w:vAlign w:val="bottom"/>
            <w:tcBorders>
              <w:top w:val="single" w:sz="8" w:color="auto"/>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TRIAL NO./</w:t>
            </w:r>
          </w:p>
        </w:tc>
        <w:tc>
          <w:tcPr>
            <w:tcW w:w="2380" w:type="dxa"/>
            <w:vAlign w:val="bottom"/>
            <w:tcBorders>
              <w:top w:val="single" w:sz="8" w:color="auto"/>
              <w:right w:val="single" w:sz="8" w:color="auto"/>
            </w:tcBorders>
            <w:shd w:val="clear" w:color="auto" w:fill="CCEEFF"/>
          </w:tcPr>
          <w:p>
            <w:pPr>
              <w:spacing w:after="0"/>
              <w:rPr>
                <w:sz w:val="18"/>
                <w:szCs w:val="18"/>
                <w:color w:val="auto"/>
              </w:rPr>
            </w:pPr>
          </w:p>
        </w:tc>
        <w:tc>
          <w:tcPr>
            <w:tcW w:w="2400" w:type="dxa"/>
            <w:vAlign w:val="bottom"/>
            <w:tcBorders>
              <w:top w:val="single" w:sz="8" w:color="auto"/>
              <w:right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STUDY GROUPS</w:t>
            </w:r>
          </w:p>
        </w:tc>
        <w:tc>
          <w:tcPr>
            <w:tcW w:w="260" w:type="dxa"/>
            <w:vAlign w:val="bottom"/>
            <w:tcBorders>
              <w:top w:val="single" w:sz="8" w:color="auto"/>
            </w:tcBorders>
            <w:shd w:val="clear" w:color="auto" w:fill="CCEEFF"/>
          </w:tcPr>
          <w:p>
            <w:pPr>
              <w:spacing w:after="0"/>
              <w:rPr>
                <w:sz w:val="18"/>
                <w:szCs w:val="18"/>
                <w:color w:val="auto"/>
              </w:rPr>
            </w:pPr>
          </w:p>
        </w:tc>
        <w:tc>
          <w:tcPr>
            <w:tcW w:w="3140" w:type="dxa"/>
            <w:vAlign w:val="bottom"/>
            <w:tcBorders>
              <w:top w:val="single" w:sz="8" w:color="auto"/>
              <w:right w:val="single" w:sz="8" w:color="auto"/>
            </w:tcBorders>
            <w:gridSpan w:val="2"/>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KEY IMMUNOGENICITY</w:t>
            </w:r>
          </w:p>
        </w:tc>
      </w:tr>
      <w:tr>
        <w:trPr>
          <w:trHeight w:val="234"/>
        </w:trPr>
        <w:tc>
          <w:tcPr>
            <w:tcW w:w="17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 SUBJECTS</w:t>
            </w:r>
          </w:p>
        </w:tc>
        <w:tc>
          <w:tcPr>
            <w:tcW w:w="238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TRIAL DESIGN</w:t>
            </w:r>
          </w:p>
        </w:tc>
        <w:tc>
          <w:tcPr>
            <w:tcW w:w="240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DOSE/SCHEDULE</w:t>
            </w:r>
          </w:p>
        </w:tc>
        <w:tc>
          <w:tcPr>
            <w:tcW w:w="2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2680" w:type="dxa"/>
            <w:vAlign w:val="bottom"/>
            <w:tcBorders>
              <w:bottom w:val="single" w:sz="8" w:color="auto"/>
              <w:right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b w:val="1"/>
                <w:bCs w:val="1"/>
                <w:color w:val="auto"/>
              </w:rPr>
              <w:t>FINDINGS</w:t>
            </w:r>
          </w:p>
        </w:tc>
      </w:tr>
      <w:tr>
        <w:trPr>
          <w:trHeight w:val="195"/>
        </w:trPr>
        <w:tc>
          <w:tcPr>
            <w:tcW w:w="17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Phase 1</w:t>
            </w:r>
          </w:p>
        </w:tc>
        <w:tc>
          <w:tcPr>
            <w:tcW w:w="23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Dose-escalation, placebo-</w:t>
            </w:r>
          </w:p>
        </w:tc>
        <w:tc>
          <w:tcPr>
            <w:tcW w:w="24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4"/>
                <w:szCs w:val="14"/>
                <w:color w:val="auto"/>
              </w:rPr>
              <w:t>10</w:t>
            </w:r>
            <w:r>
              <w:rPr>
                <w:rFonts w:ascii="Arial" w:cs="Arial" w:eastAsia="Arial" w:hAnsi="Arial"/>
                <w:sz w:val="22"/>
                <w:szCs w:val="22"/>
                <w:color w:val="auto"/>
                <w:vertAlign w:val="superscript"/>
              </w:rPr>
              <w:t>9</w:t>
            </w:r>
            <w:r>
              <w:rPr>
                <w:rFonts w:ascii="Arial" w:cs="Arial" w:eastAsia="Arial" w:hAnsi="Arial"/>
                <w:sz w:val="14"/>
                <w:szCs w:val="14"/>
                <w:color w:val="auto"/>
              </w:rPr>
              <w:t>, 10</w:t>
            </w:r>
            <w:r>
              <w:rPr>
                <w:rFonts w:ascii="Arial" w:cs="Arial" w:eastAsia="Arial" w:hAnsi="Arial"/>
                <w:sz w:val="22"/>
                <w:szCs w:val="22"/>
                <w:color w:val="auto"/>
                <w:vertAlign w:val="superscript"/>
              </w:rPr>
              <w:t>10</w:t>
            </w:r>
            <w:r>
              <w:rPr>
                <w:rFonts w:ascii="Arial" w:cs="Arial" w:eastAsia="Arial" w:hAnsi="Arial"/>
                <w:sz w:val="14"/>
                <w:szCs w:val="14"/>
                <w:color w:val="auto"/>
              </w:rPr>
              <w:t xml:space="preserve"> IU of VXA-A1.1</w:t>
            </w:r>
          </w:p>
        </w:tc>
        <w:tc>
          <w:tcPr>
            <w:tcW w:w="3400" w:type="dxa"/>
            <w:vAlign w:val="bottom"/>
            <w:tcBorders>
              <w:right w:val="single" w:sz="8" w:color="auto"/>
            </w:tcBorders>
            <w:gridSpan w:val="3"/>
          </w:tcPr>
          <w:p>
            <w:pPr>
              <w:ind w:left="80"/>
              <w:spacing w:after="0" w:line="195" w:lineRule="exact"/>
              <w:rPr>
                <w:sz w:val="20"/>
                <w:szCs w:val="20"/>
                <w:color w:val="auto"/>
              </w:rPr>
            </w:pPr>
            <w:r>
              <w:rPr>
                <w:rFonts w:ascii="Arial" w:cs="Arial" w:eastAsia="Arial" w:hAnsi="Arial"/>
                <w:sz w:val="14"/>
                <w:szCs w:val="14"/>
                <w:color w:val="auto"/>
              </w:rPr>
              <w:t>10</w:t>
            </w:r>
            <w:r>
              <w:rPr>
                <w:rFonts w:ascii="Arial" w:cs="Arial" w:eastAsia="Arial" w:hAnsi="Arial"/>
                <w:sz w:val="22"/>
                <w:szCs w:val="22"/>
                <w:color w:val="auto"/>
                <w:vertAlign w:val="superscript"/>
              </w:rPr>
              <w:t>9</w:t>
            </w:r>
            <w:r>
              <w:rPr>
                <w:rFonts w:ascii="Arial" w:cs="Arial" w:eastAsia="Arial" w:hAnsi="Arial"/>
                <w:sz w:val="14"/>
                <w:szCs w:val="14"/>
                <w:color w:val="auto"/>
              </w:rPr>
              <w:t xml:space="preserve"> dose level:</w:t>
            </w:r>
          </w:p>
        </w:tc>
      </w:tr>
      <w:tr>
        <w:trPr>
          <w:trHeight w:val="215"/>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Trial VXA02-001</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controlled, double-blind with</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(H1) vaccine or placebo on</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31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No HAI seroconversion</w:t>
            </w:r>
          </w:p>
        </w:tc>
      </w:tr>
      <w:tr>
        <w:trPr>
          <w:trHeight w:val="255"/>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 = 36</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enteric-coated capsules</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Day 0 and Day 28,</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r>
      <w:tr>
        <w:trPr>
          <w:trHeight w:val="256"/>
        </w:trPr>
        <w:tc>
          <w:tcPr>
            <w:tcW w:w="1700" w:type="dxa"/>
            <w:vAlign w:val="bottom"/>
            <w:tcBorders>
              <w:left w:val="single" w:sz="8" w:color="auto"/>
              <w:right w:val="single" w:sz="8" w:color="auto"/>
            </w:tcBorders>
          </w:tcPr>
          <w:p>
            <w:pPr>
              <w:spacing w:after="0"/>
              <w:rPr>
                <w:sz w:val="22"/>
                <w:szCs w:val="22"/>
                <w:color w:val="auto"/>
              </w:rPr>
            </w:pPr>
          </w:p>
        </w:tc>
        <w:tc>
          <w:tcPr>
            <w:tcW w:w="2380" w:type="dxa"/>
            <w:vAlign w:val="bottom"/>
            <w:tcBorders>
              <w:right w:val="single" w:sz="8" w:color="auto"/>
            </w:tcBorders>
          </w:tcPr>
          <w:p>
            <w:pPr>
              <w:spacing w:after="0"/>
              <w:rPr>
                <w:sz w:val="22"/>
                <w:szCs w:val="22"/>
                <w:color w:val="auto"/>
              </w:rPr>
            </w:pP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administered in tablet form</w:t>
            </w:r>
          </w:p>
        </w:tc>
        <w:tc>
          <w:tcPr>
            <w:tcW w:w="3400" w:type="dxa"/>
            <w:vAlign w:val="bottom"/>
            <w:tcBorders>
              <w:right w:val="single" w:sz="8" w:color="auto"/>
            </w:tcBorders>
            <w:gridSpan w:val="3"/>
          </w:tcPr>
          <w:p>
            <w:pPr>
              <w:ind w:left="80"/>
              <w:spacing w:after="0" w:line="256" w:lineRule="exact"/>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10</w:t>
            </w:r>
            <w:r>
              <w:rPr>
                <w:rFonts w:ascii="Arial" w:cs="Arial" w:eastAsia="Arial" w:hAnsi="Arial"/>
                <w:sz w:val="18"/>
                <w:szCs w:val="18"/>
                <w:color w:val="auto"/>
              </w:rPr>
              <w:t xml:space="preserve"> dose level:</w:t>
            </w:r>
          </w:p>
        </w:tc>
      </w:tr>
      <w:tr>
        <w:trPr>
          <w:trHeight w:val="215"/>
        </w:trPr>
        <w:tc>
          <w:tcPr>
            <w:tcW w:w="17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w w:val="94"/>
              </w:rPr>
              <w:t>27%</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HAI seroconversion</w:t>
            </w:r>
          </w:p>
        </w:tc>
      </w:tr>
      <w:tr>
        <w:trPr>
          <w:trHeight w:val="230"/>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64% MN (4X rise)</w:t>
            </w:r>
          </w:p>
        </w:tc>
      </w:tr>
      <w:tr>
        <w:trPr>
          <w:trHeight w:val="195"/>
        </w:trPr>
        <w:tc>
          <w:tcPr>
            <w:tcW w:w="17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Phase 1</w:t>
            </w:r>
          </w:p>
        </w:tc>
        <w:tc>
          <w:tcPr>
            <w:tcW w:w="23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Placebo-controlled, double-</w:t>
            </w:r>
          </w:p>
        </w:tc>
        <w:tc>
          <w:tcPr>
            <w:tcW w:w="240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4"/>
                <w:szCs w:val="14"/>
                <w:color w:val="auto"/>
              </w:rPr>
              <w:t>10</w:t>
            </w:r>
            <w:r>
              <w:rPr>
                <w:rFonts w:ascii="Arial" w:cs="Arial" w:eastAsia="Arial" w:hAnsi="Arial"/>
                <w:sz w:val="22"/>
                <w:szCs w:val="22"/>
                <w:color w:val="auto"/>
                <w:vertAlign w:val="superscript"/>
              </w:rPr>
              <w:t>11</w:t>
            </w:r>
            <w:r>
              <w:rPr>
                <w:rFonts w:ascii="Arial" w:cs="Arial" w:eastAsia="Arial" w:hAnsi="Arial"/>
                <w:sz w:val="14"/>
                <w:szCs w:val="14"/>
                <w:color w:val="auto"/>
              </w:rPr>
              <w:t xml:space="preserve"> IU VXA-A1.1 (H1)</w:t>
            </w:r>
          </w:p>
        </w:tc>
        <w:tc>
          <w:tcPr>
            <w:tcW w:w="260" w:type="dxa"/>
            <w:vAlign w:val="bottom"/>
          </w:tcPr>
          <w:p>
            <w:pPr>
              <w:ind w:left="80"/>
              <w:spacing w:after="0" w:line="195" w:lineRule="exact"/>
              <w:rPr>
                <w:sz w:val="20"/>
                <w:szCs w:val="20"/>
                <w:color w:val="auto"/>
              </w:rPr>
            </w:pPr>
            <w:r>
              <w:rPr>
                <w:rFonts w:ascii="Arial" w:cs="Arial" w:eastAsia="Arial" w:hAnsi="Arial"/>
                <w:sz w:val="18"/>
                <w:szCs w:val="18"/>
                <w:color w:val="auto"/>
              </w:rPr>
              <w:t>•</w:t>
            </w:r>
          </w:p>
        </w:tc>
        <w:tc>
          <w:tcPr>
            <w:tcW w:w="460" w:type="dxa"/>
            <w:vAlign w:val="bottom"/>
          </w:tcPr>
          <w:p>
            <w:pPr>
              <w:ind w:left="100"/>
              <w:spacing w:after="0" w:line="195" w:lineRule="exact"/>
              <w:rPr>
                <w:sz w:val="20"/>
                <w:szCs w:val="20"/>
                <w:color w:val="auto"/>
              </w:rPr>
            </w:pPr>
            <w:r>
              <w:rPr>
                <w:rFonts w:ascii="Arial" w:cs="Arial" w:eastAsia="Arial" w:hAnsi="Arial"/>
                <w:sz w:val="18"/>
                <w:szCs w:val="18"/>
                <w:color w:val="auto"/>
                <w:w w:val="94"/>
              </w:rPr>
              <w:t>75%</w:t>
            </w:r>
          </w:p>
        </w:tc>
        <w:tc>
          <w:tcPr>
            <w:tcW w:w="26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HAI seroconversion</w:t>
            </w:r>
          </w:p>
        </w:tc>
      </w:tr>
      <w:tr>
        <w:trPr>
          <w:trHeight w:val="215"/>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Trial VXA02-003</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blind, with enteric-coated</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vaccine or placebo on Day 0,</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   92%</w:t>
            </w:r>
          </w:p>
        </w:tc>
        <w:tc>
          <w:tcPr>
            <w:tcW w:w="2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MN (4X rise)</w:t>
            </w:r>
          </w:p>
        </w:tc>
      </w:tr>
      <w:tr>
        <w:trPr>
          <w:trHeight w:val="255"/>
        </w:trPr>
        <w:tc>
          <w:tcPr>
            <w:tcW w:w="1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 = 24</w:t>
            </w:r>
          </w:p>
        </w:tc>
        <w:tc>
          <w:tcPr>
            <w:tcW w:w="23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tablets</w:t>
            </w:r>
          </w:p>
        </w:tc>
        <w:tc>
          <w:tcPr>
            <w:tcW w:w="24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single administration in table</w:t>
            </w: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80" w:type="dxa"/>
            <w:vAlign w:val="bottom"/>
            <w:tcBorders>
              <w:right w:val="single" w:sz="8" w:color="auto"/>
            </w:tcBorders>
          </w:tcPr>
          <w:p>
            <w:pPr>
              <w:spacing w:after="0"/>
              <w:rPr>
                <w:sz w:val="22"/>
                <w:szCs w:val="22"/>
                <w:color w:val="auto"/>
              </w:rPr>
            </w:pPr>
          </w:p>
        </w:tc>
      </w:tr>
      <w:tr>
        <w:trPr>
          <w:trHeight w:val="226"/>
        </w:trPr>
        <w:tc>
          <w:tcPr>
            <w:tcW w:w="1700" w:type="dxa"/>
            <w:vAlign w:val="bottom"/>
            <w:tcBorders>
              <w:left w:val="single" w:sz="8" w:color="auto"/>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form</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400"/>
          </w:cols>
          <w:pgMar w:left="240" w:top="118" w:right="259" w:bottom="1440" w:gutter="0" w:footer="0" w:header="0"/>
        </w:sectPr>
      </w:pPr>
    </w:p>
    <w:p>
      <w:pPr>
        <w:jc w:val="center"/>
        <w:ind w:right="-1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70" w:name="page171"/>
    <w:bookmarkEnd w:id="17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Trial. Influenza B</w:t>
      </w:r>
    </w:p>
    <w:p>
      <w:pPr>
        <w:spacing w:after="0" w:line="224"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In 2015 and 2016, Vaxart conducted a randomized, double-blind, placebo-controlled Phase 1 trial to test the safety and immunogenicity of an influenza B tablet vaccine. A total of 54 healthy adults age 18-49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IU or 1 x 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IU on Day 0.</w:t>
      </w:r>
    </w:p>
    <w:p>
      <w:pPr>
        <w:spacing w:after="0" w:line="2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Safety</w:t>
      </w:r>
      <w:r>
        <w:rPr>
          <w:rFonts w:ascii="Arial" w:cs="Arial" w:eastAsia="Arial" w:hAnsi="Arial"/>
          <w:sz w:val="18"/>
          <w:szCs w:val="18"/>
          <w:color w:val="auto"/>
        </w:rPr>
        <w:t>. The side effects of the vaccine or placebo in the first seven days following administration were generally mild with no serious adverse events.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notable differences between the active dose groups and placebo in safety and tolerability.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HAI</w:t>
      </w:r>
      <w:r>
        <w:rPr>
          <w:rFonts w:ascii="Arial" w:cs="Arial" w:eastAsia="Arial" w:hAnsi="Arial"/>
          <w:sz w:val="16"/>
          <w:szCs w:val="16"/>
          <w:color w:val="auto"/>
        </w:rPr>
        <w:t>. In the placebo group, HAI GMT remained essentially unchanged (1:33) at day 28 post dosing. The GMFR of HAI titers both active treated groups at</w:t>
      </w:r>
    </w:p>
    <w:p>
      <w:pPr>
        <w:spacing w:after="0" w:line="46" w:lineRule="exact"/>
        <w:rPr>
          <w:sz w:val="20"/>
          <w:szCs w:val="20"/>
          <w:color w:val="auto"/>
        </w:rPr>
      </w:pPr>
    </w:p>
    <w:p>
      <w:pPr>
        <w:ind w:right="560"/>
        <w:spacing w:after="0" w:line="234" w:lineRule="auto"/>
        <w:rPr>
          <w:sz w:val="20"/>
          <w:szCs w:val="20"/>
          <w:color w:val="auto"/>
        </w:rPr>
      </w:pPr>
      <w:r>
        <w:rPr>
          <w:rFonts w:ascii="Arial" w:cs="Arial" w:eastAsia="Arial" w:hAnsi="Arial"/>
          <w:sz w:val="16"/>
          <w:szCs w:val="16"/>
          <w:color w:val="auto"/>
        </w:rPr>
        <w:t>day 28 post dosing was about 2-fold, and independent of dose. For the vaccinated groups receiving either 1×10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IU or 1×10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IU, seroconversion was observed in 5/19 subjects (26.3%) and 3/19 subjects (15.8%), respectively. There were no seroconversions in the placebo group.</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ASCs. </w:t>
      </w:r>
      <w:r>
        <w:rPr>
          <w:rFonts w:ascii="Arial" w:cs="Arial" w:eastAsia="Arial" w:hAnsi="Arial"/>
          <w:sz w:val="16"/>
          <w:szCs w:val="16"/>
          <w:color w:val="auto"/>
        </w:rPr>
        <w:t>In order to measure total antibody responses to HA, the numbers of circulating B cells in peripheral blood were measured by ASC assay on days 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 after immunization. Results show that ASCs could be reliably measured on day 7 in the vaccine-treated groups. Background ASCs were generally negligible</w:t>
      </w:r>
    </w:p>
    <w:p>
      <w:pPr>
        <w:spacing w:after="0" w:line="1" w:lineRule="exact"/>
        <w:rPr>
          <w:sz w:val="20"/>
          <w:szCs w:val="20"/>
          <w:color w:val="auto"/>
        </w:rPr>
      </w:pPr>
    </w:p>
    <w:p>
      <w:pPr>
        <w:ind w:right="140"/>
        <w:spacing w:after="0" w:line="205" w:lineRule="auto"/>
        <w:rPr>
          <w:sz w:val="20"/>
          <w:szCs w:val="20"/>
          <w:color w:val="auto"/>
        </w:rPr>
      </w:pPr>
      <w:r>
        <w:rPr>
          <w:rFonts w:ascii="Arial" w:cs="Arial" w:eastAsia="Arial" w:hAnsi="Arial"/>
          <w:sz w:val="16"/>
          <w:szCs w:val="16"/>
          <w:color w:val="auto"/>
        </w:rPr>
        <w:t>on day 0. By IgG ASC, 68% of 1×10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IU dose subjects responded, and 84% of subjects in the 1×10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IU dose group responded. For the 1×10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IU dose vaccine treated group, an average of 21 IgA ASCs (95% CI: 7 – 35) and 73 IgG ASCs (95% CI: 35 – 111) each per 1×10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peripheral blood mononuclear cell (PBMCs) were found at day 7. For the 1×10</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IU dose vaccine treated group, an average of 16 IgA ASCs (95% CI: 2 – 29) and 44 IgG ASCs (95% CI: 21 –</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66) were found at day 7. The placebo group had no responders, and negligible average number of spots (1 or less) on Day 7 (95% CI: -0.6 –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H1N1 Influenza Phase 2 Challenge Study Funded by BARDA</w:t>
      </w: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In September 2015, Vaxart was awarded a $13.9 million contract by BARDA, part of the U.S. Department of Health and Human Services. The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Vaxart’s H1N1 tablet vaccine candidate offers broader and more durable protection than currently marketed injectable vaccines. In April 2017, the contract with BARDA was increased to $15.7 million and the term was extended by 6 months.</w:t>
      </w:r>
    </w:p>
    <w:p>
      <w:pPr>
        <w:spacing w:after="0" w:line="17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this Phase 2 study, volunteers were randomized into three groups. One group received Vaxart’s oral H1N1 influenza tablet vaccine candidate, a second group received a commercially licensed inactivated influenza vaccine by intramuscular injection, and a third group received placebo. Three months following immunization, volunteers were challenged with live H1N1 (A/H1N1 pdm09) influenza virus by intranasal administration. The placebo group served as the control group to determine how many unvaccinated volunteers became infected and how severe their influenza symptoms became. Data from Vaxart’s vaccine candidate group and the commercially licensed inactivated vaccine group were compared to placebo to determine each vaccine’s efficacy in this challenge study. Importantly, the two vaccines were also compared head-to-head. The goal of the study is to compare the efficacy Vaxart’s vaccine to protect volunteers from illness caused by H1N1 influenza challenge, compared to both the injectable vaccine and placebo three months after immunization.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Results VXA-CHAL-201</w:t>
      </w:r>
    </w:p>
    <w:p>
      <w:pPr>
        <w:spacing w:after="0" w:line="2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Phase 2 challenge study was enrolled during 2016 and 2017. During this time, 179 subjects that cleared the screening requirements were randomized to receive a single dose of Vaxart’s tablet vaccine, the commercial injectable vaccine, or placebo. Of these 179 subjects, 143 subjects were subsequently challenged with live H1N1 influenza virus 90 to 120 days months after dosing.</w:t>
      </w:r>
    </w:p>
    <w:p>
      <w:pPr>
        <w:spacing w:after="0" w:line="183" w:lineRule="exact"/>
        <w:rPr>
          <w:sz w:val="20"/>
          <w:szCs w:val="20"/>
          <w:color w:val="auto"/>
        </w:rPr>
      </w:pPr>
    </w:p>
    <w:p>
      <w:pPr>
        <w:ind w:left="660" w:right="80" w:hanging="329"/>
        <w:spacing w:after="0" w:line="272" w:lineRule="auto"/>
        <w:tabs>
          <w:tab w:leader="none" w:pos="660" w:val="left"/>
        </w:tabs>
        <w:numPr>
          <w:ilvl w:val="0"/>
          <w:numId w:val="16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Safety. </w:t>
      </w:r>
      <w:r>
        <w:rPr>
          <w:rFonts w:ascii="Arial" w:cs="Arial" w:eastAsia="Arial" w:hAnsi="Arial"/>
          <w:sz w:val="17"/>
          <w:szCs w:val="17"/>
          <w:color w:val="auto"/>
        </w:rPr>
        <w:t>The side effects of the vaccines or placebo in the first seven days following administration were generally mild. In the first seven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administration, the solicited adverse events (AEs) reported in the vaccine and placebo groups were mostly grade 1 in severity, and none were above grade 2. The most frequent solicited AE was headache in the Vaxart tablet vaccine group (7%), injection site tenderness in the commercially licensed inactivated vaccine group (26%) and headache in the placebo group (19%). There were no serious adverse events and no new onsets of chronic illnesses related to the Vaxart vaccine adjuvant recorded during the follow up period of the study, which is still in progress. The graphs below show the distribution and severity over time of systemic and local solicited AEs.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1" w:name="page172"/>
    <w:bookmarkEnd w:id="17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14. </w:t>
      </w:r>
      <w:r>
        <w:rPr>
          <w:rFonts w:ascii="Arial" w:cs="Arial" w:eastAsia="Arial" w:hAnsi="Arial"/>
          <w:sz w:val="18"/>
          <w:szCs w:val="18"/>
          <w:color w:val="auto"/>
        </w:rPr>
        <w:t>Maximum Severity of Solicited Systemic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982720" cy="3068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82720" cy="306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i w:val="1"/>
          <w:iCs w:val="1"/>
          <w:color w:val="auto"/>
        </w:rPr>
        <w:t>Solicited symptoms were collected for seven days following immunization. The severity of solicited systemic symptoms is indicated for each treatment group over time. All events were mild or moderate in severity.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15. </w:t>
      </w:r>
      <w:r>
        <w:rPr>
          <w:rFonts w:ascii="Arial" w:cs="Arial" w:eastAsia="Arial" w:hAnsi="Arial"/>
          <w:sz w:val="18"/>
          <w:szCs w:val="18"/>
          <w:color w:val="auto"/>
        </w:rPr>
        <w:t>Maximum Severity of Solicited Local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820160" cy="3034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20160" cy="303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Solicited symptoms were collected for seven days following immunization. The severity of solicited local symptoms is indicated for each treatment group over time. All events were mild in severity.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72" w:name="page173"/>
    <w:bookmarkEnd w:id="17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Efficacy – Reduction of PCR Confirmed Influenza Like Illness.</w:t>
      </w:r>
    </w:p>
    <w:p>
      <w:pPr>
        <w:spacing w:after="0" w:line="2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primary efficacy objective was to determine vaccine efficacy of the Vaxart tablet vaccine following the challenge with the wild-type influenza A H1 virus strain (A/H1N1 pdm09) strain. The primary efficacy endpoint was illness. Illness was defined as a combination of symptoms reported on a patient reported</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outcome tool (Flu-PRO</w:t>
      </w:r>
      <w:r>
        <w:rPr>
          <w:rFonts w:ascii="Arial" w:cs="Arial" w:eastAsia="Arial" w:hAnsi="Arial"/>
          <w:sz w:val="29"/>
          <w:szCs w:val="29"/>
          <w:color w:val="auto"/>
          <w:vertAlign w:val="superscript"/>
        </w:rPr>
        <w:t>TM</w:t>
      </w:r>
      <w:r>
        <w:rPr>
          <w:rFonts w:ascii="Arial" w:cs="Arial" w:eastAsia="Arial" w:hAnsi="Arial"/>
          <w:sz w:val="18"/>
          <w:szCs w:val="18"/>
          <w:color w:val="auto"/>
        </w:rPr>
        <w:t>) and quantitative reverse transcriptase polymerase chain reaction (qRT-PCR) detectable shed influenza virus. The illness rate was 29% for the Vaxart tablet vaccine, 35% for the commercial inactivated influenza vaccine, and 48% for subjects in the placebo group. The rate difference for the Vaxart tablet vaccine compared to the commercial inactivated influenza vaccine was -6 in favor of the Vaxart vaccine. There was no statistically significant difference in the illness rates between the Vaxart tablet vaccine and the commercial inactivated influenza vaccine for all subjects. Illness rates were similar in the Vaxart tablet vaccine group and the commercial inactivated influenza vaccine treatment groups and lower than the placebo group. The result is shown in the table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6. </w:t>
      </w:r>
      <w:r>
        <w:rPr>
          <w:rFonts w:ascii="Arial" w:cs="Arial" w:eastAsia="Arial" w:hAnsi="Arial"/>
          <w:sz w:val="18"/>
          <w:szCs w:val="18"/>
          <w:color w:val="auto"/>
        </w:rPr>
        <w:t>H1 Influenza Phase 2 Challenge Study: Illness Rates.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680" w:type="dxa"/>
            <w:vAlign w:val="bottom"/>
            <w:tcBorders>
              <w:top w:val="single" w:sz="8" w:color="auto"/>
              <w:left w:val="single" w:sz="8" w:color="auto"/>
              <w:bottom w:val="single" w:sz="8" w:color="auto"/>
              <w:right w:val="single" w:sz="8" w:color="CCEEFF"/>
            </w:tcBorders>
            <w:shd w:val="clear" w:color="auto" w:fill="CCEEFF"/>
          </w:tcPr>
          <w:p>
            <w:pPr>
              <w:spacing w:after="0"/>
              <w:rPr>
                <w:sz w:val="20"/>
                <w:szCs w:val="20"/>
                <w:color w:val="auto"/>
              </w:rPr>
            </w:pPr>
          </w:p>
        </w:tc>
        <w:tc>
          <w:tcPr>
            <w:tcW w:w="2400" w:type="dxa"/>
            <w:vAlign w:val="bottom"/>
            <w:tcBorders>
              <w:top w:val="single" w:sz="8" w:color="auto"/>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VAXART</w:t>
            </w:r>
          </w:p>
        </w:tc>
        <w:tc>
          <w:tcPr>
            <w:tcW w:w="72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Commercial</w:t>
            </w:r>
          </w:p>
        </w:tc>
        <w:tc>
          <w:tcPr>
            <w:tcW w:w="24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VAXART-Commercial</w:t>
            </w:r>
          </w:p>
        </w:tc>
        <w:tc>
          <w:tcPr>
            <w:tcW w:w="4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2100" w:type="dxa"/>
            <w:vAlign w:val="bottom"/>
            <w:tcBorders>
              <w:top w:val="single" w:sz="8" w:color="auto"/>
              <w:bottom w:val="single" w:sz="8" w:color="auto"/>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Placebo</w:t>
            </w:r>
          </w:p>
        </w:tc>
      </w:tr>
      <w:tr>
        <w:trPr>
          <w:trHeight w:val="209"/>
        </w:trPr>
        <w:tc>
          <w:tcPr>
            <w:tcW w:w="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(95% CI)</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(95% CI)</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Rate Difference (95% CI)</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(95% CI)</w:t>
            </w:r>
          </w:p>
        </w:tc>
      </w:tr>
      <w:tr>
        <w:trPr>
          <w:trHeight w:val="206"/>
        </w:trPr>
        <w:tc>
          <w:tcPr>
            <w:tcW w:w="680" w:type="dxa"/>
            <w:vAlign w:val="bottom"/>
            <w:tcBorders>
              <w:left w:val="single" w:sz="8" w:color="auto"/>
              <w:bottom w:val="single" w:sz="8" w:color="auto"/>
              <w:right w:val="single" w:sz="8" w:color="auto"/>
            </w:tcBorders>
          </w:tcPr>
          <w:p>
            <w:pPr>
              <w:jc w:val="right"/>
              <w:ind w:right="150"/>
              <w:spacing w:after="0" w:line="206" w:lineRule="exact"/>
              <w:rPr>
                <w:sz w:val="20"/>
                <w:szCs w:val="20"/>
                <w:color w:val="auto"/>
              </w:rPr>
            </w:pPr>
            <w:r>
              <w:rPr>
                <w:rFonts w:ascii="Arial" w:cs="Arial" w:eastAsia="Arial" w:hAnsi="Arial"/>
                <w:sz w:val="18"/>
                <w:szCs w:val="18"/>
                <w:color w:val="auto"/>
              </w:rPr>
              <w:t>58</w:t>
            </w: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29.3</w:t>
            </w:r>
          </w:p>
        </w:tc>
        <w:tc>
          <w:tcPr>
            <w:tcW w:w="1460" w:type="dxa"/>
            <w:vAlign w:val="bottom"/>
            <w:tcBorders>
              <w:bottom w:val="single" w:sz="8" w:color="auto"/>
              <w:right w:val="single" w:sz="8" w:color="auto"/>
            </w:tcBorders>
          </w:tcPr>
          <w:p>
            <w:pPr>
              <w:ind w:left="20"/>
              <w:spacing w:after="0" w:line="206" w:lineRule="exact"/>
              <w:rPr>
                <w:sz w:val="20"/>
                <w:szCs w:val="20"/>
                <w:color w:val="auto"/>
              </w:rPr>
            </w:pPr>
            <w:r>
              <w:rPr>
                <w:rFonts w:ascii="Arial" w:cs="Arial" w:eastAsia="Arial" w:hAnsi="Arial"/>
                <w:sz w:val="18"/>
                <w:szCs w:val="18"/>
                <w:color w:val="auto"/>
              </w:rPr>
              <w:t>(18.1, 42.7)</w:t>
            </w:r>
          </w:p>
        </w:tc>
        <w:tc>
          <w:tcPr>
            <w:tcW w:w="720" w:type="dxa"/>
            <w:vAlign w:val="bottom"/>
            <w:tcBorders>
              <w:bottom w:val="single" w:sz="8" w:color="auto"/>
              <w:right w:val="single" w:sz="8" w:color="auto"/>
            </w:tcBorders>
          </w:tcPr>
          <w:p>
            <w:pPr>
              <w:jc w:val="right"/>
              <w:ind w:right="190"/>
              <w:spacing w:after="0" w:line="206" w:lineRule="exact"/>
              <w:rPr>
                <w:sz w:val="20"/>
                <w:szCs w:val="20"/>
                <w:color w:val="auto"/>
              </w:rPr>
            </w:pPr>
            <w:r>
              <w:rPr>
                <w:rFonts w:ascii="Arial" w:cs="Arial" w:eastAsia="Arial" w:hAnsi="Arial"/>
                <w:sz w:val="18"/>
                <w:szCs w:val="18"/>
                <w:color w:val="auto"/>
              </w:rPr>
              <w:t>54</w:t>
            </w:r>
          </w:p>
        </w:tc>
        <w:tc>
          <w:tcPr>
            <w:tcW w:w="7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35.2</w:t>
            </w:r>
          </w:p>
        </w:tc>
        <w:tc>
          <w:tcPr>
            <w:tcW w:w="1280" w:type="dxa"/>
            <w:vAlign w:val="bottom"/>
            <w:tcBorders>
              <w:bottom w:val="single" w:sz="8" w:color="auto"/>
              <w:right w:val="single" w:sz="8" w:color="auto"/>
            </w:tcBorders>
          </w:tcPr>
          <w:p>
            <w:pPr>
              <w:ind w:left="20"/>
              <w:spacing w:after="0" w:line="206" w:lineRule="exact"/>
              <w:rPr>
                <w:sz w:val="20"/>
                <w:szCs w:val="20"/>
                <w:color w:val="auto"/>
              </w:rPr>
            </w:pPr>
            <w:r>
              <w:rPr>
                <w:rFonts w:ascii="Arial" w:cs="Arial" w:eastAsia="Arial" w:hAnsi="Arial"/>
                <w:sz w:val="18"/>
                <w:szCs w:val="18"/>
                <w:color w:val="auto"/>
              </w:rPr>
              <w:t>(22.7, 49.4)</w:t>
            </w:r>
          </w:p>
        </w:tc>
        <w:tc>
          <w:tcPr>
            <w:tcW w:w="248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90"/>
              </w:rPr>
              <w:t>-5.9 (-24.3, 12.5)</w:t>
            </w:r>
          </w:p>
        </w:tc>
        <w:tc>
          <w:tcPr>
            <w:tcW w:w="460" w:type="dxa"/>
            <w:vAlign w:val="bottom"/>
            <w:tcBorders>
              <w:bottom w:val="single" w:sz="8" w:color="auto"/>
              <w:right w:val="single" w:sz="8" w:color="auto"/>
            </w:tcBorders>
          </w:tcPr>
          <w:p>
            <w:pPr>
              <w:jc w:val="right"/>
              <w:ind w:right="70"/>
              <w:spacing w:after="0" w:line="206" w:lineRule="exact"/>
              <w:rPr>
                <w:sz w:val="20"/>
                <w:szCs w:val="20"/>
                <w:color w:val="auto"/>
              </w:rPr>
            </w:pPr>
            <w:r>
              <w:rPr>
                <w:rFonts w:ascii="Arial" w:cs="Arial" w:eastAsia="Arial" w:hAnsi="Arial"/>
                <w:sz w:val="18"/>
                <w:szCs w:val="18"/>
                <w:color w:val="auto"/>
              </w:rPr>
              <w:t>31</w:t>
            </w:r>
          </w:p>
        </w:tc>
        <w:tc>
          <w:tcPr>
            <w:tcW w:w="7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48.4</w:t>
            </w:r>
          </w:p>
        </w:tc>
        <w:tc>
          <w:tcPr>
            <w:tcW w:w="1320" w:type="dxa"/>
            <w:vAlign w:val="bottom"/>
            <w:tcBorders>
              <w:bottom w:val="single" w:sz="8" w:color="auto"/>
              <w:right w:val="single" w:sz="8" w:color="auto"/>
            </w:tcBorders>
          </w:tcPr>
          <w:p>
            <w:pPr>
              <w:ind w:left="20"/>
              <w:spacing w:after="0" w:line="206" w:lineRule="exact"/>
              <w:rPr>
                <w:sz w:val="20"/>
                <w:szCs w:val="20"/>
                <w:color w:val="auto"/>
              </w:rPr>
            </w:pPr>
            <w:r>
              <w:rPr>
                <w:rFonts w:ascii="Arial" w:cs="Arial" w:eastAsia="Arial" w:hAnsi="Arial"/>
                <w:sz w:val="18"/>
                <w:szCs w:val="18"/>
                <w:color w:val="auto"/>
              </w:rPr>
              <w:t>(30.2, 66.9)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Efficacy – Flu-PRO symptom Scores</w:t>
      </w:r>
    </w:p>
    <w:p>
      <w:pPr>
        <w:spacing w:after="0" w:line="227" w:lineRule="exact"/>
        <w:rPr>
          <w:sz w:val="20"/>
          <w:szCs w:val="20"/>
          <w:color w:val="auto"/>
        </w:rPr>
      </w:pPr>
    </w:p>
    <w:p>
      <w:pPr>
        <w:ind w:right="500"/>
        <w:spacing w:after="0" w:line="213" w:lineRule="auto"/>
        <w:rPr>
          <w:sz w:val="20"/>
          <w:szCs w:val="20"/>
          <w:color w:val="auto"/>
        </w:rPr>
      </w:pPr>
      <w:r>
        <w:rPr>
          <w:rFonts w:ascii="Arial" w:cs="Arial" w:eastAsia="Arial" w:hAnsi="Arial"/>
          <w:sz w:val="18"/>
          <w:szCs w:val="18"/>
          <w:color w:val="auto"/>
        </w:rPr>
        <w:t>There were no statistically significant differences between the commercial inactivated influenza vaccine and the Vaxart tablet vaccine for the Flu-PRO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questionnaire, a validated patient recorded outcome tool used in influenza clinical trials in the community.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Efficacy – Shedding</w:t>
      </w:r>
    </w:p>
    <w:p>
      <w:pPr>
        <w:spacing w:after="0" w:line="22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There were no statistical significant differences observed between the Vaxart tablet vaccine and the commercial inactivated influenza vaccine for viral shedding area under the curve (AUC). The percent positive shedding rates were higher in the placebo group compared with VXA-A1.1 and Commercial inactivated influenza vaccine. The mean AUC was very similar across all groups. Because the number of volunteers that did not shed at all in the two vaccine groups was higher than in the placebo group, an AUC could not be calculated for more volunteers in the two vaccine groups. This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Infection was defined as any positive quantitative reverse transcriptase polymerase chain reaction (qRT-PCR) detectable shed influenza virus on any day after 36 hours from viral challenge. In this model, both vaccines significantly reduced the probability of shedding relative to placebo (Bayesian posterior p=0.001 for the Vaxart tablet vaccine and p=0.009 for the commercial inactivated influenza vaccine). In a Bayesian analysis, both vaccines provide a statistically significant protection against infection. There is also trend toward greater efficacy for the Vaxart vaccine with an ~80% posterior probability.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7. </w:t>
      </w:r>
      <w:r>
        <w:rPr>
          <w:rFonts w:ascii="Arial" w:cs="Arial" w:eastAsia="Arial" w:hAnsi="Arial"/>
          <w:sz w:val="18"/>
          <w:szCs w:val="18"/>
          <w:color w:val="auto"/>
        </w:rPr>
        <w:t>H1 Influenza Phase 2 Challenge Study: Infection Rates.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12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Treatment Arm</w:t>
            </w:r>
          </w:p>
        </w:tc>
        <w:tc>
          <w:tcPr>
            <w:tcW w:w="1360" w:type="dxa"/>
            <w:vAlign w:val="bottom"/>
            <w:tcBorders>
              <w:top w:val="single" w:sz="8" w:color="auto"/>
              <w:bottom w:val="single" w:sz="8" w:color="auto"/>
              <w:right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N</w:t>
            </w:r>
          </w:p>
        </w:tc>
        <w:tc>
          <w:tcPr>
            <w:tcW w:w="20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Number Infected</w:t>
            </w:r>
          </w:p>
        </w:tc>
        <w:tc>
          <w:tcPr>
            <w:tcW w:w="20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Percent (95% CI)</w:t>
            </w:r>
          </w:p>
        </w:tc>
        <w:tc>
          <w:tcPr>
            <w:tcW w:w="2220" w:type="dxa"/>
            <w:vAlign w:val="bottom"/>
            <w:tcBorders>
              <w:top w:val="single" w:sz="8" w:color="auto"/>
              <w:bottom w:val="single" w:sz="8" w:color="auto"/>
              <w:right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Posterior P</w:t>
            </w:r>
          </w:p>
        </w:tc>
      </w:tr>
      <w:tr>
        <w:trPr>
          <w:trHeight w:val="209"/>
        </w:trPr>
        <w:tc>
          <w:tcPr>
            <w:tcW w:w="2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Placebo</w:t>
            </w:r>
          </w:p>
        </w:tc>
        <w:tc>
          <w:tcPr>
            <w:tcW w:w="13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31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71% (55-85%)</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2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Commercial</w:t>
            </w:r>
          </w:p>
        </w:tc>
        <w:tc>
          <w:tcPr>
            <w:tcW w:w="136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54</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44% (32-58%)</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0.009</w:t>
            </w:r>
          </w:p>
        </w:tc>
      </w:tr>
      <w:tr>
        <w:trPr>
          <w:trHeight w:val="206"/>
        </w:trPr>
        <w:tc>
          <w:tcPr>
            <w:tcW w:w="2120" w:type="dxa"/>
            <w:vAlign w:val="bottom"/>
            <w:tcBorders>
              <w:left w:val="single" w:sz="8" w:color="auto"/>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9"/>
              </w:rPr>
              <w:t>Vaxart Vaccine</w:t>
            </w:r>
          </w:p>
        </w:tc>
        <w:tc>
          <w:tcPr>
            <w:tcW w:w="1360" w:type="dxa"/>
            <w:vAlign w:val="bottom"/>
            <w:tcBorders>
              <w:bottom w:val="single" w:sz="8" w:color="auto"/>
              <w:right w:val="single" w:sz="8" w:color="auto"/>
            </w:tcBorders>
          </w:tcPr>
          <w:p>
            <w:pPr>
              <w:ind w:left="580"/>
              <w:spacing w:after="0" w:line="206" w:lineRule="exact"/>
              <w:rPr>
                <w:sz w:val="20"/>
                <w:szCs w:val="20"/>
                <w:color w:val="auto"/>
              </w:rPr>
            </w:pPr>
            <w:r>
              <w:rPr>
                <w:rFonts w:ascii="Arial" w:cs="Arial" w:eastAsia="Arial" w:hAnsi="Arial"/>
                <w:sz w:val="18"/>
                <w:szCs w:val="18"/>
                <w:color w:val="auto"/>
              </w:rPr>
              <w:t>57</w:t>
            </w:r>
          </w:p>
        </w:tc>
        <w:tc>
          <w:tcPr>
            <w:tcW w:w="206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9"/>
              </w:rPr>
              <w:t>21</w:t>
            </w:r>
          </w:p>
        </w:tc>
        <w:tc>
          <w:tcPr>
            <w:tcW w:w="204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92"/>
              </w:rPr>
              <w:t>37% (25-49%)</w:t>
            </w:r>
          </w:p>
        </w:tc>
        <w:tc>
          <w:tcPr>
            <w:tcW w:w="222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8"/>
              </w:rPr>
              <w:t>0.001</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Immunogenicity</w:t>
      </w:r>
    </w:p>
    <w:p>
      <w:pPr>
        <w:spacing w:after="0" w:line="2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HAI responses. </w:t>
      </w:r>
      <w:r>
        <w:rPr>
          <w:rFonts w:ascii="Arial" w:cs="Arial" w:eastAsia="Arial" w:hAnsi="Arial"/>
          <w:sz w:val="17"/>
          <w:szCs w:val="17"/>
          <w:color w:val="auto"/>
        </w:rPr>
        <w:t>HAI responses were measured 30 days following immunization to determine the number and percentage of volunteers that seroconverted.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Vaxart tablet vaccine group, 32% of volunteers achieved seroconversion. In the commercial inactivated influenza vaccine group 84% of volunteers achieved HAI seroconversion at 30 days post vaccination. This difference was statistically significant (P &lt; 0.001, Fisher’s Exact test). There were no subjects in the placebo group who achieved seroconversion at 30 days post vaccination. Since 32% of subjects seroconverted in the Vaxart tablet vaccine group achieved HAI seroconversion, but 71% of subjects were protected from illness following influenza challenge, HAI did not correlate well with the Vaxart tablet vaccine’s ability to protect against illness in this clinical trial. The table below summarizes the HAI data. The GMT, GMFR, percentage of volunteers who had a 4-fold rise in their HAI and the percentage of subjects who seroconverted are reported.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color w:val="auto"/>
        </w:rPr>
        <w:t xml:space="preserve">Table 8. </w:t>
      </w:r>
      <w:r>
        <w:rPr>
          <w:rFonts w:ascii="Arial" w:cs="Arial" w:eastAsia="Arial" w:hAnsi="Arial"/>
          <w:sz w:val="18"/>
          <w:szCs w:val="18"/>
          <w:color w:val="auto"/>
        </w:rPr>
        <w:t>Hemagglutination Antibody Inhibition (HAI) Geometric Mean Titer (GMT) and Geometric Mean Fold Rise (GMFR) Results Post Dosing with 95%</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Intervals by Strain, Study Day and Treatment Group.</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Full Analysis Set - Vaccination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7251065" cy="1576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15767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60" w:type="dxa"/>
            <w:vAlign w:val="bottom"/>
            <w:tcBorders>
              <w:top w:val="single" w:sz="8" w:color="auto"/>
              <w:bottom w:val="single" w:sz="8" w:color="auto"/>
              <w:right w:val="single" w:sz="8" w:color="auto"/>
            </w:tcBorders>
          </w:tcPr>
          <w:p>
            <w:pPr>
              <w:spacing w:after="0"/>
              <w:rPr>
                <w:sz w:val="18"/>
                <w:szCs w:val="18"/>
                <w:color w:val="auto"/>
              </w:rPr>
            </w:pPr>
          </w:p>
        </w:tc>
        <w:tc>
          <w:tcPr>
            <w:tcW w:w="2060" w:type="dxa"/>
            <w:vAlign w:val="bottom"/>
            <w:tcBorders>
              <w:top w:val="single" w:sz="8" w:color="auto"/>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7"/>
              </w:rPr>
              <w:t>Baseline (Pre-Dosing)</w:t>
            </w:r>
          </w:p>
        </w:tc>
        <w:tc>
          <w:tcPr>
            <w:tcW w:w="5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30 Days Post Dosing</w:t>
            </w:r>
          </w:p>
        </w:tc>
        <w:tc>
          <w:tcPr>
            <w:tcW w:w="1700" w:type="dxa"/>
            <w:vAlign w:val="bottom"/>
            <w:tcBorders>
              <w:top w:val="single" w:sz="8" w:color="auto"/>
              <w:bottom w:val="single" w:sz="8" w:color="auto"/>
            </w:tcBorders>
          </w:tcPr>
          <w:p>
            <w:pPr>
              <w:spacing w:after="0"/>
              <w:rPr>
                <w:sz w:val="18"/>
                <w:szCs w:val="18"/>
                <w:color w:val="auto"/>
              </w:rPr>
            </w:pPr>
          </w:p>
        </w:tc>
      </w:tr>
      <w:tr>
        <w:trPr>
          <w:trHeight w:val="190"/>
        </w:trPr>
        <w:tc>
          <w:tcPr>
            <w:tcW w:w="26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GMT</w:t>
            </w:r>
          </w:p>
        </w:tc>
        <w:tc>
          <w:tcPr>
            <w:tcW w:w="5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GMT</w:t>
            </w:r>
          </w:p>
        </w:tc>
        <w:tc>
          <w:tcPr>
            <w:tcW w:w="14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GMFR</w:t>
            </w:r>
          </w:p>
        </w:tc>
        <w:tc>
          <w:tcPr>
            <w:tcW w:w="14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3"/>
              </w:rPr>
              <w:t>% 4-Fold Rise</w:t>
            </w:r>
          </w:p>
        </w:tc>
        <w:tc>
          <w:tcPr>
            <w:tcW w:w="170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89"/>
              </w:rPr>
              <w:t>% Seroconversion</w:t>
            </w:r>
          </w:p>
        </w:tc>
      </w:tr>
      <w:tr>
        <w:trPr>
          <w:trHeight w:val="234"/>
        </w:trPr>
        <w:tc>
          <w:tcPr>
            <w:tcW w:w="266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Treatment Group</w:t>
            </w:r>
          </w:p>
        </w:tc>
        <w:tc>
          <w:tcPr>
            <w:tcW w:w="5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N</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(95% CI)</w:t>
            </w:r>
          </w:p>
        </w:tc>
      </w:tr>
      <w:tr>
        <w:trPr>
          <w:trHeight w:val="209"/>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Strain: A/California/7/2009</w:t>
            </w: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194"/>
        </w:trPr>
        <w:tc>
          <w:tcPr>
            <w:tcW w:w="26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Vaxart Tablet Vaccine</w:t>
            </w:r>
          </w:p>
        </w:tc>
        <w:tc>
          <w:tcPr>
            <w:tcW w:w="58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70</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11.13</w:t>
            </w:r>
          </w:p>
        </w:tc>
        <w:tc>
          <w:tcPr>
            <w:tcW w:w="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69</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29.99</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2.72</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36.2</w:t>
            </w: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1"/>
              </w:rPr>
              <w:t>31.9</w:t>
            </w:r>
          </w:p>
        </w:tc>
      </w:tr>
      <w:tr>
        <w:trPr>
          <w:trHeight w:val="230"/>
        </w:trPr>
        <w:tc>
          <w:tcPr>
            <w:tcW w:w="26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(9.55, 12.96)</w:t>
            </w: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(23.72, 37.93)</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(2.18, 3.39)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(25.0, 48.7)</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(21.2, 44.2)</w:t>
            </w:r>
          </w:p>
        </w:tc>
      </w:tr>
      <w:tr>
        <w:trPr>
          <w:trHeight w:val="194"/>
        </w:trPr>
        <w:tc>
          <w:tcPr>
            <w:tcW w:w="26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Commercial Inactivated</w:t>
            </w:r>
          </w:p>
        </w:tc>
        <w:tc>
          <w:tcPr>
            <w:tcW w:w="58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72</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9.84</w:t>
            </w:r>
          </w:p>
        </w:tc>
        <w:tc>
          <w:tcPr>
            <w:tcW w:w="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273.13</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27.50</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90.0</w:t>
            </w: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1"/>
              </w:rPr>
              <w:t>84.3</w:t>
            </w:r>
          </w:p>
        </w:tc>
      </w:tr>
      <w:tr>
        <w:trPr>
          <w:trHeight w:val="230"/>
        </w:trPr>
        <w:tc>
          <w:tcPr>
            <w:tcW w:w="26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Influenza Vaccine</w:t>
            </w: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(8.33, 11.63)</w:t>
            </w: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(182.15, 409.54)</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(19.44, 38.90)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(80.5, 95.9)</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(73.6, 91.9)</w:t>
            </w:r>
          </w:p>
        </w:tc>
      </w:tr>
      <w:tr>
        <w:trPr>
          <w:trHeight w:val="194"/>
        </w:trPr>
        <w:tc>
          <w:tcPr>
            <w:tcW w:w="2660" w:type="dxa"/>
            <w:vAlign w:val="bottom"/>
            <w:tcBorders>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Placebo</w:t>
            </w:r>
          </w:p>
        </w:tc>
        <w:tc>
          <w:tcPr>
            <w:tcW w:w="58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35</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10.49</w:t>
            </w:r>
          </w:p>
        </w:tc>
        <w:tc>
          <w:tcPr>
            <w:tcW w:w="5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35</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10.40</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0.99</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0.0</w:t>
            </w:r>
          </w:p>
        </w:tc>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5"/>
              </w:rPr>
              <w:t>0.0</w:t>
            </w:r>
          </w:p>
        </w:tc>
      </w:tr>
      <w:tr>
        <w:trPr>
          <w:trHeight w:val="226"/>
        </w:trPr>
        <w:tc>
          <w:tcPr>
            <w:tcW w:w="26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(8.37, 13.15)</w:t>
            </w:r>
          </w:p>
        </w:tc>
        <w:tc>
          <w:tcPr>
            <w:tcW w:w="5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(8.15, 13.29)</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(0.88, 1.11)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(0.0, 10.0)</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(0.0, 10.0)</w:t>
            </w:r>
          </w:p>
        </w:tc>
      </w:tr>
    </w:tbl>
    <w:p>
      <w:pPr>
        <w:spacing w:after="0" w:line="200" w:lineRule="exact"/>
        <w:rPr>
          <w:sz w:val="20"/>
          <w:szCs w:val="20"/>
          <w:color w:val="auto"/>
        </w:rPr>
      </w:pPr>
    </w:p>
    <w:p>
      <w:pPr>
        <w:spacing w:after="0" w:line="213"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b w:val="1"/>
          <w:bCs w:val="1"/>
          <w:i w:val="1"/>
          <w:iCs w:val="1"/>
          <w:color w:val="auto"/>
        </w:rPr>
        <w:t xml:space="preserve">IgA Antibody Secreting Cells (ASCs). </w:t>
      </w:r>
      <w:r>
        <w:rPr>
          <w:rFonts w:ascii="Arial" w:cs="Arial" w:eastAsia="Arial" w:hAnsi="Arial"/>
          <w:sz w:val="16"/>
          <w:szCs w:val="16"/>
          <w:color w:val="auto"/>
        </w:rPr>
        <w:t>IgA ASCs were measured at baseline and 8 days following immunization in order to determine the B cell responses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vaccines. At 8 days following vaccination, subjects in the commercial inactivated influenza vaccine group had significantly higher mean numbers of spots per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PBMCs (p&lt;0.001, Wilcoxon test) and significantly higher percentages of subjects with greater than 8 spots per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PBMCs (p&lt;0.001, Fisher exact).</w:t>
      </w:r>
    </w:p>
    <w:p>
      <w:pPr>
        <w:spacing w:after="0" w:line="2"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At Day 8, the commercial inactivated influenza vaccine group had mean spots 286 per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PBMCs compared to mean spots of 116 per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PBMCs for the Vaxart tablet vaccine. Additionally, the commercial inactivated influenza vaccine group had a 96% response rate compared to 71% in the Vaxart tablet vaccine group. The table below summarizes these data.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9. </w:t>
      </w:r>
      <w:r>
        <w:rPr>
          <w:rFonts w:ascii="Arial" w:cs="Arial" w:eastAsia="Arial" w:hAnsi="Arial"/>
          <w:sz w:val="18"/>
          <w:szCs w:val="18"/>
          <w:color w:val="auto"/>
        </w:rPr>
        <w:t>ASC Response for IgA and IgG Assays by Study Day and Treatment Group – Vaccination Phase.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960" w:type="dxa"/>
            <w:vAlign w:val="bottom"/>
            <w:tcBorders>
              <w:top w:val="single" w:sz="8" w:color="auto"/>
              <w:left w:val="single" w:sz="8" w:color="auto"/>
              <w:bottom w:val="single" w:sz="8" w:color="auto"/>
              <w:right w:val="single" w:sz="8" w:color="CCEEFF"/>
            </w:tcBorders>
            <w:shd w:val="clear" w:color="auto" w:fill="CCEEFF"/>
          </w:tcPr>
          <w:p>
            <w:pPr>
              <w:spacing w:after="0"/>
              <w:rPr>
                <w:sz w:val="20"/>
                <w:szCs w:val="20"/>
                <w:color w:val="auto"/>
              </w:rPr>
            </w:pPr>
          </w:p>
        </w:tc>
        <w:tc>
          <w:tcPr>
            <w:tcW w:w="23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w w:val="89"/>
              </w:rPr>
              <w:t>Vaccination Phase</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r>
      <w:tr>
        <w:trPr>
          <w:trHeight w:val="209"/>
        </w:trPr>
        <w:tc>
          <w:tcPr>
            <w:tcW w:w="960" w:type="dxa"/>
            <w:vAlign w:val="bottom"/>
            <w:tcBorders>
              <w:left w:val="single" w:sz="8" w:color="auto"/>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8"/>
              </w:rPr>
              <w:t>Baseline (Pre-Dosing)</w:t>
            </w:r>
          </w:p>
        </w:tc>
        <w:tc>
          <w:tcPr>
            <w:tcW w:w="11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8"/>
              </w:rPr>
              <w:t>Day 8 (Post-Dosing)</w:t>
            </w:r>
          </w:p>
        </w:tc>
        <w:tc>
          <w:tcPr>
            <w:tcW w:w="1180" w:type="dxa"/>
            <w:vAlign w:val="bottom"/>
            <w:tcBorders>
              <w:bottom w:val="single" w:sz="8" w:color="auto"/>
              <w:right w:val="single" w:sz="8" w:color="auto"/>
            </w:tcBorders>
          </w:tcPr>
          <w:p>
            <w:pPr>
              <w:spacing w:after="0"/>
              <w:rPr>
                <w:sz w:val="18"/>
                <w:szCs w:val="18"/>
                <w:color w:val="auto"/>
              </w:rPr>
            </w:pPr>
          </w:p>
        </w:tc>
      </w:tr>
      <w:tr>
        <w:trPr>
          <w:trHeight w:val="190"/>
        </w:trPr>
        <w:tc>
          <w:tcPr>
            <w:tcW w:w="9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right w:val="single" w:sz="8" w:color="auto"/>
            </w:tcBorders>
          </w:tcPr>
          <w:p>
            <w:pPr>
              <w:jc w:val="center"/>
              <w:ind w:right="150"/>
              <w:spacing w:after="0" w:line="190" w:lineRule="exact"/>
              <w:rPr>
                <w:sz w:val="20"/>
                <w:szCs w:val="20"/>
                <w:color w:val="auto"/>
              </w:rPr>
            </w:pPr>
            <w:r>
              <w:rPr>
                <w:rFonts w:ascii="Arial" w:cs="Arial" w:eastAsia="Arial" w:hAnsi="Arial"/>
                <w:sz w:val="18"/>
                <w:szCs w:val="18"/>
                <w:b w:val="1"/>
                <w:bCs w:val="1"/>
                <w:color w:val="auto"/>
                <w:w w:val="90"/>
              </w:rPr>
              <w:t>At Least 8</w:t>
            </w:r>
          </w:p>
        </w:tc>
        <w:tc>
          <w:tcPr>
            <w:tcW w:w="6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right w:val="single" w:sz="8" w:color="auto"/>
            </w:tcBorders>
          </w:tcPr>
          <w:p>
            <w:pPr>
              <w:jc w:val="center"/>
              <w:ind w:right="110"/>
              <w:spacing w:after="0" w:line="190" w:lineRule="exact"/>
              <w:rPr>
                <w:sz w:val="20"/>
                <w:szCs w:val="20"/>
                <w:color w:val="auto"/>
              </w:rPr>
            </w:pPr>
            <w:r>
              <w:rPr>
                <w:rFonts w:ascii="Arial" w:cs="Arial" w:eastAsia="Arial" w:hAnsi="Arial"/>
                <w:sz w:val="18"/>
                <w:szCs w:val="18"/>
                <w:b w:val="1"/>
                <w:bCs w:val="1"/>
                <w:color w:val="auto"/>
                <w:w w:val="90"/>
              </w:rPr>
              <w:t>At Least 8</w:t>
            </w:r>
          </w:p>
        </w:tc>
      </w:tr>
      <w:tr>
        <w:trPr>
          <w:trHeight w:val="215"/>
        </w:trPr>
        <w:tc>
          <w:tcPr>
            <w:tcW w:w="96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color w:val="auto"/>
              </w:rPr>
              <w:t>Treatment</w:t>
            </w:r>
          </w:p>
        </w:tc>
        <w:tc>
          <w:tcPr>
            <w:tcW w:w="6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Median</w:t>
            </w:r>
          </w:p>
        </w:tc>
        <w:tc>
          <w:tcPr>
            <w:tcW w:w="220" w:type="dxa"/>
            <w:vAlign w:val="bottom"/>
          </w:tcPr>
          <w:p>
            <w:pPr>
              <w:spacing w:after="0"/>
              <w:rPr>
                <w:sz w:val="18"/>
                <w:szCs w:val="18"/>
                <w:color w:val="auto"/>
              </w:rPr>
            </w:pPr>
          </w:p>
        </w:tc>
        <w:tc>
          <w:tcPr>
            <w:tcW w:w="11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3"/>
              </w:rPr>
              <w:t>Spots</w:t>
            </w:r>
          </w:p>
        </w:tc>
        <w:tc>
          <w:tcPr>
            <w:tcW w:w="6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Median</w:t>
            </w: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Spots</w:t>
            </w:r>
          </w:p>
        </w:tc>
      </w:tr>
      <w:tr>
        <w:trPr>
          <w:trHeight w:val="234"/>
        </w:trPr>
        <w:tc>
          <w:tcPr>
            <w:tcW w:w="96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Assay</w:t>
            </w:r>
          </w:p>
        </w:tc>
        <w:tc>
          <w:tcPr>
            <w:tcW w:w="23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Group</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Mean</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[Range]</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n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w:t>
            </w:r>
          </w:p>
        </w:tc>
        <w:tc>
          <w:tcPr>
            <w:tcW w:w="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Mean</w:t>
            </w:r>
          </w:p>
        </w:tc>
        <w:tc>
          <w:tcPr>
            <w:tcW w:w="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[Range]</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n (%)</w:t>
            </w:r>
          </w:p>
        </w:tc>
      </w:tr>
      <w:tr>
        <w:trPr>
          <w:trHeight w:val="194"/>
        </w:trPr>
        <w:tc>
          <w:tcPr>
            <w:tcW w:w="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IgA</w:t>
            </w:r>
          </w:p>
        </w:tc>
        <w:tc>
          <w:tcPr>
            <w:tcW w:w="23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Vaxart Tablet</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w:t>
            </w:r>
          </w:p>
        </w:tc>
        <w:tc>
          <w:tcPr>
            <w:tcW w:w="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2.0</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0.0 [0, 18]</w:t>
            </w:r>
          </w:p>
        </w:tc>
        <w:tc>
          <w:tcPr>
            <w:tcW w:w="220" w:type="dxa"/>
            <w:vAlign w:val="bottom"/>
          </w:tcPr>
          <w:p>
            <w:pPr>
              <w:spacing w:after="0"/>
              <w:rPr>
                <w:sz w:val="16"/>
                <w:szCs w:val="16"/>
                <w:color w:val="auto"/>
              </w:rPr>
            </w:pPr>
          </w:p>
        </w:tc>
        <w:tc>
          <w:tcPr>
            <w:tcW w:w="1140" w:type="dxa"/>
            <w:vAlign w:val="bottom"/>
            <w:tcBorders>
              <w:right w:val="single" w:sz="8" w:color="auto"/>
            </w:tcBorders>
          </w:tcPr>
          <w:p>
            <w:pPr>
              <w:jc w:val="center"/>
              <w:ind w:right="130"/>
              <w:spacing w:after="0" w:line="195" w:lineRule="exact"/>
              <w:rPr>
                <w:sz w:val="20"/>
                <w:szCs w:val="20"/>
                <w:color w:val="auto"/>
              </w:rPr>
            </w:pPr>
            <w:r>
              <w:rPr>
                <w:rFonts w:ascii="Arial" w:cs="Arial" w:eastAsia="Arial" w:hAnsi="Arial"/>
                <w:sz w:val="18"/>
                <w:szCs w:val="18"/>
                <w:color w:val="auto"/>
                <w:w w:val="92"/>
              </w:rPr>
              <w:t>6 (8.6)</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w:t>
            </w:r>
          </w:p>
        </w:tc>
        <w:tc>
          <w:tcPr>
            <w:tcW w:w="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88"/>
              </w:rPr>
              <w:t>116.0</w:t>
            </w: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32.0</w:t>
            </w:r>
          </w:p>
        </w:tc>
        <w:tc>
          <w:tcPr>
            <w:tcW w:w="180" w:type="dxa"/>
            <w:vAlign w:val="bottom"/>
          </w:tcPr>
          <w:p>
            <w:pPr>
              <w:spacing w:after="0"/>
              <w:rPr>
                <w:sz w:val="16"/>
                <w:szCs w:val="16"/>
                <w:color w:val="auto"/>
              </w:rPr>
            </w:pPr>
          </w:p>
        </w:tc>
        <w:tc>
          <w:tcPr>
            <w:tcW w:w="1180" w:type="dxa"/>
            <w:vAlign w:val="bottom"/>
            <w:tcBorders>
              <w:right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91"/>
              </w:rPr>
              <w:t>50 (71.4)</w:t>
            </w:r>
          </w:p>
        </w:tc>
      </w:tr>
      <w:tr>
        <w:trPr>
          <w:trHeight w:val="230"/>
        </w:trPr>
        <w:tc>
          <w:tcPr>
            <w:tcW w:w="960" w:type="dxa"/>
            <w:vAlign w:val="bottom"/>
            <w:tcBorders>
              <w:left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Vaccine</w:t>
            </w: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[0, 3251]</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194"/>
        </w:trPr>
        <w:tc>
          <w:tcPr>
            <w:tcW w:w="9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Commercial Inactivated</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71</w:t>
            </w:r>
          </w:p>
        </w:tc>
        <w:tc>
          <w:tcPr>
            <w:tcW w:w="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1.5</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0.0 [0, 13]</w:t>
            </w:r>
          </w:p>
        </w:tc>
        <w:tc>
          <w:tcPr>
            <w:tcW w:w="220" w:type="dxa"/>
            <w:vAlign w:val="bottom"/>
          </w:tcPr>
          <w:p>
            <w:pPr>
              <w:spacing w:after="0"/>
              <w:rPr>
                <w:sz w:val="16"/>
                <w:szCs w:val="16"/>
                <w:color w:val="auto"/>
              </w:rPr>
            </w:pPr>
          </w:p>
        </w:tc>
        <w:tc>
          <w:tcPr>
            <w:tcW w:w="1140" w:type="dxa"/>
            <w:vAlign w:val="bottom"/>
            <w:tcBorders>
              <w:right w:val="single" w:sz="8" w:color="auto"/>
            </w:tcBorders>
          </w:tcPr>
          <w:p>
            <w:pPr>
              <w:jc w:val="center"/>
              <w:ind w:right="130"/>
              <w:spacing w:after="0" w:line="195" w:lineRule="exact"/>
              <w:rPr>
                <w:sz w:val="20"/>
                <w:szCs w:val="20"/>
                <w:color w:val="auto"/>
              </w:rPr>
            </w:pPr>
            <w:r>
              <w:rPr>
                <w:rFonts w:ascii="Arial" w:cs="Arial" w:eastAsia="Arial" w:hAnsi="Arial"/>
                <w:sz w:val="18"/>
                <w:szCs w:val="18"/>
                <w:color w:val="auto"/>
                <w:w w:val="90"/>
              </w:rPr>
              <w:t>8 (11.3)</w:t>
            </w:r>
          </w:p>
        </w:tc>
        <w:tc>
          <w:tcPr>
            <w:tcW w:w="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71</w:t>
            </w:r>
          </w:p>
        </w:tc>
        <w:tc>
          <w:tcPr>
            <w:tcW w:w="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88"/>
              </w:rPr>
              <w:t>286.4</w:t>
            </w: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153.0</w:t>
            </w:r>
          </w:p>
        </w:tc>
        <w:tc>
          <w:tcPr>
            <w:tcW w:w="180" w:type="dxa"/>
            <w:vAlign w:val="bottom"/>
          </w:tcPr>
          <w:p>
            <w:pPr>
              <w:spacing w:after="0"/>
              <w:rPr>
                <w:sz w:val="16"/>
                <w:szCs w:val="16"/>
                <w:color w:val="auto"/>
              </w:rPr>
            </w:pPr>
          </w:p>
        </w:tc>
        <w:tc>
          <w:tcPr>
            <w:tcW w:w="1180" w:type="dxa"/>
            <w:vAlign w:val="bottom"/>
            <w:tcBorders>
              <w:right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91"/>
              </w:rPr>
              <w:t>68 (95.8)</w:t>
            </w:r>
          </w:p>
        </w:tc>
      </w:tr>
      <w:tr>
        <w:trPr>
          <w:trHeight w:val="230"/>
        </w:trPr>
        <w:tc>
          <w:tcPr>
            <w:tcW w:w="960" w:type="dxa"/>
            <w:vAlign w:val="bottom"/>
            <w:tcBorders>
              <w:left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Influenza Vaccine</w:t>
            </w: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[3, 1753]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r>
        <w:trPr>
          <w:trHeight w:val="206"/>
        </w:trPr>
        <w:tc>
          <w:tcPr>
            <w:tcW w:w="96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Placebo</w:t>
            </w:r>
          </w:p>
        </w:tc>
        <w:tc>
          <w:tcPr>
            <w:tcW w:w="68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9"/>
              </w:rPr>
              <w:t>36</w:t>
            </w:r>
          </w:p>
        </w:tc>
        <w:tc>
          <w:tcPr>
            <w:tcW w:w="70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7"/>
              </w:rPr>
              <w:t>2.8</w:t>
            </w:r>
          </w:p>
        </w:tc>
        <w:tc>
          <w:tcPr>
            <w:tcW w:w="134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94"/>
              </w:rPr>
              <w:t>0.0 [0, 26]</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ind w:right="130"/>
              <w:spacing w:after="0" w:line="206" w:lineRule="exact"/>
              <w:rPr>
                <w:sz w:val="20"/>
                <w:szCs w:val="20"/>
                <w:color w:val="auto"/>
              </w:rPr>
            </w:pPr>
            <w:r>
              <w:rPr>
                <w:rFonts w:ascii="Arial" w:cs="Arial" w:eastAsia="Arial" w:hAnsi="Arial"/>
                <w:sz w:val="18"/>
                <w:szCs w:val="18"/>
                <w:color w:val="auto"/>
                <w:w w:val="90"/>
              </w:rPr>
              <w:t>6 (16.7)</w:t>
            </w:r>
          </w:p>
        </w:tc>
        <w:tc>
          <w:tcPr>
            <w:tcW w:w="68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89"/>
              </w:rPr>
              <w:t>36</w:t>
            </w: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91"/>
              </w:rPr>
              <w:t>16.3</w:t>
            </w:r>
          </w:p>
        </w:tc>
        <w:tc>
          <w:tcPr>
            <w:tcW w:w="1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color w:val="auto"/>
                <w:w w:val="93"/>
              </w:rPr>
              <w:t>1.0 [0, 256]</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ind w:right="110"/>
              <w:spacing w:after="0" w:line="206" w:lineRule="exact"/>
              <w:rPr>
                <w:sz w:val="20"/>
                <w:szCs w:val="20"/>
                <w:color w:val="auto"/>
              </w:rPr>
            </w:pPr>
            <w:r>
              <w:rPr>
                <w:rFonts w:ascii="Arial" w:cs="Arial" w:eastAsia="Arial" w:hAnsi="Arial"/>
                <w:sz w:val="18"/>
                <w:szCs w:val="18"/>
                <w:color w:val="auto"/>
                <w:w w:val="93"/>
              </w:rPr>
              <w:t>8 (22.2)</w:t>
            </w:r>
          </w:p>
        </w:tc>
      </w:tr>
    </w:tbl>
    <w:p>
      <w:pPr>
        <w:spacing w:after="0" w:line="200" w:lineRule="exact"/>
        <w:rPr>
          <w:sz w:val="20"/>
          <w:szCs w:val="20"/>
          <w:color w:val="auto"/>
        </w:rPr>
      </w:pP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i w:val="1"/>
          <w:iCs w:val="1"/>
          <w:color w:val="auto"/>
        </w:rPr>
        <w:t xml:space="preserve">Correlation of IgA ASCs with Illness for the Vaxart Tablet Vaccine. </w:t>
      </w:r>
      <w:r>
        <w:rPr>
          <w:rFonts w:ascii="Arial" w:cs="Arial" w:eastAsia="Arial" w:hAnsi="Arial"/>
          <w:sz w:val="16"/>
          <w:szCs w:val="16"/>
          <w:color w:val="auto"/>
        </w:rPr>
        <w:t>As stated above the absolute mean number of ASCs was higher for the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inactivated influenza vaccine group (286 spots per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cells) than for the Vaxart tablet vaccine (116 spots per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cells). However, when a comparison is made between the two vaccines of the ratio of IgA ASCs in volunteers that were not ill divided by volunteers that were ill following challenge, the Vaxart tablet vaccine group has a ratio of 4.7 and the commercial inactivated influenza vaccine group has a ratio of 1.4. As shown in the graphs below, there was correlation between higher IgA ASCs and not becoming ill after influenza challenge for the Vaxart tablet vaccine, but not for the commercial inactivated influenza vaccine (p=0.0231 for Vaxart vaccine, p=0.3374 in a logistic fit model). The graph on the left shows that for the Vaxart vaccine there is a significant correlation with IgA ASC number and illness, while the graph on the right shows that no correlation exists for the commercial inactivated influenza vaccine.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4" w:name="page175"/>
    <w:bookmarkEnd w:id="17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16. </w:t>
      </w:r>
      <w:r>
        <w:rPr>
          <w:rFonts w:ascii="Arial" w:cs="Arial" w:eastAsia="Arial" w:hAnsi="Arial"/>
          <w:sz w:val="18"/>
          <w:szCs w:val="18"/>
          <w:color w:val="auto"/>
        </w:rPr>
        <w:t>IgA ASCs Correlate with Illness for Vaxart Tablet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469765" cy="2426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4697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i w:val="1"/>
          <w:iCs w:val="1"/>
          <w:color w:val="auto"/>
        </w:rPr>
        <w:t>Logistic regression analysis demonstrates a statistically significant fit for the Vaxart Tablet Vaccine for IgA ASCs and illness. The correlation between higher ASCs and a lower rate of illness is observed. The same correlation is not observed with the commercial inactivated vaccine.</w:t>
      </w:r>
    </w:p>
    <w:p>
      <w:pPr>
        <w:spacing w:after="0" w:line="170" w:lineRule="exact"/>
        <w:rPr>
          <w:sz w:val="20"/>
          <w:szCs w:val="20"/>
          <w:color w:val="auto"/>
        </w:rPr>
      </w:pPr>
    </w:p>
    <w:p>
      <w:pPr>
        <w:ind w:right="580"/>
        <w:spacing w:after="0" w:line="340" w:lineRule="auto"/>
        <w:rPr>
          <w:sz w:val="20"/>
          <w:szCs w:val="20"/>
          <w:color w:val="auto"/>
        </w:rPr>
      </w:pPr>
      <w:r>
        <w:rPr>
          <w:rFonts w:ascii="Arial" w:cs="Arial" w:eastAsia="Arial" w:hAnsi="Arial"/>
          <w:sz w:val="16"/>
          <w:szCs w:val="16"/>
          <w:color w:val="auto"/>
        </w:rPr>
        <w:t>This work was funded in whole or in part with Federal funds from the Department of Health and Human Services; Office of the Assistant Secretary for Preparedness and Response; Biomedical Advanced Research and Development Authority, under Contract No. HHSO100201500034C.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22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Vaxart has completed several animal challenge studies for influenza. In an H1N1 influenza challenge study, mice immunized orally with its tablet vaccine candidate were protected against sickness and death compared to unimmunized, control animals. Similarly, its oral H5N1 vaccine candidate protected ferrets and mice against a lethal avian influenza challenge compared to unimmunized animals when the vaccine construct expressed an avian influenza HA construct.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Protection of Vaxart Quadrivalent Seasonal Flu Vaccine against Avian Flu in Ferret Challenge Model</w:t>
      </w:r>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 more recent ferret challenge experiment was completed in 2017 to compare an oral quadrivalent vaccine designed by Vaxart with the commercial vaccine Fluzone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protection against a virulent avian influenza strain. There are no components of seasonal influenza vaccines that are matched to the HA made by avian influenza virus, so the virus represents a severe case of vaccine mismatched to virus. Vaxart’s quadrivalent vaccine was made by mixing four recombinant adenoviruses, each expressing a different HA that matches the HAs in the commercial vaccine, not the HA of the challenge. Two different doses were evaluated; the high dose was used at 1:10 of a Vaxart human dose (Vaxart Quad) and the low dose (Vaxart Quad Low) was used at 1:100 of the human</w:t>
      </w:r>
    </w:p>
    <w:p>
      <w:pPr>
        <w:spacing w:after="0" w:line="2" w:lineRule="exact"/>
        <w:rPr>
          <w:sz w:val="20"/>
          <w:szCs w:val="20"/>
          <w:color w:val="auto"/>
        </w:rPr>
      </w:pPr>
    </w:p>
    <w:p>
      <w:pPr>
        <w:ind w:right="100"/>
        <w:spacing w:after="0" w:line="223" w:lineRule="auto"/>
        <w:rPr>
          <w:sz w:val="20"/>
          <w:szCs w:val="20"/>
          <w:color w:val="auto"/>
        </w:rPr>
      </w:pPr>
      <w:r>
        <w:rPr>
          <w:rFonts w:ascii="Arial" w:cs="Arial" w:eastAsia="Arial" w:hAnsi="Arial"/>
          <w:sz w:val="16"/>
          <w:szCs w:val="16"/>
          <w:color w:val="auto"/>
        </w:rPr>
        <w:t>dose. The Fluzone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group (QIV) was given at 1:10 of the human dose to directly compare to the Vaxart quadrivalent high dose group. Vaxart animals and the negative control (PBS) animals were given vaccine delivered by endoscope. The QIV animals were intramuscularly injected. Animals were vaccinated on days 0 and 28. Animals were challenged on day 56 with approximately 10</w:t>
      </w:r>
      <w:r>
        <w:rPr>
          <w:rFonts w:ascii="Arial" w:cs="Arial" w:eastAsia="Arial" w:hAnsi="Arial"/>
          <w:sz w:val="26"/>
          <w:szCs w:val="26"/>
          <w:color w:val="auto"/>
          <w:vertAlign w:val="superscript"/>
        </w:rPr>
        <w:t>2.69</w:t>
      </w:r>
      <w:r>
        <w:rPr>
          <w:rFonts w:ascii="Arial" w:cs="Arial" w:eastAsia="Arial" w:hAnsi="Arial"/>
          <w:sz w:val="16"/>
          <w:szCs w:val="16"/>
          <w:color w:val="auto"/>
        </w:rPr>
        <w:t xml:space="preserve"> TCID50/mL of wild type A/Vietnam/1203/2004 (A/VN). Results show that the</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Vaxart quadrivalent vaccines were able to protect against mismatched A/VN, trending better than Fluzone</w:t>
      </w:r>
      <w:r>
        <w:rPr>
          <w:rFonts w:ascii="Arial" w:cs="Arial" w:eastAsia="Arial" w:hAnsi="Arial"/>
          <w:sz w:val="29"/>
          <w:szCs w:val="29"/>
          <w:color w:val="auto"/>
          <w:vertAlign w:val="superscript"/>
        </w:rPr>
        <w:t>®</w:t>
      </w:r>
      <w:r>
        <w:rPr>
          <w:rFonts w:ascii="Arial" w:cs="Arial" w:eastAsia="Arial" w:hAnsi="Arial"/>
          <w:sz w:val="18"/>
          <w:szCs w:val="18"/>
          <w:color w:val="auto"/>
        </w:rPr>
        <w:t>. The high dose group was able to protect all ferrets against death whereas the low dose Vaxart group protected 75% of ferrets.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17. </w:t>
      </w:r>
      <w:r>
        <w:rPr>
          <w:rFonts w:ascii="Arial" w:cs="Arial" w:eastAsia="Arial" w:hAnsi="Arial"/>
          <w:sz w:val="18"/>
          <w:szCs w:val="18"/>
          <w:color w:val="auto"/>
        </w:rPr>
        <w:t>Survival in ferrets vaccinated with seasonal influenza and challenged with H5N1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709035" cy="21539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09035" cy="215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i w:val="1"/>
          <w:iCs w:val="1"/>
          <w:color w:val="auto"/>
        </w:rPr>
        <w:t>The percent survival was measured for each group at each time point. The Vaxart Quad vaccine group were 100% protected against mismatched avian influenza over the 14 days that survival was assessed. The other groups were not as well protected.</w:t>
      </w:r>
    </w:p>
    <w:p>
      <w:pPr>
        <w:spacing w:after="0" w:line="170" w:lineRule="exact"/>
        <w:rPr>
          <w:sz w:val="20"/>
          <w:szCs w:val="20"/>
          <w:color w:val="auto"/>
        </w:rPr>
      </w:pPr>
    </w:p>
    <w:p>
      <w:pPr>
        <w:ind w:right="560"/>
        <w:spacing w:after="0" w:line="340" w:lineRule="auto"/>
        <w:rPr>
          <w:sz w:val="20"/>
          <w:szCs w:val="20"/>
          <w:color w:val="auto"/>
        </w:rPr>
      </w:pPr>
      <w:r>
        <w:rPr>
          <w:rFonts w:ascii="Arial" w:cs="Arial" w:eastAsia="Arial" w:hAnsi="Arial"/>
          <w:sz w:val="16"/>
          <w:szCs w:val="16"/>
          <w:color w:val="auto"/>
        </w:rPr>
        <w:t>This work was funded in whole or in part with Federal funds from the Department of Health and Human Services; Office of the Assistant Secretary for Preparedness and Response; Biomedical Advanced Research and Development Authority, under Contract No. HHSO100201500034C.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Influenza Clinical Development Strategy and Pathway</w:t>
      </w:r>
    </w:p>
    <w:p>
      <w:pPr>
        <w:spacing w:after="0" w:line="224"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color w:val="auto"/>
        </w:rPr>
        <w:t>Vaxart aims to partner and/or to obtain funding from the U.S. Government to finance the development and commercialization of its seasonal quadrivalent influenza oral tablet vaccine. In the future, it may also consider equity offerings and/or debt financings to fund the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Respiratory Synctial Virus (RSV) Program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RSV is a major respiratory pathogen with a significant burden of disease in the very young and in the elderly. In healthy adults, RSV infections are generally mild to moderate and are more severe in infants and young children as well as adults over the age of 65. Globally, RSV is a common cause of childhood respiratory infection, with a disease burden of 64 million cases and approximately 160,000 deaths annually. RSV is a leading cause of lower respiratory tract infection in infants and young children and is a major cause in the elderly and immune-compromised patients where it can have devastating effects, including morbidity and mortality. It is estimated to infect 5-10% of nursing home residents per year, with rates of pneumonia of 10-20% and death of 2-5%. In the United States, RSV infections result in 177,000 hospitalizations and 14,000 deaths among adults over 65 years. While there is no approved vaccine, there is an approved prophylactic monoclonal antibody, Palivizumab, for disease prevention in high-risk infants.</w:t>
      </w:r>
    </w:p>
    <w:p>
      <w:pPr>
        <w:spacing w:after="0" w:line="1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While mild infections can be overcome without treatment, more severe cases are treated with oxygen, humidified air, and fluids administered intravenously. In extreme cases, a ventilator may be necessary to assist the patient in breathing. Since there are no RSV-targeted treatments on the market, Vaxart believes an RSV vaccine has the potential to protect millions of people from this far-reaching unmet medical need.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RSV Vaccine Candidate</w:t>
      </w:r>
    </w:p>
    <w:p>
      <w:pPr>
        <w:spacing w:after="0" w:line="22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There are two RSV genotypes that cause respiratory tract infection in humans, RSV-A and RSV-B. Vaxart has evaluated a monovalent RSV vaccine candidate based on the RSV-A fusion protein, or F protein, which is a relatively conserved component of both RSV genotypes and is the putative target of a licensed product, palivizumab, a monoclonal antibody for prevention and treatment of serious low respiratory tract disease caused by RSV in neonates. Further, several recently published third-party studies with F protein-based vaccines have shown protection in preclinical challenge models. The Vaxart vaccine, an F protein-based vaccine, or Ad–RSVf, delivered with the Vaxart Ad5 oral vector system, is designed to cross-protect against both currently circulating strains.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6" w:name="page177"/>
    <w:bookmarkEnd w:id="17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2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Vaxart evaluated its rAd-RSVf vaccine in mice and found its vaccine to be immunogenic. As a next step, Vaxart decided to proceed to the cotton rat challenge model, the animal model of choice for RSV. Cotton rats were immunized twice by several routes intranasal (IN), intramuscular (IM), and orally. Four weeks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after the last immunization, cotton rats were exposed to wild-type RSV (1x10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pfu) by intranasal administration. Five days later, the lungs and nose tissues from the respiratory tract were harvested and analyzed for the presence of wild-type, replicating RSV. As shown below (see upper left and bottom), cotton rats given rAd-RSVf vaccine via IN, IM or orally or naturally-infected wild-type RSV were protected against infection, and had no detectable amounts of RSV in their lungs or nasal cavities. In contrast, cotton rats given an empty vector rAd-Adj or FI-RSV intranasally were not protected from RSV, as replicating virus was still detected in the lung and nose tissue. Furthermore, enhanced lung inflammation associated with FI-RSV administration was measured by interstitial pneumonia (IP) and alveolitis (A). As expected, cotton rats immunized with FI-RSV had higher levels of inflammation, whereas cotton rats immunized with its rAd-RSFf or wild-type RSV showed lower amounts of lung inflammation (see upper, right). These results show the ability of rAd-RSFf to protect against RSV via multiple routes, without enhanced lung pathology.</w:t>
      </w:r>
    </w:p>
    <w:p>
      <w:pPr>
        <w:spacing w:after="0" w:line="19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 xml:space="preserve">Fig. 18. </w:t>
      </w:r>
      <w:r>
        <w:rPr>
          <w:rFonts w:ascii="Arial" w:cs="Arial" w:eastAsia="Arial" w:hAnsi="Arial"/>
          <w:sz w:val="18"/>
          <w:szCs w:val="18"/>
          <w:color w:val="auto"/>
        </w:rPr>
        <w:t>Protection Against RSV Infection in Cotton Rats Following rAd</w:t>
      </w:r>
      <w:r>
        <w:rPr>
          <w:sz w:val="20"/>
          <w:szCs w:val="20"/>
          <w:color w:val="auto"/>
        </w:rPr>
        <w:tab/>
      </w:r>
      <w:r>
        <w:rPr>
          <w:rFonts w:ascii="Arial" w:cs="Arial" w:eastAsia="Arial" w:hAnsi="Arial"/>
          <w:sz w:val="16"/>
          <w:szCs w:val="16"/>
          <w:b w:val="1"/>
          <w:bCs w:val="1"/>
          <w:color w:val="auto"/>
        </w:rPr>
        <w:t xml:space="preserve">Fig. 19. </w:t>
      </w:r>
      <w:r>
        <w:rPr>
          <w:rFonts w:ascii="Arial" w:cs="Arial" w:eastAsia="Arial" w:hAnsi="Arial"/>
          <w:sz w:val="16"/>
          <w:szCs w:val="16"/>
          <w:color w:val="auto"/>
        </w:rPr>
        <w:t>Lung Inflammation.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435090" cy="1683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35090" cy="168338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The ability of the different vaccine groups to protect against subsequent intranasal RSV infection was assessed by measuring RSV replication in the lung and the nasal cavity of cotton rats 5 days post challenge. Levels of replicating RSV in the respiratory tract were undetectable in all vaccine-administered animals.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Interstitial Pneumonitis and Alvelotitis of vaccinated animals were scored as surrogates for lung inflammation in all animal groups. FI-RSV-treated animals showed higher inflammation scored when compared to any of the rAd-RSVf vaccine groups.</w:t>
      </w:r>
    </w:p>
    <w:p>
      <w:pPr>
        <w:spacing w:after="0" w:line="397" w:lineRule="exact"/>
        <w:rPr>
          <w:sz w:val="20"/>
          <w:szCs w:val="20"/>
          <w:color w:val="auto"/>
        </w:rPr>
      </w:pPr>
    </w:p>
    <w:p>
      <w:pPr>
        <w:sectPr>
          <w:pgSz w:w="11900" w:h="16838" w:orient="portrait"/>
          <w:cols w:equalWidth="0" w:num="2">
            <w:col w:w="5400" w:space="420"/>
            <w:col w:w="5580"/>
          </w:cols>
          <w:pgMar w:left="240" w:top="118"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 xml:space="preserve">Fig. 20. </w:t>
      </w:r>
      <w:r>
        <w:rPr>
          <w:rFonts w:ascii="Arial" w:cs="Arial" w:eastAsia="Arial" w:hAnsi="Arial"/>
          <w:sz w:val="18"/>
          <w:szCs w:val="18"/>
          <w:color w:val="auto"/>
        </w:rPr>
        <w:t>Oral Immunization Induces Protection Against RSV Infection in Cotton 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580640" cy="16236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8064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Oral immunization of Ad-RSVF was also able to induce sterilizing immunity against subsequent intranasal RSV challenge at the higher doses of vaccine given, especially in the lower respiratory tract of vaccinated cotton rats.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RSV Clinical Experience</w:t>
      </w:r>
    </w:p>
    <w:p>
      <w:pPr>
        <w:spacing w:after="0" w:line="22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Vaxart has conducted a randomized, double-blind, placebo-controlled Phase 1 trial with its F-protein based oral tablet vaccine in 66 subjects, testing the safety and immunogenicity. The vaccine was given as a single dose.</w:t>
      </w:r>
    </w:p>
    <w:p>
      <w:pPr>
        <w:sectPr>
          <w:pgSz w:w="11900" w:h="16838" w:orient="portrait"/>
          <w:cols w:equalWidth="0" w:num="1">
            <w:col w:w="11400"/>
          </w:cols>
          <w:pgMar w:left="240" w:top="118" w:right="25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77" w:name="page178"/>
    <w:bookmarkEnd w:id="17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vaccine was well-tolerated. Fifty percent of the volunteers in the placebo group experienced solicited AEs, while 43.5% of the Vaxart RSV F-protein vaccine had solicited AEs in the first seven days following vaccine administration. The most common solicited AEs in the placebo group were abdominal pain and headache (25% each). The most common AE in the Vaxart RSV F-protein vaccine groups was headache in the low dose and high dose groups (13 and 52.2%, respectively). No volunteers experienced vaccine-related SAEs.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Immunogenicity</w:t>
      </w:r>
    </w:p>
    <w:p>
      <w:pPr>
        <w:spacing w:after="0" w:line="224"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i w:val="1"/>
          <w:iCs w:val="1"/>
          <w:color w:val="auto"/>
        </w:rPr>
        <w:t>Plaque Reduction Neutralization (PRNT) Assay</w:t>
      </w:r>
      <w:r>
        <w:rPr>
          <w:rFonts w:ascii="Arial" w:cs="Arial" w:eastAsia="Arial" w:hAnsi="Arial"/>
          <w:sz w:val="18"/>
          <w:szCs w:val="18"/>
          <w:color w:val="auto"/>
        </w:rPr>
        <w:t>. The ability to make neutralizing antibodies was assessed by a qualified PRNT assay. Low dose subjects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responded better than high dose subjects with a GMFR of 1.2 between day 0 and day 28. Placebo-treated subjects had a high background. Overall no major induction of neutralizing antibodies in serum by rAd-RSVf was observed.</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i w:val="1"/>
          <w:iCs w:val="1"/>
          <w:color w:val="auto"/>
        </w:rPr>
        <w:t xml:space="preserve">ASCs. </w:t>
      </w:r>
      <w:r>
        <w:rPr>
          <w:rFonts w:ascii="Arial" w:cs="Arial" w:eastAsia="Arial" w:hAnsi="Arial"/>
          <w:sz w:val="17"/>
          <w:szCs w:val="17"/>
          <w:color w:val="auto"/>
        </w:rPr>
        <w:t>In order to measure total antibody responses to RSV F protein, the numbers of circulating B cells in peripheral blood were measured by ASC assay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0 and 7 after immunization. RAd-RSVf at both high and low dose induces significantly higher numbers of antigen-specific IgG- and IgA-secreting ASCs when compared with placebo-treated subjects. IgA might be important for protection against infection by a mucosal pathogen like RSV.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21. </w:t>
      </w:r>
      <w:r>
        <w:rPr>
          <w:rFonts w:ascii="Arial" w:cs="Arial" w:eastAsia="Arial" w:hAnsi="Arial"/>
          <w:sz w:val="18"/>
          <w:szCs w:val="18"/>
          <w:color w:val="auto"/>
        </w:rPr>
        <w:t>IgG and IgA ASC after a single dose of Vaxart RSV Tablet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4914265" cy="1948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14265" cy="194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i w:val="1"/>
          <w:iCs w:val="1"/>
          <w:color w:val="auto"/>
        </w:rPr>
        <w:t>A. IgG Counts were stastically significant at both low and high doses on day 7 compared to the placebo group. B. IgA counts were statistically significant at both low and high doses on day 7 compared to the placebo group.</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Plasmablast Cultures. </w:t>
      </w:r>
      <w:r>
        <w:rPr>
          <w:rFonts w:ascii="Arial" w:cs="Arial" w:eastAsia="Arial" w:hAnsi="Arial"/>
          <w:sz w:val="18"/>
          <w:szCs w:val="18"/>
          <w:color w:val="auto"/>
        </w:rPr>
        <w:t>Pre-existing antibody titers against RSV are common in the overall population because of previous exposure to the virus. 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responses exclusively due to vaccination can be studied by isolating activated B cells (plasmablasts) from the PBMCs of immunized subjects and analyzing them for antigen-specific responses by ELISA. Plasmablasts are highly enriched for vaccine-specific B cells and, therefore, negligible in pre-vaccination, day 0 samples. PBMCs were collected at day 0 and day 7, enriched for plasmablasts and analyzed in ELISAs against either the preFusion or the postFusion version of the F protein antigen. Fold changes are presented below. High levels of IgG and IgA against the F protein were secreted by B cells from vaccinated subjects. Very little/undetectable levels were detected in the placebo. There were statically significant increases in the preFusion F antibodies in the immunized subjects compared to placebo.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spacing w:after="0"/>
        <w:rPr>
          <w:rFonts w:ascii="Arial" w:cs="Arial" w:eastAsia="Arial" w:hAnsi="Arial"/>
          <w:sz w:val="19"/>
          <w:szCs w:val="19"/>
          <w:u w:val="single" w:color="auto"/>
          <w:color w:val="0000EE"/>
        </w:rPr>
      </w:pPr>
      <w:hyperlink w:anchor="page8">
        <w:r>
          <w:rPr>
            <w:rFonts w:ascii="Arial" w:cs="Arial" w:eastAsia="Arial" w:hAnsi="Arial"/>
            <w:sz w:val="19"/>
            <w:szCs w:val="19"/>
            <w:u w:val="single" w:color="auto"/>
            <w:color w:val="0000EE"/>
          </w:rPr>
          <w:t>Table of Contents</w:t>
        </w:r>
      </w:hyperlink>
    </w:p>
    <w:p>
      <w:pPr>
        <w:sectPr>
          <w:pgSz w:w="11900" w:h="16838" w:orient="portrait"/>
          <w:cols w:equalWidth="0" w:num="1">
            <w:col w:w="11400"/>
          </w:cols>
          <w:pgMar w:left="240" w:top="118" w:right="25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22. </w:t>
      </w:r>
      <w:r>
        <w:rPr>
          <w:rFonts w:ascii="Arial" w:cs="Arial" w:eastAsia="Arial" w:hAnsi="Arial"/>
          <w:sz w:val="18"/>
          <w:szCs w:val="18"/>
          <w:color w:val="auto"/>
        </w:rPr>
        <w:t>Plasmablast Culture ELISA IgG Fold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332990" cy="2179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32990" cy="217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Fold Changes </w:t>
      </w:r>
      <w:r>
        <w:rPr>
          <w:rFonts w:ascii="Arial" w:cs="Arial" w:eastAsia="Arial" w:hAnsi="Arial"/>
          <w:sz w:val="17"/>
          <w:szCs w:val="17"/>
          <w:color w:val="auto"/>
        </w:rPr>
        <w:t>in IgG</w:t>
      </w:r>
      <w:r>
        <w:rPr>
          <w:rFonts w:ascii="Arial" w:cs="Arial" w:eastAsia="Arial" w:hAnsi="Arial"/>
          <w:sz w:val="17"/>
          <w:szCs w:val="17"/>
          <w:i w:val="1"/>
          <w:iCs w:val="1"/>
          <w:color w:val="auto"/>
        </w:rPr>
        <w:t xml:space="preserve"> Antibodies after a single dose of Vaxart rAd-RSVf vaccine in humans. PBMCs were collected from vaccinated or placebo-treated subjects on day 0 and day 7 after vaccination, enriched for plasmablasts and analyzed for their ability to secrete F antigen-specific Igs. As compared to placebo-administered subjects, vaccinated subjects showed a s</w:t>
      </w:r>
      <w:r>
        <w:rPr>
          <w:rFonts w:ascii="Arial" w:cs="Arial" w:eastAsia="Arial" w:hAnsi="Arial"/>
          <w:sz w:val="17"/>
          <w:szCs w:val="17"/>
          <w:color w:val="auto"/>
        </w:rPr>
        <w:t>ignificant IgG</w:t>
      </w:r>
      <w:r>
        <w:rPr>
          <w:rFonts w:ascii="Arial" w:cs="Arial" w:eastAsia="Arial" w:hAnsi="Arial"/>
          <w:sz w:val="17"/>
          <w:szCs w:val="17"/>
          <w:i w:val="1"/>
          <w:iCs w:val="1"/>
          <w:color w:val="auto"/>
        </w:rPr>
        <w:t xml:space="preserve"> increase on day 7 post-vaccination, using either a preFusion F protein or the postFusion F protein as the coating antigen.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Fig.23. </w:t>
      </w:r>
      <w:r>
        <w:rPr>
          <w:rFonts w:ascii="Arial" w:cs="Arial" w:eastAsia="Arial" w:hAnsi="Arial"/>
          <w:sz w:val="18"/>
          <w:szCs w:val="18"/>
          <w:color w:val="auto"/>
        </w:rPr>
        <w:t>Plasmablast Culture ELISA IgG Fold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2256155" cy="2127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5615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Fold Changes in IgA Antibodies after a single dose of Vaxart rAd-RSVf vaccine in humans. PBMCs were collected from vaccinated or placebo-treated subjects on day 0 and day 7 after vaccination, enriched for plasmablasts and analyzed for their ability to secrete F antigen-specific Igs. As compared to placebo-administered subjects, vaccinated subjects showed a significant IgA increase on day 7 post-vaccination, using either a preFusion F protein or the postFusion F protein as the coating antigen.</w:t>
      </w:r>
    </w:p>
    <w:p>
      <w:pPr>
        <w:spacing w:after="0" w:line="178" w:lineRule="exact"/>
        <w:rPr>
          <w:sz w:val="20"/>
          <w:szCs w:val="20"/>
          <w:color w:val="auto"/>
        </w:rPr>
      </w:pPr>
    </w:p>
    <w:p>
      <w:pPr>
        <w:sectPr>
          <w:pgSz w:w="11900" w:h="16838" w:orient="portrait"/>
          <w:cols w:equalWidth="0" w:num="2">
            <w:col w:w="5600" w:space="220"/>
            <w:col w:w="5580"/>
          </w:cols>
          <w:pgMar w:left="240" w:top="118" w:right="259" w:bottom="1440" w:gutter="0" w:footer="0" w:header="0"/>
          <w:type w:val="continuous"/>
        </w:sect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Memory Cells. </w:t>
      </w:r>
      <w:r>
        <w:rPr>
          <w:rFonts w:ascii="Arial" w:cs="Arial" w:eastAsia="Arial" w:hAnsi="Arial"/>
          <w:sz w:val="18"/>
          <w:szCs w:val="18"/>
          <w:color w:val="auto"/>
        </w:rPr>
        <w:t>RSV infection appears to suppress the formation of memory B cells, particularly those of the IgA class. A vaccine that can stimulate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formation of memory B cells may be critical in its ability to protect against circulating RSV. Vaccinated subjects showed a better induction of IgG and IgA memory B cells (BmemIgG or Bmem IgA) than placebo subjects, with several subjects in both the low and high dose groups that had an expansion greater than 2-fold. In the high dose group, 12 of 22 tested subjects had a greater than 2-fold expansion IgA memory cells versus 9 of 21 in the low dose, and 0 of 10 in the placebo group.</w:t>
      </w:r>
    </w:p>
    <w:p>
      <w:pPr>
        <w:sectPr>
          <w:pgSz w:w="11900" w:h="16838" w:orient="portrait"/>
          <w:cols w:equalWidth="0" w:num="1">
            <w:col w:w="11400"/>
          </w:cols>
          <w:pgMar w:left="240" w:top="118" w:right="259" w:bottom="1440" w:gutter="0" w:footer="0" w:header="0"/>
          <w:type w:val="continuous"/>
        </w:sectPr>
      </w:pPr>
    </w:p>
    <w:p>
      <w:pPr>
        <w:spacing w:after="0" w:line="184"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Fig. 24. </w:t>
      </w:r>
      <w:r>
        <w:rPr>
          <w:rFonts w:ascii="Arial" w:cs="Arial" w:eastAsia="Arial" w:hAnsi="Arial"/>
          <w:sz w:val="18"/>
          <w:szCs w:val="18"/>
          <w:color w:val="auto"/>
        </w:rPr>
        <w:t>Fold induction of F-specific B memory cell IgG cell response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dose of Vaxart rAd-RSVf vaccine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597785" cy="1837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97785" cy="1837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Fig. 25. </w:t>
      </w:r>
      <w:r>
        <w:rPr>
          <w:rFonts w:ascii="Arial" w:cs="Arial" w:eastAsia="Arial" w:hAnsi="Arial"/>
          <w:sz w:val="18"/>
          <w:szCs w:val="18"/>
          <w:color w:val="auto"/>
        </w:rPr>
        <w:t>Fold induction of F-specific B memory cell IgA cell response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dose of Vaxart rAd-RSVf vaccine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2520950" cy="23844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20950" cy="2384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260"/>
            <w:col w:w="5600"/>
          </w:cols>
          <w:pgMar w:left="240" w:top="118"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PBMCs were collected from vaccinated or placebo-treated subjects on day 0 and day 7 after vaccination, stimulated to enrich for B memory cells (Bmem IgG ASC) and analyzed for their ability to secrete F antigen-specific Igs. As compared to placebo-administered subjects, vaccinated subjects on both low and high doses showed a marked fold increase in their IgG responses when compared to day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PBMCs were collected from vaccinated or placebo-treated subjects on day 0 and day 7 after vaccination, stimulated to enrich for B memory cells (Bmem IgA ASC) and analyzed for their ability to secrete F antigen-specific Igs. As compared to placebo-administered subjects, vaccinated subjects on both low and high doses showed a marked fold increase in their IgA responses when compared to day 0.</w:t>
      </w:r>
    </w:p>
    <w:p>
      <w:pPr>
        <w:spacing w:after="0" w:line="178" w:lineRule="exact"/>
        <w:rPr>
          <w:sz w:val="20"/>
          <w:szCs w:val="20"/>
          <w:color w:val="auto"/>
        </w:rPr>
      </w:pPr>
    </w:p>
    <w:p>
      <w:pPr>
        <w:sectPr>
          <w:pgSz w:w="11900" w:h="16838" w:orient="portrait"/>
          <w:cols w:equalWidth="0" w:num="2">
            <w:col w:w="5500" w:space="300"/>
            <w:col w:w="5600"/>
          </w:cols>
          <w:pgMar w:left="240" w:top="118"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79" w:name="page180"/>
    <w:bookmarkEnd w:id="17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immunogenicity</w:t>
      </w:r>
    </w:p>
    <w:p>
      <w:pPr>
        <w:spacing w:after="0" w:line="22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Vaxart RSV vaccine was immunogenic, although its immunogenicity was challenging to quantitate since most adults have a history of natural RSV infection and re-infection. Encouragingly, the vaccine-induced expansion of memory IgA cells and neutralizing responses in nasal wash samples highlight the potential for the development of an improved oral vaccine using a more immunogenic vaccine antigen, a multi-dosing regimen, or both.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RSV Strategy</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While the RSV vaccine field is competitive, several injectable recombinant F-protein based vaccine candidates in development by other vaccine companies have recently been discontinued or failed to meet their clinical endpoints in phase 3 efficacy studies. One of the main hypotheses in the field is that it is essential that the F-protein is delivered in the right conformation. It has hypothesized that antibodies to the prefusion form are more likely to be protective than antibodies to the post fusion form of the F protein. Based on results of the cotton rat challenge model and observations by leading experts that mucosal IgA memory may be limiting in RSV infection (Habibi, et al, Am J Respir and Critical Care Med, 2015) Vaxart believes its platform is optimal for the delivery of a recombinant RSV vaccine antigen. However, based on its phase 1 results, Vaxart has decided to put its current F-protein based RSV vaccine candidate on hold, and to focus instead on evaluating validated F-protein versions for licensing-in or partnering.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Human Papillomavirus (HPV) Therapeutic Vaccine Candidate</w:t>
      </w:r>
    </w:p>
    <w:p>
      <w:pPr>
        <w:spacing w:after="0" w:line="22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previous clinical studies with its H5 influenza vaccine candidate, Vaxart observed robust T-cell responses (Peters, et al, Vaccine 2013) that appeared to compare favorably with published results of other flu vaccines, including an adjuvanted vaccine as well as an attenuated live viral vaccine (Iorio, et al., Vaccine 2012, Forrest, et al, CVI, 2008,). Specifically, the Vaxart vaccine generated high levels of pluripotent cytotoxic CD4 and CD8 cells (Peters, et al., Open Forum Infectious Diseases 2 (suppl_1) DOI10.1093/ofid/ofv133.614), T-cells that are likely required to obtain a therapeutic benefit in chronic viral infection and cancer. It was based on these observations that Vaxart embarked on the development of its first therapeutic vaccine, targeting HPV -associated dysplasia and cervical cancer.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Need, Commercial Opportunity</w:t>
      </w:r>
    </w:p>
    <w:p>
      <w:pPr>
        <w:spacing w:after="0" w:line="224"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In the United States,</w:t>
      </w:r>
    </w:p>
    <w:p>
      <w:pPr>
        <w:ind w:right="20"/>
        <w:spacing w:after="0" w:line="233" w:lineRule="auto"/>
        <w:rPr>
          <w:sz w:val="20"/>
          <w:szCs w:val="20"/>
          <w:color w:val="auto"/>
        </w:rPr>
      </w:pPr>
      <w:r>
        <w:rPr>
          <w:rFonts w:ascii="Arial" w:cs="Arial" w:eastAsia="Arial" w:hAnsi="Arial"/>
          <w:sz w:val="18"/>
          <w:szCs w:val="18"/>
          <w:color w:val="auto"/>
        </w:rPr>
        <w:t>cervical cancer is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most common cancer in women aged 15 to 44 years, with about 13,000 new cases diagnosed annually according to the HPV Information Center (estimates as of 2012). Studies have indicated a high lifetime probability of any HPV infection by both men and women in the United States, with some estimates indicating at least 80% of women and men acquire HPV by age 45. The CDC estimates more than 120 million U.S. citizens were infected with HPV in 2013-14, representing 42.5% of the population, with about 14 million new infections per year. A report from Transparency Market Research estimates that the global HPV therapeutics market will be approximately $2.3 billion by 2020. A report by BCC Research expects the global cervical cancer drug and diagnostic market to exceed $15 billion by 2018.</w:t>
      </w:r>
    </w:p>
    <w:p>
      <w:pPr>
        <w:spacing w:after="0" w:line="20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women, many HPV infections of the cervix will spontaneously resolve and clear within 2-3 years, but women who have a persistent infection are at high risk of developing cellular abnormalities known as cervical intraepithelial neoplasia (CIN) which can progress to invasive cancer over time. CIN progresses through three stages of increasing cellular pathology, CIN1, 2, 3, prior to progression to invasive cervical cancer. The ACOG Guidelines for Management of Abnormal Cervical Cytology and Histology indicates 13% of CIN1 will progress to a higher grade within two years; Both CIN2 and CIN3 are recognized potential cancer precursors, although CIN2 is associated with significant spontaneous regression. Evidence suggests that approximately 40 percent of CIN2 cases regress over two years, while spontaneous CIN3 regression occurs at a much lower frequency. More than 400,000 women are diagnosed with CIN annually in the United States, with an annual incidence estimate for CIN1 and CIN2/3 at 1.6 and 1.2 per 1,000 women,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HPV Vaccines</w:t>
      </w:r>
    </w:p>
    <w:p>
      <w:pPr>
        <w:spacing w:after="0" w:line="227" w:lineRule="exact"/>
        <w:rPr>
          <w:sz w:val="20"/>
          <w:szCs w:val="20"/>
          <w:color w:val="auto"/>
        </w:rPr>
      </w:pPr>
    </w:p>
    <w:p>
      <w:pPr>
        <w:ind w:right="60"/>
        <w:spacing w:after="0" w:line="208" w:lineRule="auto"/>
        <w:rPr>
          <w:sz w:val="20"/>
          <w:szCs w:val="20"/>
          <w:color w:val="auto"/>
        </w:rPr>
      </w:pPr>
      <w:r>
        <w:rPr>
          <w:rFonts w:ascii="Arial" w:cs="Arial" w:eastAsia="Arial" w:hAnsi="Arial"/>
          <w:sz w:val="16"/>
          <w:szCs w:val="16"/>
          <w:color w:val="auto"/>
        </w:rPr>
        <w:t>Since 2006, three vaccines have been approved for prevention of anogenital HPV infection: quadrivalent Gardasil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(Merck), bivalent Cervarix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(GlaxoSmithKline), and Gardasil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9 (Merck), effective against the four strains protected by the original Gardasil vaccine, along with five additional strains. GSK removed Cervarix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from the U.S. market in 2016, so currently only Gardasil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9 is available in the U.S. In 2015, the ACIP in the U.S. recommended use</w:t>
      </w:r>
    </w:p>
    <w:p>
      <w:pPr>
        <w:spacing w:after="0" w:line="2" w:lineRule="exact"/>
        <w:rPr>
          <w:sz w:val="20"/>
          <w:szCs w:val="20"/>
          <w:color w:val="auto"/>
        </w:rPr>
      </w:pPr>
    </w:p>
    <w:p>
      <w:pPr>
        <w:ind w:right="300"/>
        <w:spacing w:after="0" w:line="208" w:lineRule="auto"/>
        <w:rPr>
          <w:sz w:val="20"/>
          <w:szCs w:val="20"/>
          <w:color w:val="auto"/>
        </w:rPr>
      </w:pPr>
      <w:r>
        <w:rPr>
          <w:rFonts w:ascii="Arial" w:cs="Arial" w:eastAsia="Arial" w:hAnsi="Arial"/>
          <w:sz w:val="18"/>
          <w:szCs w:val="18"/>
          <w:color w:val="auto"/>
        </w:rPr>
        <w:t>of Gardasil</w:t>
      </w:r>
      <w:r>
        <w:rPr>
          <w:rFonts w:ascii="Arial" w:cs="Arial" w:eastAsia="Arial" w:hAnsi="Arial"/>
          <w:sz w:val="29"/>
          <w:szCs w:val="29"/>
          <w:color w:val="auto"/>
          <w:vertAlign w:val="superscript"/>
        </w:rPr>
        <w:t>®</w:t>
      </w:r>
      <w:r>
        <w:rPr>
          <w:rFonts w:ascii="Arial" w:cs="Arial" w:eastAsia="Arial" w:hAnsi="Arial"/>
          <w:sz w:val="18"/>
          <w:szCs w:val="18"/>
          <w:color w:val="auto"/>
        </w:rPr>
        <w:t xml:space="preserve"> 9 for routine vaccination in females 11-12 years of age for prevention of HPV infection. The ACIP also recommended vaccination of females (aged 13-26) and males (aged 13-21) who have not been previously vaccinated.</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these vaccines have been shown to be effective in preventing HPV infection, they have not demonstrated any therapeutic benefit in women already infected by HPV. There are currently no approved therapeutic vaccines to treat HPV infection. Current treatment options for women infected with HPV (see below) include monitoring CIN status, surgical procedures to remove affected tissue, and chemotherapeutic or radiation therapies to treat localized or metastatic cervical cancer. Thus, a medical need remains for a therapeutic vaccine to treat women presenting with CIN, or who have progressed to cervical cancer.</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0" w:name="page181"/>
    <w:bookmarkEnd w:id="18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Modalities</w:t>
      </w:r>
    </w:p>
    <w:p>
      <w:pPr>
        <w:spacing w:after="0" w:line="22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CIN presentation can be diagnosed through standard cervical screening methods such as Pap testing. For CIN1, the most common treatment is simply monitoring the condition through screening, such as increased frequency of Pap testing or an HPV test that checks for the presence of HPV genetic material. For CIN2/3, treatment options fall into two general categories: ablation and excision. Ablative procedures include laser therapy, in which a beam of high-intensity light is used to destroy abnormal cells, and cryotherapy, in which a probe cooled to sub-zero temperatures is used to damage abnormal cells through freezing. Excisional treatments include Loop Electrosurgical Excision Procedure (LEEP), in which a fine-wire loop is used to remove abnormal tissue, and “cold-knife” or laser conization, in which a cone-shaped piece of the cervix containing abnormal tissue is removed with a scalpel or laser. Ablative and excisional treatments for dysplasia typically have a 5-15% failure rate, according to the American Journal of Obstetrics and Gynecology. In addition, excisional treatments can lead to a reduced ability to become pregnant, or can increase risks of issues during pregnancy.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HPV Therapeutic Vaccine Candidate</w:t>
      </w:r>
    </w:p>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Vaxart’s plan is to develop a bivalent HPV vaccine against HPV 16 and 18, the strains responsible for approximately 70% of cases of cervical cancer. Vaxart plans to target the E6 and E7 gene products of each strain, which are the primary oncogenic proteins responsible for progression through the stages of CIN to invasive cervical cancer. In pre-clinical studies, Vaxart has demonstrated immunogenicity for both its HPV16 and its HPV18 vaccine candidates. Specifically, mice given the HPV16 or HPV18 vaccines induced T cell responses to HPV as measured by Interferon-γ ELISPOT. In addition, Vaxart’s HPV16 vaccine has demonstrated tumor growth suppression as well as increased survival in a robust HPV tumor model in mice. Vaxart believes that its HPV vaccine has several advantages over current treatment options for both CIN and cervical cancer. Current treatment options for CIN are invasive and can lead to serious contraindications for pregnancy. In addition, surgical treatments for CIN do not treat the underlying HPV, but rather remove infected tissue. As a result, current CIN treatment options have a significant failure rate which can increase the risk for progression to cervical cancer. Vaxart vaccines have demonstrated a favorable safety and tolerability profile in clinical subjects dosed to date. Current treatment options for cervical cancer, such as chemotherapy and radiation treatment, have multiple side effects such as hair loss, loss of appetite, and severe nausea.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cells responses to HPV-16 can shrink solid tumors derived from transformed HPV</w:t>
      </w:r>
    </w:p>
    <w:p>
      <w:pPr>
        <w:spacing w:after="0" w:line="2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ability of T cell responses to HPV-16 to produce a therapeutic response was tested in a solid tumor growth model. TC-1 cells (an HPV-16 transformed cell-line) were injected subcutaneously into the hind flank of B6 mice, and allowed to grow for several days before mice were immunized with vaccine or controls. In study 1, mice were immunized on days 7, 14, and 21. For groups 4 and 5, the vaccine expressed the HPV16 antigens E6/E7 (Ad-HPV). A checkpoint inhibitor (an antibody to PD-1) was used along with the vaccine in group 5, and an isotype control (Iso) to the checkpoint inhibitor was used in group 4. A recombinant rAd vector identical to Ad-HPV, but doesn’t express the HPV antigens (Ad-nr) was used in groups 1 or 2 to control for non-specific effects. Untreated animals were not given any vaccine.</w:t>
      </w:r>
    </w:p>
    <w:p>
      <w:pPr>
        <w:spacing w:after="0" w:line="19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results in study 1 showed that Ad-HPV groups were able to the stop tumor growth, and actually shrink the tumor. This occurred whether the checkpoint inhibitor was used or not. The checkpoint inhibitor alone was not able to stop tumor progression, and eventually all these animals perished. Other control animals without Ad-HPV didn’t survive as well. The use of the checkpoint inhibitor with the Ad-HPV vaccine trended slightly better for survival (10/10 versus 9/10 survived), but this was not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study 2, the TC-1 tumor was transplanted as before, but allowed to grow longer before immunization occurred. Immunizations occurred on days 13, 20, and</w:t>
      </w:r>
    </w:p>
    <w:p>
      <w:pPr>
        <w:spacing w:after="0" w:line="46" w:lineRule="exact"/>
        <w:rPr>
          <w:sz w:val="20"/>
          <w:szCs w:val="20"/>
          <w:color w:val="auto"/>
        </w:rPr>
      </w:pPr>
    </w:p>
    <w:p>
      <w:pPr>
        <w:ind w:right="160" w:firstLine="8"/>
        <w:spacing w:after="0" w:line="294" w:lineRule="auto"/>
        <w:tabs>
          <w:tab w:leader="none" w:pos="26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this study, mice that received the Ad-HPV vaccine plus the checkpoint inhibitor were able to control the tumor, up through day 40 before a few mice started to perish. More than 70% of animals in this group survived through the end of the experiment on day 80. Ad-HPV immunized mice in the absence of the checkpoint inhibitor were also able to substantially control the tumor through 60 days (33 days after the last immunization), before several additional animals perished. No control groups in the absence of the Ad-HPV were able to control any of the tumors, and all mice perished before day 40.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1" w:name="page182"/>
    <w:bookmarkEnd w:id="18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26. </w:t>
      </w:r>
      <w:r>
        <w:rPr>
          <w:rFonts w:ascii="Arial" w:cs="Arial" w:eastAsia="Arial" w:hAnsi="Arial"/>
          <w:sz w:val="18"/>
          <w:szCs w:val="18"/>
          <w:color w:val="auto"/>
        </w:rPr>
        <w:t>Small Tumor Vaccine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605905" cy="1948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05905" cy="194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i w:val="1"/>
          <w:iCs w:val="1"/>
          <w:color w:val="auto"/>
        </w:rPr>
        <w:t>In the small tumor vaccine study (Study 1), tumors were allowed to grow for 7 days before beginning the immunization schedule. Animals given the Vaxart HPV vaccine (Ad-HPV) were protected against tumor growth and survived better. This was the case whether or not a checkpoint inhibitor was used.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27. </w:t>
      </w:r>
      <w:r>
        <w:rPr>
          <w:rFonts w:ascii="Arial" w:cs="Arial" w:eastAsia="Arial" w:hAnsi="Arial"/>
          <w:sz w:val="18"/>
          <w:szCs w:val="18"/>
          <w:color w:val="auto"/>
        </w:rPr>
        <w:t>Large Tumor Vaccine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264275" cy="2093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64275" cy="209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In the large tumor vaccine study (Study 2), tumors were allowed to grow for 13 days before the vaccines were given. Again, animals given the Ad-HPV were better protected against tumor growth. The addition of the checkpoint inhibitor improved survival.</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 cells induced post immunization in the tumor model were believed to traffic back to the solid tumor to attack and destroy the cancer cells. This was tested in an additional tumor model experiment. Tumors were transplanted as before, and immunizations were performed on days 13 and 21. Tumors were harvested from the experiment on day 24, and flow cytometry was used to enumerate the T cells infiltrating the tumors. The HPV16 vaccine groups (with either the checkpoint inhibitor or an isotype control antibody) had T cell infiltrates of both CD4 and CD8 positive T cells. The CD8 T cell numbers from the Ad-HPV groups were significantly better than control treated animals in terms of infiltrating lymphocytes. The CD4 T cells were significantly better in the Ad-HPV + checkpoint group, and trended higher in the Ad-HPV + isotype control group.</w:t>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182" w:name="page183"/>
    <w:bookmarkEnd w:id="18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 28. </w:t>
      </w:r>
      <w:r>
        <w:rPr>
          <w:rFonts w:ascii="Arial" w:cs="Arial" w:eastAsia="Arial" w:hAnsi="Arial"/>
          <w:sz w:val="18"/>
          <w:szCs w:val="18"/>
          <w:color w:val="auto"/>
        </w:rPr>
        <w:t>The Ad-HPV vaccine induces T cells that migrate to the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4093845" cy="2418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93845"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The number of CD4 and CD8 T cells found within the tumor were analyzed by flow cytometry. The Ad-HPV groups were found to elicit T cells that transited to the tumor, with the Ad-HPV plus checkpoint inhibitor creating slightly more T cell transit than the Ad-HPV vaccine alone.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Near Term HPV Vaccine Development Strategy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next steps in the vaccine development are to complete the nonclinical studies, which may include a Good Laboratory Practices (GLP) toxicology study, to support an investigation new drug (IND) filing for this vaccine. The exact nature of these studies will be determined in consultation with the FDA during a pre-IND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w:t>
      </w: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Vaxart will propose to test the vaccine in subjects with cervical dysplasia related to HPV16 or HPV18, and to evaluate the ability of the vaccine to clear HPV infection, reduce the cervical dysplasia score, and induce T cells known to be important in the clearance of HPV. T cells will be measured by flow cytometry as well as by Interferon - γ ELISPOT. The primary endpoint will be safety and the secondary endpoint will be immunogenicity by examining T cell responses. Although clinical responses will be tracked, the first study may not be powered to obtain statistically significant efficacy readouts. A Phase II study would be started soon after completing the first study.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Indications</w:t>
      </w:r>
    </w:p>
    <w:p>
      <w:pPr>
        <w:spacing w:after="0" w:line="228" w:lineRule="exact"/>
        <w:rPr>
          <w:sz w:val="20"/>
          <w:szCs w:val="20"/>
          <w:color w:val="auto"/>
        </w:rPr>
      </w:pPr>
    </w:p>
    <w:p>
      <w:pPr>
        <w:jc w:val="both"/>
        <w:ind w:right="120"/>
        <w:spacing w:after="0" w:line="340" w:lineRule="auto"/>
        <w:rPr>
          <w:sz w:val="20"/>
          <w:szCs w:val="20"/>
          <w:color w:val="auto"/>
        </w:rPr>
      </w:pPr>
      <w:r>
        <w:rPr>
          <w:rFonts w:ascii="Arial" w:cs="Arial" w:eastAsia="Arial" w:hAnsi="Arial"/>
          <w:sz w:val="16"/>
          <w:szCs w:val="16"/>
          <w:color w:val="auto"/>
        </w:rPr>
        <w:t>Vaxart intends to leverage the modular nature of its platform to develop additional tablet vaccine candidates including for indications such as: Chikungunya, Zika, Ebola, Hepatitis B, HSV-2, and Venezuelan Equine Encephalitis. Vaxart currently have preliminary data in animal models for each of these indications.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Manufacturing of Vaxart oral tablet vaccines consists of two main stages, the production of bulk vaccine (drug substance), and the formulation and tableting thereof (drug product). The clinical bulk drug substance is produced using industry standard manufacturing techniques. Drug product is manufactured using a proprietary formulation and tableting process developed by Vaxart that is compatible with industrial tableting machines. The tableting process employs industry standard processes, including freeze drying by lyophilization, blending utilizing a blender/shaker, tableting via rotary tablet press, and automated spray coating.</w:t>
      </w:r>
    </w:p>
    <w:p>
      <w:pPr>
        <w:spacing w:after="0" w:line="188" w:lineRule="exact"/>
        <w:rPr>
          <w:sz w:val="20"/>
          <w:szCs w:val="20"/>
          <w:color w:val="auto"/>
        </w:rPr>
      </w:pPr>
    </w:p>
    <w:p>
      <w:pPr>
        <w:ind w:right="140" w:firstLine="45"/>
        <w:spacing w:after="0" w:line="262" w:lineRule="auto"/>
        <w:rPr>
          <w:sz w:val="20"/>
          <w:szCs w:val="20"/>
          <w:color w:val="auto"/>
        </w:rPr>
      </w:pPr>
      <w:r>
        <w:rPr>
          <w:rFonts w:ascii="Arial" w:cs="Arial" w:eastAsia="Arial" w:hAnsi="Arial"/>
          <w:sz w:val="18"/>
          <w:szCs w:val="18"/>
          <w:color w:val="auto"/>
        </w:rPr>
        <w:t>From 2012 through December of 2017, Vaxart has relied on a third-party contract manufacturer, Lonza Houston, Inc. or Lonza Houston, to manufacture clinical bulk drug substance for its tablet vaccine candidates using a cell line and process developed by Lonza Houston. Beginning in 2018, Vaxart intends to utilize its own proprietary bulk manufacturing process at its corporate headquarters.</w:t>
      </w:r>
    </w:p>
    <w:p>
      <w:pPr>
        <w:spacing w:after="0" w:line="18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From 2012 through December of 2017, Vaxart also contracted with Lonza Houston for the manufacture, labeling, packaging, storage and distribution of its vaccine tablets. All tablets used for clinical studies to date, including the influenza B phase 1 study, the norovirus phase 1 studies, the RSV phase 1 study and the H1 influenza phase 2 challenge study, as well as all placebo for those studies, were manufactured at Lonza Houston. In 2016, Vaxart established its own solid dosage form manufacturing capability (formulation and tableting) in its corporate headquarters. This facility is licensed by the State of California Department of Public Health Food and Drug Branch to manufacture and distribute drug product for clinical trials.</w:t>
      </w:r>
    </w:p>
    <w:p>
      <w:pPr>
        <w:sectPr>
          <w:pgSz w:w="11900" w:h="16838" w:orient="portrait"/>
          <w:cols w:equalWidth="0" w:num="1">
            <w:col w:w="11400"/>
          </w:cols>
          <w:pgMar w:left="240" w:top="118" w:right="25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83" w:name="page184"/>
    <w:bookmarkEnd w:id="18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Vaxart has personnel with significant technical, manufacturing, analytical, quality and project management experience to execute and manage manufacturing process development, and the manufacture, testing, quality release, storage and distribution of drug products according to current Good Manufacturing Practices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Vaxart’s facility, and its third-party manufacturers, may be subject to periodic inspections by FDA and local authorities, which include, but are not limited to procedures and operations used in the testing and manufacture of its vaccine candidates to assess its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its tablet vaccine candidates. Similar to contract manufactures, Vaxart may encounter difficulties involving production yields, quality control and quality assurance, as well as shortages of qualified personnel.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Vaxart has and will continue to make substantial investments in research and development. Vaxart’s research and development expenses totaled $12.2 million and $17.6 million in 2015 and 2016, respectively, and $10.4 million in the nine months ended September 30, 2017.</w:t>
      </w:r>
    </w:p>
    <w:p>
      <w:pPr>
        <w:spacing w:after="0" w:line="170"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In the ordinary course of business, Vaxart enters into agreements with third parties, such as clinical research organizations, medical institutions, clinical investigators and contract laboratories, to conduct its clinical trials and aspects of its research and preclinical testing. These third parties provide project management and monitoring services and regulatory consulting and investigative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biotechnology and pharmaceutical industries are characterized by intense competition to develop new technologies and proprietary products. While Vaxart believes that its proprietary tablet vaccine candidates provide competitive advantages, Vaxart faces competition from many different sources, including biotechnology and pharmaceutical companies, academic institutions, government agencies, as well as public and private research institutions. Any products that Vaxart may commercialize will have to compete with existing products and therapies as well as new products and therapies that may become available in the future.</w:t>
      </w:r>
    </w:p>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are other organizations working to improve existing therapies, vaccines or delivery methods, or to develop new vaccines, therapies or delivery methods for its selected indications. Depending on how successful these efforts are, it is possible they may increase the barriers to adoption and success of Vaxart’s vaccine candidates, if approved.</w:t>
      </w:r>
    </w:p>
    <w:p>
      <w:pPr>
        <w:spacing w:after="0" w:line="18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Vaxart anticipates that it will face intense and increasing competition as new vaccines enter the market and advanced technologies become available. Vaxart expects any tablet or other oral delivery vaccine candidates that it develops and commercializes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Vaxart’s commercial opportunity could be reduced or eliminated if its competitors develop and commercialize products that are safer, more effective, have fewer or less severe side effects, are more convenient or are less expensive than any products that it may develop. Vaxart’s competitors also may obtain FDA or other regulatory approval for their products more rapidly than it may obtain approval for its vaccine candidates, which could result in its competitors establishing a strong market position before it is able to enter the market. In addition, Vaxart’s ability to compete may be affected in many cases by insurers or other third-party payors seeking to encourage the use of generic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Influenza Vaccine Candidate</w:t>
      </w:r>
    </w:p>
    <w:p>
      <w:pPr>
        <w:spacing w:after="0" w:line="22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Vaxart believes its seasonal influenza vaccine candidate will compete directly with approved vaccines in the market, which include non-recombinant and recombinant products that are administered via injection or intranasally. The major non-recombinant injectable vaccine competitors include Astellas Pharma Inc., Abbott Laboratories, AstraZeneca UK Limited, Baxter International Inc., Research Foundation for Microbial Diseases of Osaka University, Seqirus-bioCSL Inc., GlaxoSmithKline plc, or GlaxoSmithKline, Sanofi S.A., or Sanofi, Pfizer Inc., and Takeda Pharmaceutical Company Limited, or Takeda. Non-recombinant intranasal competition includes MedImmune, Inc., or MedImmune, and potentially others. Recombinant injectable competitors include Sanofi and Novavax, Inc., or Novavax. Many other groups are developing new or improved flu vaccine or delivery methods.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Norovirus Vaccine Candidate</w:t>
      </w:r>
    </w:p>
    <w:p>
      <w:pPr>
        <w:spacing w:after="0" w:line="224" w:lineRule="exact"/>
        <w:rPr>
          <w:sz w:val="20"/>
          <w:szCs w:val="20"/>
          <w:color w:val="auto"/>
        </w:rPr>
      </w:pPr>
    </w:p>
    <w:p>
      <w:pPr>
        <w:ind w:right="420"/>
        <w:spacing w:after="0" w:line="306" w:lineRule="auto"/>
        <w:rPr>
          <w:sz w:val="20"/>
          <w:szCs w:val="20"/>
          <w:color w:val="auto"/>
        </w:rPr>
      </w:pPr>
      <w:r>
        <w:rPr>
          <w:rFonts w:ascii="Arial" w:cs="Arial" w:eastAsia="Arial" w:hAnsi="Arial"/>
          <w:sz w:val="17"/>
          <w:szCs w:val="17"/>
          <w:color w:val="auto"/>
        </w:rPr>
        <w:t>There is currently no approved norovirus vaccine for sale globally. While Vaxart is not aware of all of its competitors’ efforts, it believes based on public statements that Takeda is also developing a virus-like particle based norovirus vaccine that would be delivered by injection.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RSV Vaccine Candidate</w:t>
      </w:r>
    </w:p>
    <w:p>
      <w:pPr>
        <w:spacing w:after="0" w:line="22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There is currently no approved RSV vaccine for sale globally; however, a number of vaccine manufacturers, academic institutions and other organizations currently have, or have had, programs to develop such a vaccine. In addition, many other companies are developing products to prevent disease caused by RSV using a variety of technology platforms, including monoclonal antibodies, small molecule therapeutics, as well as various viral vector and VLP based vaccine technologies. While Vaxart is not aware of all of its competitors’ efforts, Vaxart believes based on public statements that several companies are in various stages of developing an RSV vaccine including GlaxoSmithKline, Johnson &amp; Johnson, Bavarian Nordic, Astellas, MedImmune, Novavax, and Sanofi, as well as the National Institute of Allergy and Infectious Diseases, an institute under the U.S. National Institutes of Health, and possibly others.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HPV Therapeutic Vaccine Candidate</w:t>
      </w:r>
    </w:p>
    <w:p>
      <w:pPr>
        <w:spacing w:after="0" w:line="224" w:lineRule="exact"/>
        <w:rPr>
          <w:sz w:val="20"/>
          <w:szCs w:val="20"/>
          <w:color w:val="auto"/>
        </w:rPr>
      </w:pPr>
    </w:p>
    <w:p>
      <w:pPr>
        <w:jc w:val="both"/>
        <w:ind w:right="480"/>
        <w:spacing w:after="0" w:line="285" w:lineRule="auto"/>
        <w:rPr>
          <w:sz w:val="20"/>
          <w:szCs w:val="20"/>
          <w:color w:val="auto"/>
        </w:rPr>
      </w:pPr>
      <w:r>
        <w:rPr>
          <w:rFonts w:ascii="Arial" w:cs="Arial" w:eastAsia="Arial" w:hAnsi="Arial"/>
          <w:sz w:val="17"/>
          <w:szCs w:val="17"/>
          <w:color w:val="auto"/>
        </w:rPr>
        <w:t>There is currently no approved HPV therapeutic vaccine for sale globally; however, a number of vaccine manufacturers, academic institutions and other organizations currently have, or have had, programs to develop such a vaccine. Vaxart believes based on public statements that several companies are in various stages of developing an HPV therapeutic vaccine including Inovio, Advaxis, Genexine, and possibly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Vaxart strives to protect and enhance the proprietary technology, inventions and improvements that are commercially important to its business, including seeking, maintaining, and defending patent rights. Vaxart also relies on trade secrets relating to its platform and on know-how, continuing technological innovation to develop, strengthen and maintain its proprietary position in the vaccine field. In addition, Vaxart relies on regulatory protection afforded through data exclusivity, market exclusivity and patent term extensions where available. Vaxart also utilizes trademark protection for its company name, and expect to do so for products and/or services as they are marketed.</w:t>
      </w:r>
    </w:p>
    <w:p>
      <w:pPr>
        <w:spacing w:after="0" w:line="1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Vaxart’s commercial success will depend in part on its ability to obtain and maintain patent and other proprietary protection for commercially important technology, inventions and know-how related to its business; defend and enforce its patents; preserve the confidentiality of its trade secrets; and operate without infringing the valid enforceable patents and proprietary rights of third parties. Vaxart’s ability to stop third parties from making, using, selling, offering to sell or importing its tablet vaccine candidates may depend on the extent to which it has rights under valid and enforceable patents or trade secrets that cover these activities. With respect to both licensed and company-owned intellectual property, Vaxart cannot be sure that patents will be granted with respect to any of its pending patent applications or with respect to any patent applications filed by Vaxart in the future, nor can Vaxart be sure that any of its existing patents or any patents that may be granted to Vaxart in the future will be commercially useful in protecting its commercial products and methods of manufacturing the same.</w:t>
      </w:r>
    </w:p>
    <w:p>
      <w:pPr>
        <w:spacing w:after="0" w:line="19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Vaxart has developed numerous patents and patent applications and owns substantial know-how and trade secrets related to its platform and tablet vaccine candidates.</w:t>
      </w:r>
    </w:p>
    <w:p>
      <w:pPr>
        <w:spacing w:after="0" w:line="170" w:lineRule="exact"/>
        <w:rPr>
          <w:sz w:val="20"/>
          <w:szCs w:val="20"/>
          <w:color w:val="auto"/>
        </w:rPr>
      </w:pPr>
    </w:p>
    <w:p>
      <w:pPr>
        <w:ind w:left="660" w:right="200" w:hanging="329"/>
        <w:spacing w:after="0" w:line="274" w:lineRule="auto"/>
        <w:tabs>
          <w:tab w:leader="none" w:pos="660" w:val="left"/>
        </w:tabs>
        <w:numPr>
          <w:ilvl w:val="0"/>
          <w:numId w:val="1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Vaccine Platform Technology</w:t>
      </w:r>
      <w:r>
        <w:rPr>
          <w:rFonts w:ascii="Arial" w:cs="Arial" w:eastAsia="Arial" w:hAnsi="Arial"/>
          <w:sz w:val="17"/>
          <w:szCs w:val="17"/>
          <w:color w:val="auto"/>
        </w:rPr>
        <w:t>. As of September 30, 2017, Vaxart holds three U.S. patents with granted claims directed to its platform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patents also include claims related to its seasonal influenza vaccine candidate. These patents will expire in 2027, or later if patent term extension applies. As of September 30, 2017, Vaxart holds 60 issued foreign patents and one pending foreign patent application, all of which cover compositions of matter and methods of use related to its platform technology. These patents also include claims related to its seasonal influenza vaccine candidate. These patents will expire in 2027, or later if patent term extension applies.</w:t>
      </w:r>
    </w:p>
    <w:p>
      <w:pPr>
        <w:spacing w:after="0" w:line="176" w:lineRule="exact"/>
        <w:rPr>
          <w:rFonts w:ascii="Arial" w:cs="Arial" w:eastAsia="Arial" w:hAnsi="Arial"/>
          <w:sz w:val="17"/>
          <w:szCs w:val="17"/>
          <w:b w:val="1"/>
          <w:bCs w:val="1"/>
          <w:i w:val="1"/>
          <w:iCs w:val="1"/>
          <w:color w:val="auto"/>
        </w:rPr>
      </w:pPr>
    </w:p>
    <w:p>
      <w:pPr>
        <w:ind w:left="660" w:right="160" w:hanging="329"/>
        <w:spacing w:after="0" w:line="262" w:lineRule="auto"/>
        <w:tabs>
          <w:tab w:leader="none" w:pos="6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Tablet Vaccine Formulation</w:t>
      </w:r>
      <w:r>
        <w:rPr>
          <w:rFonts w:ascii="Arial" w:cs="Arial" w:eastAsia="Arial" w:hAnsi="Arial"/>
          <w:sz w:val="18"/>
          <w:szCs w:val="18"/>
          <w:color w:val="auto"/>
        </w:rPr>
        <w:t>. Vaxart owns considerable know-how and has filed 17 applications in the U.S. and around the world with composition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matter and methods of use claims related to its tablet vaccine formulation technology. Any patents issuing from these applications will expire in 2035, or later if patent term extension applies.</w:t>
      </w:r>
    </w:p>
    <w:p>
      <w:pPr>
        <w:spacing w:after="0" w:line="183" w:lineRule="exact"/>
        <w:rPr>
          <w:rFonts w:ascii="Arial" w:cs="Arial" w:eastAsia="Arial" w:hAnsi="Arial"/>
          <w:sz w:val="18"/>
          <w:szCs w:val="18"/>
          <w:b w:val="1"/>
          <w:bCs w:val="1"/>
          <w:i w:val="1"/>
          <w:iCs w:val="1"/>
          <w:color w:val="auto"/>
        </w:rPr>
      </w:pPr>
    </w:p>
    <w:p>
      <w:pPr>
        <w:ind w:left="660" w:right="100" w:hanging="329"/>
        <w:spacing w:after="0" w:line="268" w:lineRule="auto"/>
        <w:tabs>
          <w:tab w:leader="none" w:pos="6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Influenza, Norovirus and RSV Vaccine Candidates</w:t>
      </w:r>
      <w:r>
        <w:rPr>
          <w:rFonts w:ascii="Arial" w:cs="Arial" w:eastAsia="Arial" w:hAnsi="Arial"/>
          <w:sz w:val="18"/>
          <w:szCs w:val="18"/>
          <w:color w:val="auto"/>
        </w:rPr>
        <w:t>. As of September 30, 2017, Vaxart has filed one international application pursuant to the Patent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Cooperation Treaty (PCT) with composition of matter and method of use claims relating to its norovirus and RSV vaccine candidates. Any patents issuing from national applications filed from the PCT application will expire in 2036, or later if patent term extension applies. Vaxart has 14 issued foreign patents with composition of matter and method of use claims related to its current H1N1 influenza vaccine candidate. These patents will expire in 2030, or later if patent term extension applies.</w:t>
      </w:r>
    </w:p>
    <w:p>
      <w:pPr>
        <w:spacing w:after="0" w:line="176" w:lineRule="exact"/>
        <w:rPr>
          <w:rFonts w:ascii="Arial" w:cs="Arial" w:eastAsia="Arial" w:hAnsi="Arial"/>
          <w:sz w:val="18"/>
          <w:szCs w:val="18"/>
          <w:b w:val="1"/>
          <w:bCs w:val="1"/>
          <w:i w:val="1"/>
          <w:iCs w:val="1"/>
          <w:color w:val="auto"/>
        </w:rPr>
      </w:pPr>
    </w:p>
    <w:p>
      <w:pPr>
        <w:ind w:left="660" w:right="200" w:hanging="329"/>
        <w:spacing w:after="0" w:line="276" w:lineRule="auto"/>
        <w:tabs>
          <w:tab w:leader="none" w:pos="66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Vaccine Candidates</w:t>
      </w:r>
      <w:r>
        <w:rPr>
          <w:rFonts w:ascii="Arial" w:cs="Arial" w:eastAsia="Arial" w:hAnsi="Arial"/>
          <w:sz w:val="18"/>
          <w:szCs w:val="18"/>
          <w:color w:val="auto"/>
        </w:rPr>
        <w:t>. As of September 30, 2017, Vaxart has 1 pending U.S. patent application with composition of matter and method of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relating to its HSV-2 vaccine candidate.</w:t>
      </w:r>
    </w:p>
    <w:p>
      <w:pPr>
        <w:sectPr>
          <w:pgSz w:w="11900" w:h="16838" w:orient="portrait"/>
          <w:cols w:equalWidth="0" w:num="1">
            <w:col w:w="11400"/>
          </w:cols>
          <w:pgMar w:left="240" w:top="118"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85" w:name="page186"/>
    <w:bookmarkEnd w:id="18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In addition to the above, Vaxart has established expertise and development capabilities focused in the areas of preclinical research and development, manufacturing and manufacturing process scale-up, quality control, quality assurance, regulatory affairs and clinical trial design and implementation. Vaxart believes that its focus and expertise will help it develop products based on its proprietary intellectual property.</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Vaxart files, the patent term is 20 years from the date of filing the non-provisional application. In the United States, a patent’s term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Vaxart expects to apply for patent term extensions for patents covering its vaccine candidates and their methods of 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Vaxart may rely, in some circumstances, on trade secrets to protect its technology. However, trade secrets can be difficult to protect. Vaxart seeks to protect its proprietary technology and processes, in part, by entering into confidentiality agreements with its employees, consultants, scientific advisors and contractors. Vaxart also seeks to preserve the integrity and confidentiality of its data and trade secrets by maintaining physical security of its premises and physical and electronic security of its information technology systems. While Vaxart has confidence in these procedures, agreements or security measures may be breached, and Vaxart may not have adequate remedies for any breach. In addition, its trade secrets may otherwise become known or be independently discovered by competitors. To the extent that its consultants, contractors or collaborators use intellectual property owned by others in their work for Vaxart, disputes may arise as to the rights in related or resulting know-how and inventions.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Federal, state and local government authorities in the United States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Vaxart is developing. Vaxart’s vaccine candidates must be approved by the FDA before they may be legally marketed in the United States and by the appropriate foreign regulatory agency before they may be legally marketed in foreign countries. Generally, its activities in other countries will be subject to regulation that is similar in nature and scope as that imposed in the United States. The process for obtaining regulatory marketing approvals and the subsequent compliance with appropriate federal, state, local and foreign statutes and regulations require the expenditure of substantial time and financial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Product Development Process</w:t>
      </w:r>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United States generally involves the following:</w:t>
      </w:r>
    </w:p>
    <w:p>
      <w:pPr>
        <w:spacing w:after="0" w:line="181" w:lineRule="exact"/>
        <w:rPr>
          <w:sz w:val="20"/>
          <w:szCs w:val="20"/>
          <w:color w:val="auto"/>
        </w:rPr>
      </w:pPr>
    </w:p>
    <w:p>
      <w:pPr>
        <w:ind w:left="660" w:right="280" w:hanging="329"/>
        <w:spacing w:after="0" w:line="276"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3" w:lineRule="exact"/>
        <w:rPr>
          <w:rFonts w:ascii="Arial" w:cs="Arial" w:eastAsia="Arial" w:hAnsi="Arial"/>
          <w:sz w:val="18"/>
          <w:szCs w:val="18"/>
          <w:color w:val="auto"/>
        </w:rPr>
      </w:pPr>
    </w:p>
    <w:p>
      <w:pPr>
        <w:ind w:left="660" w:right="40" w:hanging="329"/>
        <w:spacing w:after="0" w:line="262"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183" w:lineRule="exact"/>
        <w:rPr>
          <w:rFonts w:ascii="Arial" w:cs="Arial" w:eastAsia="Arial" w:hAnsi="Arial"/>
          <w:sz w:val="18"/>
          <w:szCs w:val="18"/>
          <w:color w:val="auto"/>
        </w:rPr>
      </w:pPr>
    </w:p>
    <w:p>
      <w:pPr>
        <w:ind w:left="660" w:right="660" w:hanging="329"/>
        <w:spacing w:after="0" w:line="340"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submission to the FDA of a Biologics License Application, or BLA, for marketing approval that meets applicable requirements to ensure the continued safety, purity, and potency of the product that is the subject of the BLA based on results of nonclinical testing and clinical trials;</w:t>
      </w:r>
    </w:p>
    <w:p>
      <w:pPr>
        <w:spacing w:after="0" w:line="124" w:lineRule="exact"/>
        <w:rPr>
          <w:rFonts w:ascii="Arial" w:cs="Arial" w:eastAsia="Arial" w:hAnsi="Arial"/>
          <w:sz w:val="16"/>
          <w:szCs w:val="16"/>
          <w:color w:val="auto"/>
        </w:rPr>
      </w:pPr>
    </w:p>
    <w:p>
      <w:pPr>
        <w:ind w:left="660" w:right="120" w:hanging="329"/>
        <w:spacing w:after="0" w:line="262"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83" w:lineRule="exact"/>
        <w:rPr>
          <w:rFonts w:ascii="Arial" w:cs="Arial" w:eastAsia="Arial" w:hAnsi="Arial"/>
          <w:sz w:val="18"/>
          <w:szCs w:val="18"/>
          <w:color w:val="auto"/>
        </w:rPr>
      </w:pPr>
    </w:p>
    <w:p>
      <w:pPr>
        <w:ind w:left="660" w:hanging="329"/>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Before testing any biological vaccine candidate, including its tablet vaccine candidates, in humans, the vaccine candidate enters the preclinical testing stage. Preclinical tests, also referred to as nonclinical studies, include laboratory evaluations of product chemistry, toxicity and formulation, as well as animal studies to assess the potential safety and activity of the vaccine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Vaxart cannot be sure that submission of an IND will result in the FDA allowing clinical trials to begin, or that, once begun, issues will not arise that suspend or terminate such trials.</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Human clinical trials are typically conducted in three sequential phases that may overlap or be combined:</w:t>
      </w:r>
    </w:p>
    <w:p>
      <w:pPr>
        <w:spacing w:after="0" w:line="183" w:lineRule="exact"/>
        <w:rPr>
          <w:sz w:val="20"/>
          <w:szCs w:val="20"/>
          <w:color w:val="auto"/>
        </w:rPr>
      </w:pPr>
    </w:p>
    <w:p>
      <w:pPr>
        <w:ind w:left="660" w:right="240" w:hanging="329"/>
        <w:spacing w:after="0" w:line="262" w:lineRule="auto"/>
        <w:tabs>
          <w:tab w:leader="none" w:pos="660" w:val="left"/>
        </w:tabs>
        <w:numPr>
          <w:ilvl w:val="0"/>
          <w:numId w:val="172"/>
        </w:numPr>
        <w:rPr>
          <w:rFonts w:ascii="Arial" w:cs="Arial" w:eastAsia="Arial" w:hAnsi="Arial"/>
          <w:sz w:val="18"/>
          <w:szCs w:val="18"/>
          <w:i w:val="1"/>
          <w:iCs w:val="1"/>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 or</w:t>
      </w:r>
      <w:r>
        <w:rPr>
          <w:rFonts w:ascii="Arial" w:cs="Arial" w:eastAsia="Arial" w:hAnsi="Arial"/>
          <w:sz w:val="18"/>
          <w:szCs w:val="18"/>
          <w:i w:val="1"/>
          <w:iCs w:val="1"/>
          <w:color w:val="auto"/>
        </w:rPr>
        <w:t xml:space="preserve"> </w:t>
      </w:r>
      <w:r>
        <w:rPr>
          <w:rFonts w:ascii="Arial" w:cs="Arial" w:eastAsia="Arial" w:hAnsi="Arial"/>
          <w:sz w:val="18"/>
          <w:szCs w:val="18"/>
          <w:color w:val="auto"/>
        </w:rPr>
        <w:t>life-threatening diseases, especially when the product may be too inherently toxic to ethically administer to healthy volunteers, the initial human testing is often conducted in subjects.</w:t>
      </w:r>
    </w:p>
    <w:p>
      <w:pPr>
        <w:spacing w:after="0" w:line="183" w:lineRule="exact"/>
        <w:rPr>
          <w:rFonts w:ascii="Arial" w:cs="Arial" w:eastAsia="Arial" w:hAnsi="Arial"/>
          <w:sz w:val="18"/>
          <w:szCs w:val="18"/>
          <w:i w:val="1"/>
          <w:iCs w:val="1"/>
          <w:color w:val="auto"/>
        </w:rPr>
      </w:pPr>
    </w:p>
    <w:p>
      <w:pPr>
        <w:ind w:left="660" w:right="440" w:hanging="329"/>
        <w:spacing w:after="0" w:line="340" w:lineRule="auto"/>
        <w:tabs>
          <w:tab w:leader="none" w:pos="660" w:val="left"/>
        </w:tabs>
        <w:numPr>
          <w:ilvl w:val="0"/>
          <w:numId w:val="172"/>
        </w:numPr>
        <w:rPr>
          <w:rFonts w:ascii="Arial" w:cs="Arial" w:eastAsia="Arial" w:hAnsi="Arial"/>
          <w:sz w:val="16"/>
          <w:szCs w:val="16"/>
          <w:i w:val="1"/>
          <w:iCs w:val="1"/>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spacing w:after="0" w:line="124" w:lineRule="exact"/>
        <w:rPr>
          <w:rFonts w:ascii="Arial" w:cs="Arial" w:eastAsia="Arial" w:hAnsi="Arial"/>
          <w:sz w:val="16"/>
          <w:szCs w:val="16"/>
          <w:i w:val="1"/>
          <w:iCs w:val="1"/>
          <w:color w:val="auto"/>
        </w:rPr>
      </w:pPr>
    </w:p>
    <w:p>
      <w:pPr>
        <w:ind w:left="660" w:right="20" w:hanging="329"/>
        <w:spacing w:after="0" w:line="262" w:lineRule="auto"/>
        <w:tabs>
          <w:tab w:leader="none" w:pos="660" w:val="left"/>
        </w:tabs>
        <w:numPr>
          <w:ilvl w:val="0"/>
          <w:numId w:val="172"/>
        </w:numPr>
        <w:rPr>
          <w:rFonts w:ascii="Arial" w:cs="Arial" w:eastAsia="Arial" w:hAnsi="Arial"/>
          <w:sz w:val="18"/>
          <w:szCs w:val="18"/>
          <w:i w:val="1"/>
          <w:iCs w:val="1"/>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83"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7" w:name="page188"/>
    <w:bookmarkEnd w:id="18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Prescription Drug User Fee Act, or PDUFA, as amended, each BLA must be accompanied by a significant user fee. The FDA adjusts the PDUFA user fees on an annual basis. PDUFA also imposes an annual product fee for biological products and an annual establishment fee on facilities used to manufacture prescription biological products. Fee waivers or reductions are available in certain circumstances, including a waiver of the application fee for the first application filed by a small business. No user fees are assessed on BLAs for products designated as orphan drugs, unless the product also includes a non-orphan indication.</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6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Vaxart interprets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8" w:name="page189"/>
    <w:bookmarkEnd w:id="18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w:t>
      </w:r>
    </w:p>
    <w:p>
      <w:pPr>
        <w:spacing w:after="0" w:line="170"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Any products for which Vaxart receives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its tablet vaccine candidates under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United States, Vaxart’s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Vaxart’s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spacing w:after="0" w:line="18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as discussed below.</w:t>
      </w:r>
    </w:p>
    <w:p>
      <w:pPr>
        <w:spacing w:after="0" w:line="187"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8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Vaxart may be subject to data privacy and security regulations by both the federal government and the states in which it conducts its business. HIPAA, as amended by the HITECH Act, and their respective implementing regulations, including the final omnibus rule published on January 25, 2013,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order to distribute products commercially, Vaxart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Vaxart’s activities are potentially subject to federal and state consumer protection and unfair competition laws.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Vaxart operations are found to be in violation of any of the federal and state healthcare laws described above or any other governmental regulations that apply to it, Vaxart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it to enter into government contracts, contractual damages, reputational harm, administrative burdens, diminished profits and future earnings, and the curtailment or restructuring of its operations, any of which could adversely affect Vaxart’s ability to operate its business and its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Significant uncertainty exists as to the coverage and reimbursement status of any tablet vaccine candidates for which Vaxart obtains regulatory approval. In the United States and markets in other countries, sales of any products for which Vaxart receives regulatory approval for commercial sale will depend, in part, on the extent to that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 effectiveness of medical products, therapies and services, in addition to questioning their safety and efficacy. Vaxart may need to conduct expensive pharmaco-economic studies in order to demonstrate the medical necessity and cost-effectiveness of its tablet vaccine candidates, in addition to the costs required to obtain the FDA approvals. Vaxart’s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Vaxart to maintain price levels sufficient to realize an appropriate return on its investment in product development.</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marketability of any tablet vaccine candidates for which it receives regulatory approval for commercial sale may suffer if the government and third-party payors fail to provide adequate coverage and reimbursement. In addition, emphasis on managed care in the United States has increased and Vaxart expects the pressure on healthcare pricing will continue to increase. Coverage policies and third-party reimbursement rates may change at any time. Even if favorable coverage and reimbursement status is attained for one or more products for which Vaxart receives regulatory approval, less favorable coverage policies and reimbursement rates may be implemented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Vaxart anticipates that current and future U.S. legislative healthcare reforms may result in additional downward pressure on the price that Vaxart receives for any approved product, if covered, and could seriously harm its business. Any reduction in reimbursement from Medicare and other government programs may result in a similar reduction in payments from private payors. The implementation of cost containment measures or other healthcare reforms may prevent Vaxart from being able to generate revenue, attain profitability or commercialize its tablet vaccine candidates. In addition, it is possible that there will be further legislation or regulation that could harm its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order to market any product outside of the United States, Vaxart would need to comply with numerous and varying regulatory requirements of other countries and jurisdictions regarding quality, safety and efficacy and governing, among other things, clinical trials, marketing authorization, commercial sales and distribution of its products. Whether or not Vaxart obtains FDA approval for a product, it would need to obtain the necessary approvals by the comparable foreign regulatory authorities before it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Vaxart’s management and scientific teams possess considerable experience in vaccine and anti-infective research, manufacturing, clinical development and regulatory matters. Vaxart’s research team includes Ph.D.-level scientists with expertise in mucosal immunology, T cells, viral vectors and virology. As of September 30, 2017, Vaxart had 21 full-time employees. Of these 21 employees, 17 employees are engaged in research and development and four employees are engaged in finance, human resources, administration, business and general management. Vaxart has no collective bargaining agreements with its employees and it has not experienced any work stoppages. Vaxart considers its relations with its employees to be good.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8"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Vaxart’s management team is supported by a group of leading advisors, recognized experts in the fields of mucosal immunity, human T cell responses and vaccine development. Vaxart’s key advisors include:</w:t>
      </w:r>
    </w:p>
    <w:p>
      <w:pPr>
        <w:spacing w:after="0" w:line="170" w:lineRule="exact"/>
        <w:rPr>
          <w:sz w:val="20"/>
          <w:szCs w:val="20"/>
          <w:color w:val="auto"/>
        </w:rPr>
      </w:pPr>
    </w:p>
    <w:p>
      <w:pPr>
        <w:ind w:left="660" w:right="440" w:hanging="329"/>
        <w:spacing w:after="0" w:line="276"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John Treanor, M.D. </w:t>
      </w:r>
      <w:r>
        <w:rPr>
          <w:rFonts w:ascii="Arial" w:cs="Arial" w:eastAsia="Arial" w:hAnsi="Arial"/>
          <w:sz w:val="18"/>
          <w:szCs w:val="18"/>
          <w:color w:val="auto"/>
        </w:rPr>
        <w:t>Chief of the Infectious Diseases Division in the Department of Medicine at the University of Rochester Medical Center,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URMC. Leader of the clinical core of the Respiratory Pathogens Research Unit at URMC.</w:t>
      </w:r>
    </w:p>
    <w:p>
      <w:pPr>
        <w:spacing w:after="0" w:line="169" w:lineRule="exact"/>
        <w:rPr>
          <w:rFonts w:ascii="Arial" w:cs="Arial" w:eastAsia="Arial" w:hAnsi="Arial"/>
          <w:sz w:val="18"/>
          <w:szCs w:val="18"/>
          <w:b w:val="1"/>
          <w:bCs w:val="1"/>
          <w:i w:val="1"/>
          <w:iCs w:val="1"/>
          <w:color w:val="auto"/>
        </w:rPr>
      </w:pPr>
    </w:p>
    <w:p>
      <w:pPr>
        <w:ind w:left="660" w:right="40" w:hanging="329"/>
        <w:spacing w:after="0" w:line="276"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Peter Patriarca, M.D. </w:t>
      </w:r>
      <w:r>
        <w:rPr>
          <w:rFonts w:ascii="Arial" w:cs="Arial" w:eastAsia="Arial" w:hAnsi="Arial"/>
          <w:sz w:val="18"/>
          <w:szCs w:val="18"/>
          <w:color w:val="auto"/>
        </w:rPr>
        <w:t>Senior Regulatory Consultant, Biologics Consulting Group. Former Director Division of Viral Products/OVRR at CBER,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Regulatory Affairs, Medimmune.</w:t>
      </w:r>
    </w:p>
    <w:p>
      <w:pPr>
        <w:spacing w:after="0" w:line="169" w:lineRule="exact"/>
        <w:rPr>
          <w:rFonts w:ascii="Arial" w:cs="Arial" w:eastAsia="Arial" w:hAnsi="Arial"/>
          <w:sz w:val="18"/>
          <w:szCs w:val="18"/>
          <w:b w:val="1"/>
          <w:bCs w:val="1"/>
          <w:i w:val="1"/>
          <w:iCs w:val="1"/>
          <w:color w:val="auto"/>
        </w:rPr>
      </w:pPr>
    </w:p>
    <w:p>
      <w:pPr>
        <w:ind w:left="660" w:right="300" w:hanging="329"/>
        <w:spacing w:after="0" w:line="276"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Robert Belshe, M.D. </w:t>
      </w:r>
      <w:r>
        <w:rPr>
          <w:rFonts w:ascii="Arial" w:cs="Arial" w:eastAsia="Arial" w:hAnsi="Arial"/>
          <w:sz w:val="18"/>
          <w:szCs w:val="18"/>
          <w:color w:val="auto"/>
        </w:rPr>
        <w:t>Dianna and J. Joseph Adorjan Endowed Professor of Infectious Diseases and Immunology Emeritus, Saint Louis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School of Medicine, St Louis, MO. Director, Division of Infectious Diseases and Immunology.</w:t>
      </w:r>
    </w:p>
    <w:p>
      <w:pPr>
        <w:spacing w:after="0" w:line="169" w:lineRule="exact"/>
        <w:rPr>
          <w:rFonts w:ascii="Arial" w:cs="Arial" w:eastAsia="Arial" w:hAnsi="Arial"/>
          <w:sz w:val="18"/>
          <w:szCs w:val="18"/>
          <w:b w:val="1"/>
          <w:bCs w:val="1"/>
          <w:i w:val="1"/>
          <w:iCs w:val="1"/>
          <w:color w:val="auto"/>
        </w:rPr>
      </w:pPr>
    </w:p>
    <w:p>
      <w:pPr>
        <w:ind w:left="660" w:right="440" w:hanging="329"/>
        <w:spacing w:after="0" w:line="276"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Ann Arvin, M.D. </w:t>
      </w:r>
      <w:r>
        <w:rPr>
          <w:rFonts w:ascii="Arial" w:cs="Arial" w:eastAsia="Arial" w:hAnsi="Arial"/>
          <w:sz w:val="18"/>
          <w:szCs w:val="18"/>
          <w:color w:val="auto"/>
        </w:rPr>
        <w:t>Lucille Salter Packard Professor of Pediatrics (Infectious Diseases) and Professor of Microbiology and Immunology, Stanford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w:t>
      </w:r>
    </w:p>
    <w:p>
      <w:pPr>
        <w:spacing w:after="0" w:line="169" w:lineRule="exact"/>
        <w:rPr>
          <w:rFonts w:ascii="Arial" w:cs="Arial" w:eastAsia="Arial" w:hAnsi="Arial"/>
          <w:sz w:val="18"/>
          <w:szCs w:val="18"/>
          <w:b w:val="1"/>
          <w:bCs w:val="1"/>
          <w:i w:val="1"/>
          <w:iCs w:val="1"/>
          <w:color w:val="auto"/>
        </w:rPr>
      </w:pPr>
    </w:p>
    <w:p>
      <w:pPr>
        <w:ind w:left="660" w:right="180" w:hanging="329"/>
        <w:spacing w:after="0" w:line="262"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Harry Greenberg, M.D. </w:t>
      </w:r>
      <w:r>
        <w:rPr>
          <w:rFonts w:ascii="Arial" w:cs="Arial" w:eastAsia="Arial" w:hAnsi="Arial"/>
          <w:sz w:val="18"/>
          <w:szCs w:val="18"/>
          <w:color w:val="auto"/>
        </w:rPr>
        <w:t>Senior Associate Dean of Research and Director of Spectrum, the NIH-funded Stanford Clinical and Translational Science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 Professor of Medicine and Microbiology and Immunology, Stanford University School of Medicine and Former Senior Vice President, Research, Aviron (now MedImmune Vaccines, Astra Zenaca).</w:t>
      </w:r>
    </w:p>
    <w:p>
      <w:pPr>
        <w:spacing w:after="0" w:line="183" w:lineRule="exact"/>
        <w:rPr>
          <w:rFonts w:ascii="Arial" w:cs="Arial" w:eastAsia="Arial" w:hAnsi="Arial"/>
          <w:sz w:val="18"/>
          <w:szCs w:val="18"/>
          <w:b w:val="1"/>
          <w:bCs w:val="1"/>
          <w:i w:val="1"/>
          <w:iCs w:val="1"/>
          <w:color w:val="auto"/>
        </w:rPr>
      </w:pPr>
    </w:p>
    <w:p>
      <w:pPr>
        <w:ind w:left="660" w:right="480" w:hanging="329"/>
        <w:spacing w:after="0" w:line="276" w:lineRule="auto"/>
        <w:tabs>
          <w:tab w:leader="none" w:pos="660" w:val="left"/>
        </w:tabs>
        <w:numPr>
          <w:ilvl w:val="0"/>
          <w:numId w:val="1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Jo Viney, Ph.D. </w:t>
      </w:r>
      <w:r>
        <w:rPr>
          <w:rFonts w:ascii="Arial" w:cs="Arial" w:eastAsia="Arial" w:hAnsi="Arial"/>
          <w:sz w:val="18"/>
          <w:szCs w:val="18"/>
          <w:color w:val="auto"/>
        </w:rPr>
        <w:t>Vice President, Immunology Research, Biogen Idec. Former President, Society for Mucosal Immunology and Founder Journal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Mucosal Immunology.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Several of its advisors are employed by academic institutions and may have commitments to, or agreements with, other entities that may limit their availability to Vaxart. Vaxart’s advisors may also serve as consultants to other biotechnology and pharmaceutical companies, including those that may be its competitors. Vaxart has agreements with each of its advisors pursuant to which they provide services to it. These agreements may be terminated by Vaxart or by the advisor upon 30 days’ notice. Vaxart owns the rights to any inventions or ideas made or conceived by each of its advisor during performance of the services. Vaxart generally compensates its advisors through payment of advisory fees and reimburses its advisors for travel and other expenses. In addition, Vaxart has granted some of its advisors options to purchase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Vaxart’s principal executive offices are located in South San Francisco, California where it occupies 5,881 square feet of laboratory and office space. Vaxart’s lease term expires in April 2020. In addition, Vaxart subleases office space of 2,689 square feet in South San Francisco. The sublease expires in April 2018. Vaxart also leases an office in New Mexico on a month-to-month basis. Vaxart plans to expand and consolidate its existing facilities when funding is available.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From time to time, Vaxart may be subject to various legal proceedings and claims that arise in the ordinary course of its business activities. Litigation, regardless of the outcome, could have an adverse impact on Vaxart because of defense and settlement costs, diversion of management resources and other factors.</w:t>
      </w:r>
    </w:p>
    <w:p>
      <w:pPr>
        <w:sectPr>
          <w:pgSz w:w="11900" w:h="16838" w:orient="portrait"/>
          <w:cols w:equalWidth="0" w:num="1">
            <w:col w:w="11420"/>
          </w:cols>
          <w:pgMar w:left="240" w:top="118"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2" w:name="page193"/>
    <w:bookmarkEnd w:id="19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AVIRAGEN 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section titled “Selected Historical Financial Data of Aviragen” in this proxy statement/prospectus/information statement and the consolidated financial statements of Aviragen and accompanying notes appearing elsewhere in this proxy statement/prospectus/information statement. This discussion of the Aviragen financial condition and results of operations contains certain statements that are not strictly historical and are “forward-looking” statements within the meaning of the Private Securities Litigation Reform Act of 1995 and involve a high degree of risk and uncertainty. Actual results may differ materially from those projected in the forward-looking statements due to other risks and uncertainties that exist in the Aviragen operations, development efforts and business environment, including those set forth in the section titled “Risk Factors</w:t>
      </w:r>
      <w:r>
        <w:rPr>
          <w:rFonts w:ascii="Arial" w:cs="Arial" w:eastAsia="Arial" w:hAnsi="Arial"/>
          <w:sz w:val="17"/>
          <w:szCs w:val="17"/>
          <w:color w:val="auto"/>
        </w:rPr>
        <w:t>—</w:t>
      </w:r>
      <w:r>
        <w:rPr>
          <w:rFonts w:ascii="Arial" w:cs="Arial" w:eastAsia="Arial" w:hAnsi="Arial"/>
          <w:sz w:val="17"/>
          <w:szCs w:val="17"/>
          <w:i w:val="1"/>
          <w:iCs w:val="1"/>
          <w:color w:val="auto"/>
        </w:rPr>
        <w:t>Risks Related to Aviragen” in this proxy statement/prospectus/information statement, the other risks and uncertainties described in the section titled “Risk Factors” in this proxy statement/prospectus/information statement and the other risks and uncertainties described elsewhere in this proxy statement/prospectus/information statement. All forward-looking statements included in this proxy statement/prospectus/information statement are based on information available to Aviragen as of the date hereof, and Aviragen assumes no obligation to update any such forward-looking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Aviragen is focused on the discovery and development of direct-acting antivirals to treat infections that have limited therapeutic options and affect a significant number of patients globally. Aviragen has three Phase 2 clinical stage compounds: BTA074 (teslexivir), an antiviral treatment for condyloma caused by human papillomavirus types 6 &amp; 11; vapendavir, a capsid inhibitor for the prevention or treatment of rhinovirus, or RV, upper respiratory infections; and BTA585 (enzaplatovir), a fusion protein inhibitor in development for the treatment of respiratory syncytial virus infections.</w:t>
      </w:r>
    </w:p>
    <w:p>
      <w:pPr>
        <w:spacing w:after="0" w:line="17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Although several of Aviragen’s influenza product candidates have been successfully developed and commercialized to date by other larger pharmaceutical companies under license, collaboration or commercialization agreements with Aviragen, Aviragen has not independently developed or received regulatory approval for any product candidate, and does not currently have any sales, marketing or commercial capabilities. Therefore, it is possible that Aviragen may not derive any significant product revenues from any product candidates that Aviragen is developing now, or may develop in the future. Aviragen expects to incur losses for the foreseeable future as it intends to support the clinical and preclinical development of its product candidates.</w:t>
      </w:r>
    </w:p>
    <w:p>
      <w:pPr>
        <w:spacing w:after="0" w:line="16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On October 30, 2017, Aviragen announced that it had entered into the Merger Agreement pursuant to which Vaxart, a privately-held clinical-stage company focused on developing oral recombinant vaccines from its proprietary delivery platform, would become a wholly-owned subsidiary of the combined company. This transaction marks the culmination of Aviragen’s strategic review process. The merger will result in a combined company focused on developing orally-delivered vaccines and therapeutics to address a variety of viral infections.</w:t>
      </w:r>
    </w:p>
    <w:p>
      <w:pPr>
        <w:spacing w:after="0" w:line="18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exchange ratio in the merger agreement was determined by assigning $60 million in value to Aviragen for its financial and clinical assets and $90 million in value for Vaxart’s assets. On a pro forma basis after giving effect to the number of shares of Aviragen common stock that will be issued to Vaxart securityholders in the merger and assuming no adjustments for cash balances as provided for in the Merger Agreement, current Vaxart securityholders will own approximately 60% of the common stock of the combined company and current Aviragen securityholders will own approximately 40% of the common stock of the combined company. The transaction has been approved by the boards of directors of both of Aviragen and Vaxart. The merger is expected to close in the first quarter of 2018, subject to the approval of the stockholders of each company as well as other customary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Aviragen has historically generated revenue primarily from royalty payments. Revenues are earned when the underlying service is rendered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contingencies have been satisfied. Revenue for royalties is recognized when the net sales of the underlying product by the relevant third-party, including actual or estimated returns within the royalty period based on agreement, are determinable. In fiscal 2017 and for the three months ended September 30, 2017,</w:t>
      </w:r>
    </w:p>
    <w:p>
      <w:pPr>
        <w:jc w:val="both"/>
        <w:ind w:right="80"/>
        <w:spacing w:after="0" w:line="253" w:lineRule="auto"/>
        <w:rPr>
          <w:sz w:val="20"/>
          <w:szCs w:val="20"/>
          <w:color w:val="auto"/>
        </w:rPr>
      </w:pPr>
      <w:r>
        <w:rPr>
          <w:rFonts w:ascii="Arial" w:cs="Arial" w:eastAsia="Arial" w:hAnsi="Arial"/>
          <w:sz w:val="18"/>
          <w:szCs w:val="18"/>
          <w:color w:val="auto"/>
        </w:rPr>
        <w:t>Aviragen’s royalty revenues were lower than in the same period of 2016, respectively, due to the sale of a portion of the royalty rights of Inavir</w:t>
      </w:r>
      <w:r>
        <w:rPr>
          <w:rFonts w:ascii="Arial" w:cs="Arial" w:eastAsia="Arial" w:hAnsi="Arial"/>
          <w:sz w:val="35"/>
          <w:szCs w:val="35"/>
          <w:color w:val="auto"/>
          <w:vertAlign w:val="superscript"/>
        </w:rPr>
        <w:t>®</w:t>
      </w:r>
      <w:r>
        <w:rPr>
          <w:rFonts w:ascii="Arial" w:cs="Arial" w:eastAsia="Arial" w:hAnsi="Arial"/>
          <w:sz w:val="18"/>
          <w:szCs w:val="18"/>
          <w:color w:val="auto"/>
        </w:rPr>
        <w:t xml:space="preserve"> during fiscal 2016 and due to the fact that most of Aviragen’s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issued patents have expired with the only substantial remaining intellectual property related to the Relenza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patent portfolio scheduled to expire in July 2019 in Japan.</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represents the cost of activities associated with the discovery, preclinical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clinical development of Aviragen’s product candidates. These costs include, but are not limited to, fees paid to third-party service providers in connection with conducting external preclinical studies and clinical trials, monitoring, accumulating and evaluating the related preclinical and clinical data; salaries and personnel-related expenses for Aviragen’s internal staff, including benefits and share-based compensation; the cost to develop, formulate and manufacture product candidates; external research and chemistry, and consulting fees; license expenses and sponsored research fees paid to third parties; outsourced cost of specialized information systems to evaluate and monitor Aviragen’s programs; depreciation; and facility costs. Research and development costs are expensed as incurred.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Aviragen anticipates that its research and development expenses will decrease in fiscal 2018, as compared to 2017, primarily based on the fact that Aviragen currently has only one clinical trial expected to be ongoing in that timeframe: the continuation of Aviragen’s Phase 2 CT4 clinical trial for BTA074 for the treatment of genital warts. Due to the early stage nature of Aviragen’s programs, Aviragen’s research and development expense may be highly variable in future periods depending on the results and timing of these activities. From time-to-time, Aviragen will make determinations as to how much funding or resources to direct to these programs in response to their scientific, clinical and regulatory status, anticipated market opportunity and the availability of capital to fund Aviragen’s programs.</w:t>
      </w:r>
    </w:p>
    <w:p>
      <w:pPr>
        <w:spacing w:after="0" w:line="193"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A discussion of the risks and uncertainties associated with the development of Aviragen’s existing or future product candidates is set forth in the “Risk Factors” section of this Form S-4.</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reflects the costs incurred to manage and support Aviragen’s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activities, operations, contracts, and status as a publicly-traded company. General and administrative expense consists primarily of salaries and personnel-related expenses, including share-based compensation for personnel in executive, finance, information technology, business development and human resources functions. Other significant costs include professional fees for legal, auditing, tax, and consulting services, insurance premiums, other expenses incurred as a result of being a company that is publicly traded, depreciation and facility expenses. In fiscal 2018, Aviragen anticipates that its general and administrative expense will decrease compared to 2017 levels, with the exception of legal costs related to the proposed merger.</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Foreign Exchange (Gain) or Loss. </w:t>
      </w:r>
      <w:r>
        <w:rPr>
          <w:rFonts w:ascii="Arial" w:cs="Arial" w:eastAsia="Arial" w:hAnsi="Arial"/>
          <w:sz w:val="18"/>
          <w:szCs w:val="18"/>
          <w:color w:val="auto"/>
        </w:rPr>
        <w:t>Foreign exchange (gain) or loss primarily relates to remeasurement of foreign currency balances in Aviragen’s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have a different functional currency than the reporting currency of the parent per Accounting Standards Codification (ASC) 830,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Aviragen re-measures all of its foreign assets and liabilities at the period-end exchange rate and the net effect of these translation adjustments is</w:t>
      </w:r>
      <w:r>
        <w:rPr>
          <w:rFonts w:ascii="Arial" w:cs="Arial" w:eastAsia="Arial" w:hAnsi="Arial"/>
          <w:sz w:val="18"/>
          <w:szCs w:val="18"/>
          <w:i w:val="1"/>
          <w:iCs w:val="1"/>
          <w:color w:val="auto"/>
        </w:rPr>
        <w:t xml:space="preserve"> </w:t>
      </w:r>
      <w:r>
        <w:rPr>
          <w:rFonts w:ascii="Arial" w:cs="Arial" w:eastAsia="Arial" w:hAnsi="Arial"/>
          <w:sz w:val="18"/>
          <w:szCs w:val="18"/>
          <w:color w:val="auto"/>
        </w:rPr>
        <w:t>shown as a foreign currency loss or gain.</w:t>
      </w:r>
    </w:p>
    <w:p>
      <w:pPr>
        <w:spacing w:after="0" w:line="187"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includes non-cash interest expense on the liability related to the sale of future royalties to HCRP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interest income, which consists of interest earned on Aviragen’s cash and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discussion and analysis of Aviragen’s current financial condition and historical results of operations are based on Aviragen’s audited financial statements, which have been prepared in accordance with U.S. GAAP. The preparation of Aviragen’s financial statements requires Aviragen to make estimates and judgments with respect to the selection and application of accounting policies that affect the reported amounts of assets, liabilities, revenues and expenses, and the disclosures of contingent assets and liabilities. Aviragen believes the following critical accounting policies are important in understanding Aviragen’s financial statements and operating results.</w:t>
      </w:r>
    </w:p>
    <w:p>
      <w:pPr>
        <w:spacing w:after="0" w:line="188"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Aviragen’s financial statements in conformance with U.S. GAAP requires Aviragen to make estimates and judgments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selection and application of accounting policies that affect the reported amounts of assets, liabilities, revenues and expenses, and the disclosures of contingent assets and liabilities. Aviragen bases its estimates on historical experience, current economic and industry conditions, and various other factors that it believes to be reasonable at the time, the results of which form the basis for making judgments about the carrying values of certain assets and liabilities. Actual future results may differ from these estimates under different assumptions or conditions.</w:t>
      </w:r>
    </w:p>
    <w:p>
      <w:pPr>
        <w:spacing w:after="0" w:line="16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Revenue from royalties is recognized when the net sales of the underlying product by the relevant third-party licensee, including actual</w:t>
      </w:r>
      <w:r>
        <w:rPr>
          <w:rFonts w:ascii="Arial" w:cs="Arial" w:eastAsia="Arial" w:hAnsi="Arial"/>
          <w:sz w:val="18"/>
          <w:szCs w:val="18"/>
          <w:i w:val="1"/>
          <w:iCs w:val="1"/>
          <w:color w:val="auto"/>
        </w:rPr>
        <w:t xml:space="preserve"> </w:t>
      </w:r>
      <w:r>
        <w:rPr>
          <w:rFonts w:ascii="Arial" w:cs="Arial" w:eastAsia="Arial" w:hAnsi="Arial"/>
          <w:sz w:val="18"/>
          <w:szCs w:val="18"/>
          <w:color w:val="auto"/>
        </w:rPr>
        <w:t>or estimated returns within the royalty period based on agreement, are determinable.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Non-Cash Interest Expense on Liability Related to Sale of Future Royalties. </w:t>
      </w:r>
      <w:r>
        <w:rPr>
          <w:rFonts w:ascii="Arial" w:cs="Arial" w:eastAsia="Arial" w:hAnsi="Arial"/>
          <w:sz w:val="16"/>
          <w:szCs w:val="16"/>
          <w:color w:val="auto"/>
        </w:rPr>
        <w:t>In April 2016, Aviragen sold certain royalty rights related to the approved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Inavir®, sold by Daiichi Sankyo in the Japanese market, for $20 million to HCRP. Under the relevant accounting guidance, due to a limit on the amount of royalties that HCRP can earn under the arrangement, this transaction was accounted for as a liability that will be amortized using the interest method over the life of the arrangement. Aviragen has no obligation to pay any amounts to HCRP other than to pass through to HCRP its share of royalties as they are received from Daiichi Sankyo. In order to record the amortization of the liability, Aviragen is required to estimate the total amount of future royalty payments to be received under the License Agreement and the payments that will be passed through to HCRP over the life of the agreement. The sum of the pass through amounts less the net proceeds Aviragen received will be recorded as non-cash interest expense over the life of the liability. Consequently, Aviragen imputes interest on the unamortized portion of the liability and records non-cash interest expense using an imputed effective interest rate. Aviragen will periodically assess the expected royalty payments, and to the extent such payments are greater or less than its initial estimate, Aviragen will adjust the amortization of the liability and interest rate. As a result of this accounting, even though Aviragen does not retain HCRP’s share of the royalties, Aviragen will continue to record non-cash revenue related to those royalties until the amount of the associated liability and related interest is fully amortized.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94" w:name="page195"/>
    <w:bookmarkEnd w:id="19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 xml:space="preserve">Accrued Expenses. </w:t>
      </w:r>
      <w:r>
        <w:rPr>
          <w:rFonts w:ascii="Arial" w:cs="Arial" w:eastAsia="Arial" w:hAnsi="Arial"/>
          <w:sz w:val="17"/>
          <w:szCs w:val="17"/>
          <w:color w:val="auto"/>
        </w:rPr>
        <w:t>The preparation of Aviragen’s financial statements requires Aviragen to estimate expenses that Aviragen believes have been incurred, but</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Aviragen has not yet received invoices from its vendors and for employee services that Aviragen has not yet made payment. This process primarily involves identifying services and activities that have been performed by third-party vendors on Aviragen’s behalf and estimating the level to which they have been performed and the associated cost incurred for such service as of each balance sheet date. Examples of expenses for which Aviragen generally accrues based on estimates include fees for services, such as those provided by clinical research and data management organizations and investigators in conjunction with the conduct of Aviragen’s clinical trials, research organizations that perform preclinical studies, and fees owed to contract manufacturers in connection with the formulation or manufacture of materials for Aviragen’s preclinical studies and clinical trials. In order to estimate costs incurred to-date and evaluate the adequacy of a related accrued liability, Aviragen monitors and analyzes the progress and related activities, under the terms of the underlying contract or agreement, any invoices received and the budgeted costs. Aviragen makes these estimates based upon the facts and circumstances known to it at the time and in accordance with U.S. GAAP.</w:t>
      </w:r>
    </w:p>
    <w:p>
      <w:pPr>
        <w:spacing w:after="0" w:line="178" w:lineRule="exact"/>
        <w:rPr>
          <w:sz w:val="20"/>
          <w:szCs w:val="20"/>
          <w:color w:val="auto"/>
        </w:rPr>
      </w:pPr>
    </w:p>
    <w:p>
      <w:pPr>
        <w:spacing w:after="0" w:line="278"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Aviragen uses the Black-Scholes method to estimate the value of stock options granted to employees and directors. This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utilizes several key assumptions, including the average closing stock price on the grant date, expected volatility of Aviragen’s stock price, risk-free rates of return and expected dividend yield. Aviragen’s time-based awards are issued with graded vesting. The compensation cost of these graded vesting awards is recognized using the straight-line method. Forfeitures are accounted for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 March 2016, the Financial Accounting Standards Board, or FASB, issued Accounting Standard Update, ASU, 2016-09 - Improvements to Employee Share-Based Payment Accounting. This ASU simplifies several aspects of the accounting for employee share-based payments, including the accounting for employer tax withholding on share-based compensation, forfeitures and the financial statement presentation of excess tax benefits and deficiencies. The ASU also clarifies the statement of cash flows presentation for certain components of share-based awards.</w:t>
      </w:r>
    </w:p>
    <w:p>
      <w:pPr>
        <w:spacing w:after="0" w:line="17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Aviragen elected to early adopt ASU 2016-09 for the year ended June 30, 2017 using a modified retrospective approach, effective as if adopted the first day of the fiscal year, July 1, 2016. As a result of the adoption, Aviragen made an accounting policy election to account for forfeitures as they occur. The impact of the change in accounting policy has been recorded as a $0.1 million cumulative effect adjustment as an increase to Aviragen’s retained earnings and a decrease to additional paid-in capital as of January 1, 2017 to reflect actual forfeitures versus the previously-estimated forfeiture rate.</w:t>
      </w:r>
    </w:p>
    <w:p>
      <w:pPr>
        <w:spacing w:after="0" w:line="171" w:lineRule="exact"/>
        <w:rPr>
          <w:sz w:val="20"/>
          <w:szCs w:val="20"/>
          <w:color w:val="auto"/>
        </w:rPr>
      </w:pPr>
    </w:p>
    <w:p>
      <w:pPr>
        <w:ind w:right="920"/>
        <w:spacing w:after="0" w:line="276" w:lineRule="auto"/>
        <w:rPr>
          <w:sz w:val="20"/>
          <w:szCs w:val="20"/>
          <w:color w:val="auto"/>
        </w:rPr>
      </w:pPr>
      <w:r>
        <w:rPr>
          <w:rFonts w:ascii="Arial" w:cs="Arial" w:eastAsia="Arial" w:hAnsi="Arial"/>
          <w:sz w:val="18"/>
          <w:szCs w:val="18"/>
          <w:color w:val="auto"/>
        </w:rPr>
        <w:t>The amendments within the ASU related to the recognition of excess tax benefits and deficiencies and tax withholding requirements were adopted prospectively, with no impact to prior periods.</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August 2014, the FASB issued authoritative accounting guidance related to management’s responsibility to evaluate whether there is substantial doubt about an entity’s ability to continue as a going concern and to provide related footnote disclosures. Management’s evaluation should be based on relevant conditions and events that are known and reasonably knowable at the date that the financial statements are issued. In doing so, the amendments should reduce diversity in the timing and content of footnote disclosures. This guidance is effective for annual reporting ending after December 15, 2016, and for annual periods and interim periods thereafter, with early application permitted. Aviragen adopted the standard for the fiscal year ended June 30, 2017, with no material impact on the Aviragen’s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May 2014, the FASB issued authoritative accounting guidance related to revenue from contracts with customers. This guidance is a comprehensive new revenue recognition model that requires a company to recognize revenue to depict the transfer of goods or services to a customer at an amount that reflects the consideration it expects to receive in exchange for those goods or services. This guidance is effective for annual reporting periods beginning after December 15, 2017. Accordingly, Aviragen will adopt this guidance on July 1, 2018. Companies may use either a full retrospective or a modified retrospective approach to adopt this guidance. Aviragen is evaluating which transition approach to use and its impact, if any, on its consolidated financial statements.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January 2016, the FASB issued guidance related to financial instruments - overall recognition and measurement of financial assets and financial liabilities. The guidance enhances the reporting model for financial instruments, which includes amendments to address aspects of recognition, measurement, presentation and disclosure. The update to the standard is effective for public companies for interim and annual periods beginning after December 15, 2017. Accordingly, the standard is effective for Aviragen on July 1, 2018. Aviragen is currently evaluating the impact that the standard will have on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5" w:name="page196"/>
    <w:bookmarkEnd w:id="19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February 2016, the FASB issued new guidance on leases. This guidance replaces the prior lease accounting guidance in its entirety. The underlying principle of the new standard is the recognition of lease assets and lease liabilities by lessees for substantially all leases, with an exception for leases with terms of less than 12 months. The standard also requires additional quantitative and qualitative disclosures. The guidance is effective for interim and annual reporting periods beginning after December 15, 2018, and early adoption is permitted. The standard requires a modified retrospective approach, which includes several optional practical expedients. Accordingly, the standard is effective for Aviragen on July 1, 2019. Aviragen is currently evaluating the impact that this guidance will have on the consolidated financial statements.</w:t>
      </w:r>
    </w:p>
    <w:p>
      <w:pPr>
        <w:spacing w:after="0" w:line="178"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In August 2016, the FASB issued new guidance on how certain cash receipts and cash payments are presented and classified in the statement of cash flows. The standard is effective for Aviragen beginning July 1, 2018. Early adoption is permitted. Aviragen does not expect the adoption of this guidance to have a material impact on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For the three months ended September 30, 2017, Aviragen reported a net loss of $5.3 million, as compared to a net loss of $10.0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the prior fiscal year. Basic and diluted net loss per share was $0.14 for the three month period ended September 30, 2017, as compared to a basic and diluted net loss per share of $0.26 in the same period of 2016. The following commentary provides details underlying changes from last year in the major line items of Aviragen’s statement of operations:</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remained the same at $0.1 million for the three month periods ended September 30, 2017 and 2016. The following table summarizes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key components of Aviragen’s revenue for the three months ended September 30, 2017 and 2016:</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Three Months Ended September 30,</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72"/>
              </w:rPr>
              <w:t>millions)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6"/>
        </w:trPr>
        <w:tc>
          <w:tcPr>
            <w:tcW w:w="6000" w:type="dxa"/>
            <w:vAlign w:val="bottom"/>
            <w:shd w:val="clear" w:color="auto" w:fill="CCEEFF"/>
          </w:tcPr>
          <w:p>
            <w:pPr>
              <w:spacing w:after="0" w:line="295" w:lineRule="exact"/>
              <w:rPr>
                <w:sz w:val="20"/>
                <w:szCs w:val="20"/>
                <w:color w:val="auto"/>
              </w:rPr>
            </w:pPr>
            <w:r>
              <w:rPr>
                <w:rFonts w:ascii="Arial" w:cs="Arial" w:eastAsia="Arial" w:hAnsi="Arial"/>
                <w:sz w:val="18"/>
                <w:szCs w:val="18"/>
                <w:color w:val="auto"/>
              </w:rPr>
              <w:t>Royalty revenue - Relenza</w:t>
            </w:r>
            <w:r>
              <w:rPr>
                <w:rFonts w:ascii="Arial" w:cs="Arial" w:eastAsia="Arial" w:hAnsi="Arial"/>
                <w:sz w:val="34"/>
                <w:szCs w:val="34"/>
                <w:color w:val="auto"/>
                <w:vertAlign w:val="superscript"/>
              </w:rPr>
              <w:t>®</w:t>
            </w:r>
          </w:p>
        </w:tc>
        <w:tc>
          <w:tcPr>
            <w:tcW w:w="25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0.1</w:t>
            </w:r>
          </w:p>
        </w:tc>
      </w:tr>
      <w:tr>
        <w:trPr>
          <w:trHeight w:val="215"/>
        </w:trPr>
        <w:tc>
          <w:tcPr>
            <w:tcW w:w="6000" w:type="dxa"/>
            <w:vAlign w:val="bottom"/>
          </w:tcPr>
          <w:p>
            <w:pPr>
              <w:spacing w:after="0"/>
              <w:rPr>
                <w:sz w:val="20"/>
                <w:szCs w:val="20"/>
                <w:color w:val="auto"/>
              </w:rPr>
            </w:pPr>
            <w:r>
              <w:rPr>
                <w:rFonts w:ascii="Arial" w:cs="Arial" w:eastAsia="Arial" w:hAnsi="Arial"/>
                <w:sz w:val="18"/>
                <w:szCs w:val="18"/>
                <w:color w:val="auto"/>
              </w:rPr>
              <w:t>Non-cash royalty revenue related to the sale of future royalties</w:t>
            </w:r>
          </w:p>
        </w:tc>
        <w:tc>
          <w:tcPr>
            <w:tcW w:w="15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decreased to $2.8 million for the three months ended September 30, 2017 from $7.6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2016. The following table summarizes the components of Aviragen’s research and development expense for the three months ended September 30, 2017 and 2016.</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 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0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72"/>
              </w:rPr>
              <w:t>millions)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Direct preclinical, clinical and product development expenses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6.4</w:t>
            </w: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Salaries, benefits and share-based compensation expenses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w:t>
            </w: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facility related expenses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7.6</w:t>
            </w:r>
          </w:p>
        </w:tc>
      </w:tr>
      <w:tr>
        <w:trPr>
          <w:trHeight w:val="20"/>
        </w:trPr>
        <w:tc>
          <w:tcPr>
            <w:tcW w:w="7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Direct preclinical, clinical and product development expense decreased largely due to reduced clinical trial activity and manufacturing costs, as two of Aviragen’s three Phase 2 clinical trials came to a close in the end of the prior fiscal year. Salaries, benefits and share-based compensation expenses decreased due to a reduction in headcount during the fourth quarter of fiscal 2017.</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increased to $2.3 million for the three months ended September 30, 2017 from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2016. The following table summarizes the components of Aviragen’s general and administrative expense for the three months ended September 30, 2017 and 2016.</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96" w:name="page197"/>
    <w:bookmarkEnd w:id="19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 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0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8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72"/>
              </w:rPr>
              <w:t>millions)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Salaries, benefits and share-based compensation expenses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w:t>
            </w: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Professional and legal fees expenses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0.4</w:t>
            </w: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w:t>
            </w:r>
          </w:p>
        </w:tc>
      </w:tr>
      <w:tr>
        <w:trPr>
          <w:trHeight w:val="20"/>
        </w:trPr>
        <w:tc>
          <w:tcPr>
            <w:tcW w:w="7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Foreign Exchange Loss </w:t>
      </w:r>
      <w:r>
        <w:rPr>
          <w:rFonts w:ascii="Arial" w:cs="Arial" w:eastAsia="Arial" w:hAnsi="Arial"/>
          <w:sz w:val="18"/>
          <w:szCs w:val="18"/>
          <w:color w:val="auto"/>
        </w:rPr>
        <w:t>(</w:t>
      </w:r>
      <w:r>
        <w:rPr>
          <w:rFonts w:ascii="Arial" w:cs="Arial" w:eastAsia="Arial" w:hAnsi="Arial"/>
          <w:sz w:val="18"/>
          <w:szCs w:val="18"/>
          <w:i w:val="1"/>
          <w:iCs w:val="1"/>
          <w:color w:val="auto"/>
        </w:rPr>
        <w:t xml:space="preserve">Gain), net. </w:t>
      </w:r>
      <w:r>
        <w:rPr>
          <w:rFonts w:ascii="Arial" w:cs="Arial" w:eastAsia="Arial" w:hAnsi="Arial"/>
          <w:sz w:val="18"/>
          <w:szCs w:val="18"/>
          <w:color w:val="auto"/>
        </w:rPr>
        <w:t>The impact of foreign exchange changed from a gain of $0.1 million in the three months ended September 30, 2016 to no</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for the three months ended September 30, 2017. The negative impact on foreign exchange on Aviragen’s statement of operations was due to fluctuations in foreign currency exchange rates versus the U.S. dollar, largely related to the British Pound and Australian dollar. The vast majority of Aviragen’s cash holdings are held in U.S. dollars. Aviragen re-measures all of its foreign assets and liabilities at the period-end exchange rate and the net effect of these translation adjustments is shown as a foreign currency loss or gain.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Fiscal Years Ended June 30, 2017 and 2016</w:t>
      </w:r>
    </w:p>
    <w:p>
      <w:pPr>
        <w:spacing w:after="0" w:line="2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For the fiscal year ended June 30, 2017, Aviragen reported a net loss of $29.4 million as compared to a net loss of $25.4 million for the prior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June 30, 2016. Basic and diluted net loss per share was $0.76 for the fiscal year ended June 30, 2017, as compared to a basic and diluted net loss per share of $0.66 for the fiscal year ended June 30, 2016. Aviragen expects to incur losses for the foreseeable future as Aviragen intends to support the clinical and preclinical development of its product candidates. The following commentary provides details underlying changes from the last fiscal year in the major line items of Aviragen’s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to $8.9 million for the fiscal year ended 2017 from $9.3 million in 2016. The following table summarizes the key components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Aviragen’s revenue in the fiscal years ended June 30, 2017 and 2016:</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Fiscal Year Ended 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7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72"/>
              </w:rPr>
              <w:t>millions)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Royalty revenue – Relenza®</w:t>
            </w:r>
          </w:p>
        </w:tc>
        <w:tc>
          <w:tcPr>
            <w:tcW w:w="1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 Inavir®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royalty revenue related to sale of future royalties to HCRP</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Total revenue</w:t>
            </w:r>
          </w:p>
        </w:tc>
        <w:tc>
          <w:tcPr>
            <w:tcW w:w="1040" w:type="dxa"/>
            <w:vAlign w:val="bottom"/>
            <w:gridSpan w:val="2"/>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Royalty revenue decreased primarily due to lower royalty-eligible worldwide sales of Relenza® in fiscal 2017 compared to fiscal 2016. In April 2016, Aviragen sold certain royalty rights related to the approved product Inavir® in the Japanese market for $20 million to HCRP. This transaction was accounted for as a liability and is amortized using the interest method over the life of the arrangement. As a result of this accounting, even though Aviragen did not retain the related royalties under the transaction as the amounts are remitted to HCRP, Aviragen will continue to record revenue related to these royalties until the amount of the associated liability and related interest is fully amortized.</w:t>
      </w:r>
    </w:p>
    <w:p>
      <w:pPr>
        <w:spacing w:after="0" w:line="188" w:lineRule="exact"/>
        <w:rPr>
          <w:sz w:val="20"/>
          <w:szCs w:val="20"/>
          <w:color w:val="auto"/>
        </w:rPr>
      </w:pPr>
    </w:p>
    <w:p>
      <w:pPr>
        <w:ind w:right="420"/>
        <w:spacing w:after="0" w:line="340"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to $28.3 million in fiscal 2017 from $26.3 million in fiscal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table summarizes the components of Aviragen’s research and development expense for the fiscal years ended June 30, 2017 and 2016:</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Fiscal Year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w w:val="72"/>
              </w:rPr>
              <w:t>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Direct preclinical, clinical and product development expenses</w:t>
            </w:r>
          </w:p>
        </w:tc>
        <w:tc>
          <w:tcPr>
            <w:tcW w:w="25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23.6</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Salaries, benefits and share-based compensation expenses</w:t>
            </w: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5"/>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Depreciation and facility related expenses</w:t>
            </w:r>
          </w:p>
        </w:tc>
        <w:tc>
          <w:tcPr>
            <w:tcW w:w="1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right="100"/>
        <w:spacing w:after="0" w:line="278" w:lineRule="auto"/>
        <w:rPr>
          <w:sz w:val="20"/>
          <w:szCs w:val="20"/>
          <w:color w:val="auto"/>
        </w:rPr>
      </w:pPr>
      <w:r>
        <w:rPr>
          <w:rFonts w:ascii="Arial" w:cs="Arial" w:eastAsia="Arial" w:hAnsi="Arial"/>
          <w:sz w:val="17"/>
          <w:szCs w:val="17"/>
          <w:color w:val="auto"/>
        </w:rPr>
        <w:t>Direct preclinical, clinical and product development expense increased largely due to clinical and manufacturing costs associated with the Phase 2a challenge trial for BTA585, the Phase 2b SPIRITUS clinical trial for vapendavir, and clinical and chemistry expenses for BTA074 for the Phase 2 clinical trial that was initiated in February 2016. Salaries, benefits and share-based compensation increased due to additional resources used during Aviragen’s active clinical trials. Depreciation and facility related expenses decreased primarily due to efforts to reduce overhead expense.</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7" w:name="page198"/>
    <w:bookmarkEnd w:id="19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remained the same in fiscal year 2017 and 2016. The following table summarizes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components of Aviragen’s general and administrative expense for the fiscal years ended June 30, 2017 and 2016:</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Fiscal Year Ended 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3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w w:val="72"/>
              </w:rPr>
              <w:t>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Salaries, benefits and share-based compensation expenses</w:t>
            </w:r>
          </w:p>
        </w:tc>
        <w:tc>
          <w:tcPr>
            <w:tcW w:w="10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rPr>
              <w:t>Professional and legal fees expenses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1040" w:type="dxa"/>
            <w:vAlign w:val="bottom"/>
            <w:gridSpan w:val="2"/>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Salaries, benefits and share-based compensation and other expenses decreased primarily due to a reduction in bonus expense, stock compensation expense and relocation expenses compared to the prior year. Professional and legal expense and other expense increased primarily due to timing of services performed and accrued in fiscal year 2017 compared to fiscal 2016.</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7"/>
          <w:szCs w:val="17"/>
          <w:i w:val="1"/>
          <w:iCs w:val="1"/>
          <w:color w:val="auto"/>
        </w:rPr>
        <w:t xml:space="preserve">Foreign Exchange Loss. </w:t>
      </w:r>
      <w:r>
        <w:rPr>
          <w:rFonts w:ascii="Arial" w:cs="Arial" w:eastAsia="Arial" w:hAnsi="Arial"/>
          <w:sz w:val="17"/>
          <w:szCs w:val="17"/>
          <w:color w:val="auto"/>
        </w:rPr>
        <w:t>The impact of foreign exchange changed from a loss of $0.2 million in fiscal 2016 to a loss of $0.1 million in fiscal 2017.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year loss of $0.1 million is due to fluctuations in foreign currency exchange rates versus the U.S. dollar, largely related to the British Pound and Australian dollar. The vast majority of Aviragen’s cash holdings are held in U.S. dollars. Aviragen re-measures all of its foreign assets and liabilities at the period-end exchange rate and the net effect of these translation adjustments is shown as a foreign currency loss or gain.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Since Aviragen’s inception through September 30, 2017, Aviragen has funded its operations primarily with public offerings of equity securities and license fees, royalties, royalty monetization, research agreements, government contracts and grants.</w:t>
      </w:r>
    </w:p>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At September 30, 2017, Aviragen’s cash, cash equivalents and investments were $34.1 million. Aviragen’s cash and cash equivalents are currently held in the form of short-term deposits with large U.S. banks. Aviragen’s short-term investments consist primarily of highly-rated corporate securities, and have an average maturity of less than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4"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For the three months ended September 30, 2017, cash and cash equivalents increased by $1.9 million. This increase was primarily the result of the maturities of Aviragen’s short-term investments. For the fiscal year ended June 30, 2017, cash and cash equivalents decreased by $32.0 million. This decrease was primarily the result of Aviragen’s operating activities, purchases of short-term investments and payments on Aviragen’s note payable.</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For the three months ended September 30, 2017, net cash used by operating activities was $4.5 million, which reflected Aviragen’s net loss during the period of $5.3 million, a net decrease in operating liabilities of $0.9 million, partially offset by net non-cash adjustments of $0.8 million and a net decrease in operating assets of $0.9 million. Non-cash adjustments consist of $0.4 million in non-cash interest expense and $0.5 million in share-based compensation expense, partially offset by $0.1 million in non-cash royalty income.</w:t>
      </w:r>
    </w:p>
    <w:p>
      <w:pPr>
        <w:spacing w:after="0" w:line="187" w:lineRule="exact"/>
        <w:rPr>
          <w:sz w:val="20"/>
          <w:szCs w:val="20"/>
          <w:color w:val="auto"/>
        </w:rPr>
      </w:pPr>
    </w:p>
    <w:p>
      <w:pPr>
        <w:ind w:right="180"/>
        <w:spacing w:after="0" w:line="300" w:lineRule="auto"/>
        <w:rPr>
          <w:sz w:val="20"/>
          <w:szCs w:val="20"/>
          <w:color w:val="auto"/>
        </w:rPr>
      </w:pPr>
      <w:r>
        <w:rPr>
          <w:rFonts w:ascii="Arial" w:cs="Arial" w:eastAsia="Arial" w:hAnsi="Arial"/>
          <w:sz w:val="16"/>
          <w:szCs w:val="16"/>
          <w:color w:val="auto"/>
        </w:rPr>
        <w:t>Aviragen’s net loss resulted largely from Aviragen’s funding of research and development activities including conducting clinical and preclinical studies, manufacturing and formulation of its product candidates, as well as ongoing general and administrative expenses. The net changes in operating assets and liabilities primarily reflects a $0.9 million decrease in accounts payable and accrued expense due to reduced clinical trial activity, offset by a $0.4 million decrease in prepaid expenses, also due to reduced clinical trial activity and a $0.5 million decrease in receivables, which is largely related to royalty income.</w:t>
      </w:r>
    </w:p>
    <w:p>
      <w:pPr>
        <w:spacing w:after="0" w:line="15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For the fiscal year ended June 30, 2017, net cash used by operating activities was $30.0 million for the fiscal year ended June 30, 2017, which reflected Aviragen’s net loss during the period of $29.4 million, a net decrease in operating liabilities of $3.3 million, partially offset by net non-cash income of $0.6 million, and a net decrease in operating assets of $2.1 million. Non-cash adjustments primarily consist of $3.2 million in non-cash royalty revenue, offset by $1.8 million in non-cash interest expense and $1.9 million in share-based compensation expense.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8" w:name="page199"/>
    <w:bookmarkEnd w:id="19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Aviragen’s net loss resulted largely from Aviragen’s funding of research and development activities including conducting clinical and preclinical studies, manufacturing and formulation of Aviragen’s product candidates, as well as ongoing general and administrative expenses offset in part by Aviragen’s royalty revenues. The net changes in operating assets and liabilities primarily reflects a $3.3 million decrease in accounts payable and accrued expense due to reduced clinical trial activity, partially offset by a $2.0 million decrease in prepaid expenses, also due to reduced clinical trial activity.</w:t>
      </w:r>
    </w:p>
    <w:p>
      <w:pPr>
        <w:spacing w:after="0" w:line="171"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Net cash provided by investing activities during the three months ended September 30, 2017 consisted of the maturity of $13.4 million of investments, partially offset by the purchase of $7.0 million of investments.</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Net cash used in investing activities during the fiscal year ended June 30, 2017 consisted of the purchase of $36.3 million of investments, offset in part by the maturity of $34.7 million of investments.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There were no financing activities for the three months ended September 30, 2017. Net cash used in financing activities during the fiscal year ended June 30, 2017 consisted of $0.4 million for payment on a note payable.</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At September 30, 2017, Aviragen’s cash, cash equivalents and investments totaled $34.1 million. At June 30, 2017, Aviragen’s cash and cash equivalents totaled $17.7 million, not including Aviragen’s short-term investments of $20.9 million. Aviragen’s cash and cash equivalents are currently held in the form of short-term deposits with large U.S. banks. Aviragen’s short-term investments consist primarily of highly-rated corporate securities.</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Based on Aviragen’s current strategy and operating plan, and considering the potential costs associated with advancing the preclinical and clinical development of its product candidates, Aviragen believes that its existing cash, cash equivalents and investments of approximately $34.1 million as of September 30, 2017, along with the anticipated proceeds from existing royalty-bearing licenses will enable it to operate for a period of at least 12 months from the date of this proxy statement/prospectus/information statement.</w:t>
      </w:r>
    </w:p>
    <w:p>
      <w:pPr>
        <w:spacing w:after="0" w:line="18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Aviragen has an at-the-market, or ATM, facility in place, which may allow Aviragen to quickly access the equity capital markets if Aviragen thinks it is prudent to do so and if market conditions allow. However, Aviragen currently does not have any commitments for future funding, nor does it anticipate that it will generate significant revenue, aside from revenue from existing royalty-bearing arrangements.</w:t>
      </w:r>
    </w:p>
    <w:p>
      <w:pPr>
        <w:spacing w:after="0" w:line="18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October 30, 2017, Aviragen announced that it had entered into the Merger Agreement pursuant to which Vaxart, a privately-held clinical-stage company focused on developing oral recombinant vaccines from its proprietary delivery platform, would become a wholly-owned subsidiary of Aviragen. This transaction marks the culmination of Aviragen’s strategic review process. The merger, if it is completed, will result in a combined company focused on developing orally-delivered vaccines and therapeutics to address a variety of viral infections. As part of the strategic review process, Aviragen calculated the amount of funds that would be distributable to Aviragen stockholders associated with a potential liquidation of Aviragen. Based upon Aviragen’s estimated cash balance of approximately $31.5 million as of October 31, 2017 and Aviragen management’s estimates of future liabilities with respect to clinical and contingent contractual obligations, including a $10 million contingent payment related to the Anaconda stock purchase agreement, insurance and professional costs, other corporate expenses, lease expenses, compensation and severance expenses, debt repayment expenses and other shutdown expenses, Aviragen management estimated that Aviragen would have a base case liquidation value (including the value of projected royalty amounts) of approximately $22.4 million ($0.58 per share) as of October 31, 2017 that would be distributable to Aviragen stockholders. The timing of paying this estimated liquidation distribution is unknown and could take a significant period of time. In addition to the liquidation analysis, the Aviragen board of directors also considered pursuing a status quo strategy that would focus on using existing cash and royalties to continue to fund the BTA074 Phase 2 trial and the RSV non-fusion inhibitor programs to reach data readouts in 2018 that might enable a capital raise. Based on Aviragen management’s estimates of cash, future liabilities with respect to clinical and contingent contractual obligations, insurance and professional costs, other corporate expenses, lease expenses, compensation and severance expenses, debt repayment expenses and other expenses, and assuming the $10 million contingent payment related to the Anaconda stock purchase agreement would not be payable, Aviragen management’s estimated that Aviragen would have a post Phase 2 BTA074 clinical trial base case status quo value of $25 million ($0.65 per share). Accordingly, the Aviragen board of directors determined that the proposed transaction with Vaxart was superior for stockholders to the liquidation and status quo scenarios.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Aviragen’s future funding requirements are difficult to determine and will depend on a number of factors, including:</w:t>
      </w:r>
    </w:p>
    <w:p>
      <w:pPr>
        <w:spacing w:after="0" w:line="224" w:lineRule="exact"/>
        <w:rPr>
          <w:sz w:val="20"/>
          <w:szCs w:val="20"/>
          <w:color w:val="auto"/>
        </w:rPr>
      </w:pPr>
    </w:p>
    <w:p>
      <w:pPr>
        <w:ind w:left="660" w:hanging="329"/>
        <w:spacing w:after="0"/>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development timelines and plans for Aviragen’s product candidates, including any changes to those timelines, plans or Aviragen’s strategy;</w:t>
      </w:r>
    </w:p>
    <w:p>
      <w:pPr>
        <w:spacing w:after="0" w:line="235" w:lineRule="exact"/>
        <w:rPr>
          <w:rFonts w:ascii="Arial" w:cs="Arial" w:eastAsia="Arial" w:hAnsi="Arial"/>
          <w:sz w:val="17"/>
          <w:szCs w:val="17"/>
          <w:color w:val="auto"/>
        </w:rPr>
      </w:pPr>
    </w:p>
    <w:p>
      <w:pPr>
        <w:ind w:left="660" w:right="300" w:hanging="329"/>
        <w:spacing w:after="0" w:line="276"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variability, timing and costs associated with conducting clinical trials for Aviragen’s product candidates, the rate of enrollment in such clinical trials, and the results of these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9" w:name="page200"/>
    <w:bookmarkEnd w:id="19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variability, timing and costs associated with conducting preclinical studies, and the results of these studies;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cost of scaling up, formulating and manufacturing preclinical and clinical trial materials to evaluate Aviragen’s product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whether Aviragen receives regulatory approval to advance or begin the clinical development of its product candidates in a timely manner, if at all;</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cost and time to obtain regulatory approvals required to advance the development of Aviragen’s product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scope and size of Aviragen’s research and development efforts;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variability of future royalty revenue Aviragen may receive from existing royalty-bearing license agreements;</w:t>
      </w:r>
    </w:p>
    <w:p>
      <w:pPr>
        <w:spacing w:after="0" w:line="223"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size and cost of the general and administrative function Aviragen needs to manage Aviragen’s operations, including the infrastructure to support being a publicly-traded company;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cost of filing, prosecuting, and enforcing patent and other intellectual property claims.</w:t>
      </w:r>
    </w:p>
    <w:p>
      <w:pPr>
        <w:spacing w:after="0" w:line="22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Aviragen currently does not have any commitments for future funding, nor does Aviragen anticipate that it will generate significant revenue, aside from revenue from existing royalty-bearing arrangements. Therefore, in order to meet Aviragen’s anticipated liquidity needs beyond 12 months to support the development of Aviragen’s product candidates, or possibly sooner in the event Aviragen enters into other transactions or revises its strategy or development plans, Aviragen may need to raise or secure additional capital. If Aviragen does so, it would expect to do so primarily through the sale of additional common stock or other equity securities, as well as through proceeds from future licensing agreements, strategic collaborations, forms of asset or debt financing, or any other financing arrangement. Funds from these sources may not be available to Aviragen on acceptable terms, if at all, and Aviragen’s failure to raise such funds could have a material adverse impact on Aviragen’s future business strategy and plans, financial condition and results of operations. If adequate funds are not available to Aviragen on acceptable terms in the future, Aviragen may be required to delay, reduce the scope of, or eliminate one or more, if not all, of Aviragen’s research and development programs, or delay or curtail preclinical studies and clinical trials, or reduce its internal cost structure. If additional capital is not available to Aviragen on acceptable terms, it may need to obtain funds through license agreements, or collaborative or partner arrangements pursuant to which it will likely relinquish rights to certain product candidates that it might otherwise choose to develop or commercialize independently, or be forced to enter into such arrangements earlier than it would prefer, which would likely result in less favorable transaction terms. Additional equity financings may be dilutive to holders of Aviragen common stock, and debt financing, if available, may involve significant payment obligations and restrictive covenants that restrict how Aviragen operates its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During fiscal 2017, 2016 and the three months ended September 30, 2017, Aviragen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Aviragen, therefore, is not materially exposed to any financing, liquidity, market or credit risk that could arise if Aviragen had engaged in such relationships. Aviragen does not have any off-balance sheet arrangements, as defined in Item 303(a)(4) (ii) of Regulation S-K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Aviragen has entered into an operating lease for its corporate office in Alpharetta, Georgia through February 2021. The total annual rent expense under this lease is approximately $0.3 million. As of September 30, 2017, future payments under this non-cancellable operating lease total $1.0 million and payments are $0.2 million for the remaining nine months of fiscal year 2018 and $0.3 million for each of the fiscal years 2019 and 2020 and $0.2 million for fiscal year 2021. Contractual obligations do not include any amounts or payments related to development, regulatory, or commercialization milestones on Aviragen’s product candidates, as the payments are contingent on the achievement of these milestones, which have not occurred.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0" w:name="page201"/>
    <w:bookmarkEnd w:id="20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following discussion and analysis of Vaxart’s financial condition and results of operations should be read in conjunction with Vaxart’s financial statements and related notes included elsewhere in this prospectus. This discussion contains forward-looking statements that involve risks and uncertainties. Vaxart’s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Vaxart is a clinical-stage biotechnology company focused on developing oral recombinant protein vaccines based on its proprietary oral vaccine platform. Recombinant vaccines rely on a genetically engineered antigen to generate an immune response. Vaxart’s tablet vaccine candidates are based on its proprietary vector-based technology platform and are designed to generate broad and durable immune responses to protect against infectious diseases. Vaxart believes that tablet vaccines are easier to distribute and administer than injectable vaccines and have the potential to increase vaccination rates. Vaxart’s initial tablet vaccine candidates target a variety of infectious diseases, including: seasonal influenza, for which positive topline results were recently reported from a Phase 2 challenge study; norovirus, a widespread cause of the stomach flu, for which positive safety and immunogenicity results were recently reported from a Phase 1b study; respiratory syncytial virus, or RSV, a common cause of respiratory tract infections; and human papillomavirus, or HPV, a cause of cervical cancer.</w:t>
      </w:r>
    </w:p>
    <w:p>
      <w:pPr>
        <w:spacing w:after="0" w:line="16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Since Vaxart’s inception in 2004, the company has devoted substantially all of its resources to developing its tablet vaccine candidates, advancing preclinical programs, conducting clinical trials, manufacturing its tablet vaccine candidates for these clinical trials, and providing general and administrative support. Vaxart has funded its operations primarily from the issuance of preferred stock and convertible promissory notes. Although Vaxart has generated revenue for services performed under U.S. government grants, and more recently under a $15.7 million contract with HHS BARDA to support the development of a more effective and universal influenza vaccine, Vaxart has not generated any product revenue.</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Vaxart has never been profitable and has incurred net losses in each year since inception. Vaxart’s net losses were $19.5 million and $16.4 million for the years ended December 31, 2015 and 2016, respectively, and $8.5 million for the nine months ended September 30, 2017. As of September 30, 2017, Vaxart had an accumulated deficit of $78.9 million. Substantially all of its net losses have resulted from costs incurred in connection with its research and development programs and from general and administrative costs associated with these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Vaxart’s future funding requirements will depend on many factors, including the following:</w:t>
      </w:r>
    </w:p>
    <w:p>
      <w:pPr>
        <w:spacing w:after="0" w:line="224" w:lineRule="exact"/>
        <w:rPr>
          <w:sz w:val="20"/>
          <w:szCs w:val="20"/>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timing and costs of its planned clinical trials for its tablet vaccine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timing and costs of its planned preclinical studies of its tablet vaccine candidates;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its success in establishing and scaling commercial manufacturing capabilities;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and characteristics of tablet vaccine candidates that it pursues;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revenue received from commercial sales of its tablet vaccine candidates, which will be subject to receipt of regulatory approval;</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terms and timing of any future collaborations, licensing, consulting or other arrangements that it may enter into;</w:t>
      </w:r>
    </w:p>
    <w:p>
      <w:pPr>
        <w:spacing w:after="0" w:line="223" w:lineRule="exact"/>
        <w:rPr>
          <w:rFonts w:ascii="Arial" w:cs="Arial" w:eastAsia="Arial" w:hAnsi="Arial"/>
          <w:sz w:val="18"/>
          <w:szCs w:val="18"/>
          <w:color w:val="auto"/>
        </w:rPr>
      </w:pPr>
    </w:p>
    <w:p>
      <w:pPr>
        <w:ind w:left="660" w:right="200" w:hanging="329"/>
        <w:spacing w:after="0" w:line="276"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and timing of any payments Vaxart may be required to make in connection with the licensing, filing, prosecution, maintenance, defense and enforcement of any patents or patent applications or other intellectual property rights; and</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extent to which Vaxart in-licenses or acquires other products and technologies.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Vaxart’s independent auditor has expressed doubt about Vaxart’s ability to continue as a going concern</w:t>
      </w:r>
    </w:p>
    <w:p>
      <w:pPr>
        <w:spacing w:after="0" w:line="22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Based on its cash balances, recurring losses since inception and existing capital resources to fund planned operations for the next twelve months, Vaxart’s independent auditor has included an explanatory paragraph in its report on Vaxart’s financial statements as of and for the year ending December 31, 2016 expressing substantial doubt about Vaxart’s ability to continue as a going concern. If the merger is not consummated Vaxart will, during 2018, require significant additional funding to continue operations. If Vaxart is unable to continue as a going concern, it may be forced to liquidate its assets and the values it receives for its assets in liquidation or dissolution could be significantly lower than the values reflected in its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Government Contract</w:t>
      </w:r>
    </w:p>
    <w:p>
      <w:pPr>
        <w:spacing w:after="0" w:line="224"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In September 2015, HHS BARDA awarded Vaxart a contract to support the advanced development of a more effective and universal influenza vaccine to improve seasonal and pandemic influenza preparedness. The contract funds a Phase 2 challenge study. In 2017, the contract was extended. In total, the contract runs for two and a half years from October 1, 2015 to March 31, 2018. The contract, as modified, is a cost-plus-fixed-fee arrangement for $15.7 million, which reimburses Vaxart for allowable direct contract costs plus allowable indirect costs and a fixed-fee.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Research and development expenses represent costs incurred to conduct research, including the development of Vaxart’s tablet vaccine platform, its tablet vaccine candidates, preclinical and clinical activities, and manufacturing for these activities. Vaxart recognizes all research and development costs as they are incurred. Research and development expenses consist primarily of the following:</w:t>
      </w:r>
    </w:p>
    <w:p>
      <w:pPr>
        <w:spacing w:after="0" w:line="183" w:lineRule="exact"/>
        <w:rPr>
          <w:sz w:val="20"/>
          <w:szCs w:val="20"/>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that conduct clinical trials on its behalf;</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contract manufacturing expenses for the production of vaccine candidates used primarily in clinical trials;</w:t>
      </w:r>
    </w:p>
    <w:p>
      <w:pPr>
        <w:spacing w:after="0" w:line="223" w:lineRule="exact"/>
        <w:rPr>
          <w:rFonts w:ascii="Arial" w:cs="Arial" w:eastAsia="Arial" w:hAnsi="Arial"/>
          <w:sz w:val="18"/>
          <w:szCs w:val="18"/>
          <w:color w:val="auto"/>
        </w:rPr>
      </w:pPr>
    </w:p>
    <w:p>
      <w:pPr>
        <w:ind w:left="660" w:right="320" w:hanging="329"/>
        <w:spacing w:after="0" w:line="276"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process development expenses incurred internally and externally to improve the efficiency and yield of the bulk vaccine and tablet manufacturing activities;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laboratory supplies and vendor expenses related to its preclinical research activities;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consultant expenses for services supporting its clinical, regulatory and manufacturing activities;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facilities, depreciation and allocated overhead expenses.</w:t>
      </w:r>
    </w:p>
    <w:p>
      <w:pPr>
        <w:spacing w:after="0" w:line="224" w:lineRule="exact"/>
        <w:rPr>
          <w:sz w:val="20"/>
          <w:szCs w:val="20"/>
          <w:color w:val="auto"/>
        </w:rPr>
      </w:pPr>
    </w:p>
    <w:p>
      <w:pPr>
        <w:ind w:right="280"/>
        <w:spacing w:after="0" w:line="306" w:lineRule="auto"/>
        <w:rPr>
          <w:sz w:val="20"/>
          <w:szCs w:val="20"/>
          <w:color w:val="auto"/>
        </w:rPr>
      </w:pPr>
      <w:r>
        <w:rPr>
          <w:rFonts w:ascii="Arial" w:cs="Arial" w:eastAsia="Arial" w:hAnsi="Arial"/>
          <w:sz w:val="17"/>
          <w:szCs w:val="17"/>
          <w:color w:val="auto"/>
        </w:rPr>
        <w:t>Vaxart does not allocate its internal expenses to specific programs. Vaxart’s employees and other internal resources are not directly tied to any one research program and are typically deployed across multiple projects. Internal research and development expenses are presented as one total.</w:t>
      </w:r>
    </w:p>
    <w:p>
      <w:pPr>
        <w:spacing w:after="0" w:line="14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Vaxart incurs significant external costs on contract manufacturing of its tablet vaccine candidates, and on CROs that conduct clinical trials on Vaxart’s behalf. Vaxart captures these expenses for each vaccine program. Vaxart does not allocate external costs incurred on preclinical research or process development to specific programs.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shows Vaxart’s research and development expenses for the years ended December 31, 2015 and 2016 and for the nine months ended September 30, 2016 and 2017, identifying external costs that were incurred in each of its vaccine programs and, separately, on preclinical research and process development: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External program costs: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Influenza program, funded by BARDA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6,053</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Influenza program, non-BARDA</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Norovirus program</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RSV program</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Ebola program</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Preclinical research and process development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external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Internal costs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12,191</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17,634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11,478</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10,450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2" w:name="page203"/>
    <w:bookmarkEnd w:id="20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Vaxart expects that its research and development expenses will increase significantly over the next several years as it advances its tablet vaccine candidates into and through clinical trials, pursues regulatory approval of its tablet vaccine candidates and prepares for a possible commercial launch, all of which will also require a significant investment in contract and internal manufacturing and inventory related costs.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process of conducting clinical trials necessary to obtain regulatory approval is costly and time consuming. Vaxart may never succeed in achieving marketing approval for its tablet vaccine candidates. The probability of successful commercialization of its tablet vaccine candidates may be affected by numerous factors, including clinical data obtained in future trials, competition, manufacturing capability and commercial viability. As a result, Vaxart is unable to determine the duration and completion costs of its research and development projects or when and to what extent it will generate revenue from the commercialization and sale of any of its tablet vaccine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4"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General and administrative expenses consist of personnel costs, allocated expenses and expenses for outside professional services, including legal, audit, accounting, public relations, market research and other consulting services. Personnel costs consist of salaries, benefits and stock-based compensation. Allocated expenses consist of rent, deprecation and other facilities related expenses. Vaxart expects to incur additional expenses as a public company, including expenses related to compliance with the rules and regulations of the Securities and Exchange Commission, or SEC, the Nasdaq Global Market as well as additional insurance, investor relations and other professional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4"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Interest income consists of interest earned on Vaxart’s cash, cash equivalents and short-term investments and amortization of the premium or accretion of discount arising at acquisition of its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4" w:lineRule="exact"/>
        <w:rPr>
          <w:sz w:val="20"/>
          <w:szCs w:val="20"/>
          <w:color w:val="auto"/>
        </w:rPr>
      </w:pPr>
    </w:p>
    <w:p>
      <w:pPr>
        <w:ind w:right="360"/>
        <w:spacing w:after="0" w:line="340" w:lineRule="auto"/>
        <w:rPr>
          <w:sz w:val="20"/>
          <w:szCs w:val="20"/>
          <w:color w:val="auto"/>
        </w:rPr>
      </w:pPr>
      <w:r>
        <w:rPr>
          <w:rFonts w:ascii="Arial" w:cs="Arial" w:eastAsia="Arial" w:hAnsi="Arial"/>
          <w:sz w:val="16"/>
          <w:szCs w:val="16"/>
          <w:color w:val="auto"/>
        </w:rPr>
        <w:t>Interest expense mainly consists of interest incurred on Vaxart’s outstanding convertible promissory notes issued in December 2014 and 2015, and related non-cash amortization of debt discount. Interest is also incurred on the $5 million promissory note issued to Oxford Finance in December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22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Changes in fair value of financial instruments consist of gains or losses from the re-measurement of the embedded derivative liability associated with Vaxart’s convertible promissory notes. Vaxart will record adjustments to the estimated fair value of the embedded derivative liability associated with the convertible promissory notes issued in December 2014 and 2015 until the notes are converted into shares of its capital stock or are repaid.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2016 and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Nine Months Ended</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7"/>
              </w:rPr>
              <w:t>September 30,</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190"/>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430"/>
              <w:spacing w:after="0" w:line="190" w:lineRule="exact"/>
              <w:rPr>
                <w:sz w:val="20"/>
                <w:szCs w:val="20"/>
                <w:color w:val="auto"/>
              </w:rPr>
            </w:pPr>
            <w:r>
              <w:rPr>
                <w:rFonts w:ascii="Arial" w:cs="Arial" w:eastAsia="Arial" w:hAnsi="Arial"/>
                <w:sz w:val="18"/>
                <w:szCs w:val="18"/>
                <w:b w:val="1"/>
                <w:bCs w:val="1"/>
                <w:color w:val="auto"/>
                <w:w w:val="91"/>
              </w:rPr>
              <w:t>(unaudited)</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8"/>
          </w:tcPr>
          <w:p>
            <w:pPr>
              <w:ind w:left="60"/>
              <w:spacing w:after="0"/>
              <w:rPr>
                <w:sz w:val="20"/>
                <w:szCs w:val="20"/>
                <w:color w:val="auto"/>
              </w:rPr>
            </w:pPr>
            <w:r>
              <w:rPr>
                <w:rFonts w:ascii="Arial" w:cs="Arial" w:eastAsia="Arial" w:hAnsi="Arial"/>
                <w:sz w:val="18"/>
                <w:szCs w:val="18"/>
                <w:b w:val="1"/>
                <w:bCs w:val="1"/>
                <w:color w:val="auto"/>
              </w:rPr>
              <w:t>(in thousands, except percentages)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5"/>
        </w:trPr>
        <w:tc>
          <w:tcPr>
            <w:tcW w:w="1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from government contract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4,504</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5"/>
        </w:trPr>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10,450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5"/>
        </w:trPr>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(7,326)</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2,108</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equipment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5"/>
        </w:trPr>
        <w:tc>
          <w:tcPr>
            <w:tcW w:w="16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5"/>
        </w:trPr>
        <w:tc>
          <w:tcPr>
            <w:tcW w:w="16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Changes in fair value of financial instruments</w:t>
            </w: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160" w:type="dxa"/>
            <w:vAlign w:val="bottom"/>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3,672</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50"/>
        </w:trPr>
        <w:tc>
          <w:tcPr>
            <w:tcW w:w="160" w:type="dxa"/>
            <w:vAlign w:val="bottom"/>
            <w:tcBorders>
              <w:bottom w:val="single" w:sz="8" w:color="auto"/>
            </w:tcBorders>
          </w:tcPr>
          <w:p>
            <w:pPr>
              <w:spacing w:after="0"/>
              <w:rPr>
                <w:sz w:val="21"/>
                <w:szCs w:val="21"/>
                <w:color w:val="auto"/>
              </w:rPr>
            </w:pPr>
          </w:p>
        </w:tc>
        <w:tc>
          <w:tcPr>
            <w:tcW w:w="1000" w:type="dxa"/>
            <w:vAlign w:val="bottom"/>
            <w:tcBorders>
              <w:top w:val="single" w:sz="8" w:color="CCEEFF"/>
              <w:bottom w:val="single" w:sz="8" w:color="auto"/>
            </w:tcBorders>
          </w:tcPr>
          <w:p>
            <w:pPr>
              <w:spacing w:after="0"/>
              <w:rPr>
                <w:sz w:val="21"/>
                <w:szCs w:val="21"/>
                <w:color w:val="auto"/>
              </w:rPr>
            </w:pPr>
          </w:p>
        </w:tc>
        <w:tc>
          <w:tcPr>
            <w:tcW w:w="29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bl>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Not meaningful.</w:t>
      </w:r>
    </w:p>
    <w:p>
      <w:pPr>
        <w:sectPr>
          <w:pgSz w:w="11900" w:h="16838" w:orient="portrait"/>
          <w:cols w:equalWidth="0" w:num="1">
            <w:col w:w="11420"/>
          </w:cols>
          <w:pgMar w:left="240" w:top="118"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3" w:name="page204"/>
    <w:bookmarkEnd w:id="20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Government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$0.6 million in revenue was due to the reimbursement of a higher level of clinical activity under the contract with HHS BARDA.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decrease of $1.0 million in research and development expense was due to a decrease of $1.0 million in external program costs. Internal costs remained steady reflecting comparable headcounts and activities in each period.</w:t>
      </w:r>
    </w:p>
    <w:p>
      <w:pPr>
        <w:spacing w:after="0" w:line="170"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The $1.0 million decrease in external program costs was due primarily to: a $1.1 million decrease in manufacturing costs incurred in 2016 to support the influenza vaccines program; a $0.7 million reduction in RSV clinical costs due to the active phase of the Phase 1 trial ending in late 2016; partially offset by an increase of $0.5 million of norovirus clinical costs resulting from higher activity in 2017 when the Phase 1b study was conducted.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$0.5 million reduction in general and administrative expenses was due to a lower level of outside services in 2017 primarily related to fees for overseas patent filings and also investor and public relations activities that were minimal in 2017. Personnel-related costs were comparable reflecting a consistent average headcount between the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4"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Interest expense decreased by $0.7 million caused primarily by a decrease of $1.1 million of amortization of note discount, $0.7 million of which related to the 2014 notes that had been fully amortized in 2016, and $0.4 million of which related to the 2015 notes due to the extension of anticipated maturity date. This was partially offset by an increase of $0.4 million in interest expense on the secured promissory note payable to Oxford Finance issued in December 2016.</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224"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Changes in fair value of financial instruments were $1.0 million for the nine months ended September 30, 2017 compared to $0.2 million for the nine months ended September 30, 2016. These changes are due to the re-measurement of the embedded derivative liability associated with Vaxart’s convertible promissory notes issued in December 2014 and 2015. The significant reduction in the fair value of derivatives in 2017 was due to a combination of: a lower estimated likelihood of there being a qualified financing event; and a lower estimated likelihood of there being a high value acquisition or IPO event.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4" w:name="page205"/>
    <w:bookmarkEnd w:id="20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w w:val="91"/>
              </w:rPr>
              <w:t>Comparison of the Years Ended December 31, 2015 and 2016</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2"/>
        </w:trPr>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December 31,</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(in thousands, except percentages)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 from government contract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w:t>
            </w:r>
          </w:p>
        </w:tc>
      </w:tr>
      <w:tr>
        <w:trPr>
          <w:trHeight w:val="215"/>
        </w:trPr>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17,634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5"/>
        </w:trPr>
        <w:tc>
          <w:tcPr>
            <w:tcW w:w="16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(1,594)</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9"/>
        </w:trPr>
        <w:tc>
          <w:tcPr>
            <w:tcW w:w="16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09"/>
        </w:trPr>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(12,721)</w:t>
            </w: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3,961</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5"/>
        </w:trPr>
        <w:tc>
          <w:tcPr>
            <w:tcW w:w="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5"/>
        </w:trPr>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(3,943)</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(1,369)</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5"/>
        </w:trPr>
        <w:tc>
          <w:tcPr>
            <w:tcW w:w="1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Changes of fair value of financial instruments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0"/>
        </w:trPr>
        <w:tc>
          <w:tcPr>
            <w:tcW w:w="16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(19,513)</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(16,362)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3,151</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0"/>
        </w:trPr>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Government Contract</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HHS BARDA contract commenced on October 1, 2015. The active phase of the clinical trial did not commence until mid-2016, resulting in low costs and revenues in 2015 and significantly higher costs and revenues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increase of $5.4 million in research and development expense was due to an increase of $5.0 million in external program costs and approximately $0.5 million in internal costs.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increase in external program costs was driven primarily by an increase of $5.3 million of costs incurred under the HHS BARDA contract. The active phase of the clinical trial commenced mid-2016. Few costs were incurred in 2015 during the start-up phase. Costs for the norovirus program remained relatively consistent: $1.5 million was incurred in 2015 for the manufacturing of norovirus vaccine candidates; and $1.5 million was incurred in 2016 primarily on the norovirus Phase 1 study that was mostly complete by year end. Costs for the Phase 1 RSV program increased $0.4 million: $1.1 million was incurred in 2015 for the manufacturing of the RSV vaccine candidate for the clinical trial; and $1.5 million was incurred in 2016 primarily for the Phase 1 clinical trial that was mostly complete by year end. These increases were offset by a reduction of $0.5 million in the Ebola program, which ended in 2015. Preclinical and process development expenses fell $0.3 million due to lower external preclinical research activities.</w:t>
      </w:r>
    </w:p>
    <w:p>
      <w:pPr>
        <w:spacing w:after="0" w:line="17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$0.5 million increase in internal costs was primarily due to a $0.4 million increase in personnel-related costs associated with an increase in headcount, a $0.3 million increase in facilities-related expense for renting an additional facility in May 2015, offset by a $0.2 million decrease in lab supplies related to lower preclinical research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General and administrative expenses decreased by $1.6 million. The decrease was primarily due to a non-recurring expense in 2015 totaling $1.4 million arising from a write off of legal, printing and accounting costs incurred in an attempted IPO. There was a related reduction of $0.7 million in business development, market research, and investor and public relations consulting expenses, as most of these activities were significantly reduced in 2016. This was offset by an increase of $0.5 million of personnel-related costs primarily due to the addition of a business development executive.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by $1.4 million due to $11.0 million of promissory notes being issued in December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Financial Instruments</w:t>
      </w:r>
    </w:p>
    <w:p>
      <w:pPr>
        <w:spacing w:after="0" w:line="2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fair value of embedded derivatives relating to promissory notes issued in December 2014 and December 2015 increased by $0.3 million in 2015, and decreased by $0.2 million in 2016. The increase in 2015 related to an increase in value over 2015 of the notes issued in December 2014. The decrease in 2016 related to a 6% decrease in the value of derivatives for both tranches of the promissory notes. The value of these derivatives increased or decreased mainly with the underlying estimated value of Vaxart.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5" w:name="page206"/>
    <w:bookmarkEnd w:id="20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8"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Since inception, Vaxart’s operations have been financed primarily by net proceeds of $38.9 million from the sale of its preferred stock and $34.3 million from the issuance of convertible promissory notes. As of September 30, 2017, Vaxart had $5.3 million of cash, cash equivalents and short-term investments.</w:t>
      </w:r>
    </w:p>
    <w:p>
      <w:pPr>
        <w:spacing w:after="0" w:line="125" w:lineRule="exact"/>
        <w:rPr>
          <w:sz w:val="20"/>
          <w:szCs w:val="20"/>
          <w:color w:val="auto"/>
        </w:rPr>
      </w:pPr>
    </w:p>
    <w:p>
      <w:pPr>
        <w:ind w:right="440"/>
        <w:spacing w:after="0" w:line="340" w:lineRule="auto"/>
        <w:rPr>
          <w:sz w:val="20"/>
          <w:szCs w:val="20"/>
          <w:color w:val="auto"/>
        </w:rPr>
      </w:pPr>
      <w:r>
        <w:rPr>
          <w:rFonts w:ascii="Arial" w:cs="Arial" w:eastAsia="Arial" w:hAnsi="Arial"/>
          <w:sz w:val="16"/>
          <w:szCs w:val="16"/>
          <w:color w:val="auto"/>
        </w:rPr>
        <w:t>Vaxart’s primary uses of cash are to fund operating expenses, primarily research and development expenditures. Cash used to fund operating expenses is impacted by the timing of when Vaxart pays these expenses, as reflected in the change in its outstanding accounts payable and accrued expenses.</w:t>
      </w:r>
    </w:p>
    <w:p>
      <w:pPr>
        <w:spacing w:after="0" w:line="125"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Vaxart plans to continue to fund its operations and capital funding needs through equity and/or debt financing. Vaxart may also enter into government funding programs and consider selectively partnering for clinical development and commercialization. The sale of additional equity would result in additional dilution to its stockholders. Incurring debt financing would result in debt service obligations, and the instruments governing such debt could provide for operating and financing covenants that would restrict the company’s operations. If Vaxart is unable to raise additional capital in sufficient amounts or on acceptable terms, it may be required to delay, limit, reduce, or terminate its product development or future commercialization efforts or grant rights to develop and market vaccine candidates that it would otherwise prefer to develop and market itself. Any of these actions could harm its business,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Vaxart’s cash flows for the periods indicated (in thousands):</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4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Operating activities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(15,222)</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(11,740)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(10,596)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(7,791)</w:t>
            </w:r>
          </w:p>
        </w:tc>
      </w:tr>
      <w:tr>
        <w:trPr>
          <w:trHeight w:val="215"/>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cash and cash equivalents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(4,787)</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(6,487)</w:t>
            </w: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nine months ended September 30, 2017, cash used in operating activities was $7.8 million, which was primarily due to a net loss of $8.5 million, plus changes in operating assets and liabilities of $1.0 million, partially offset by non-cash charges of $0.3 million for depreciation and amortization, $0.4 million for stock-based compensation, $1.9 million of non-cash interest accruing primarily on convertible promissory notes, and $0.1 million for amortization of discount on the convertible promissory notes offset by a $0.9 million loss in the value of embedded derivatives relating to promissory notes issued. The changes in operating assets and liabilities of $1.0 million was primarily due to a net decrease of $2.2 million in accounts payable and accrued liabilities, offset by $1.3 million decrease in accounts receivable, both due to a reduction in clinical activities over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2016, cash used in operating activities was $10.6 million, which was primarily due to a net loss of $12.2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plus changes in operating assets and liabilities of $1.9 million, partially offset by non-cash charges of $0.3 million for depreciation and amortization,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stock-based compensation, $1.8 million of non-cash interest accruing on convertible promissory notes, and $1.2 million for amortization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discount on convertible promissory notes. The changes in operating assets and liabilities of $1.9 million was primarily due to an increase of $1.5 million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relating to the increase in activities of the HHS BARDA-funded clinical trial, $0.5 million increase in prepaid expenses relating primarily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 clinical trial activities, offset by a $0.1 million net increase in accounts payable and accrued liabilities.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2016, cash used in operating activities was $11.7 million, which was primarily due to a net loss of $16.4 million, partially offset by non-cash charges of $0.3 million for depreciation and amortization, $0.5 million for stock-based compensation, $2.4 million of non-cash interest accruing on convertible promissory notes, $1.6 million for amortization of discount on the convertible promissory notes, and net changes in operating assets and liabilities of $0.1 million, offset by a $0.2 million loss in the value of embedded derivatives relating to promissory notes issued. The net changes in operating assets and liabilities was due to a net increase of $1.4 million in accounts payable and accrued liabilities offset by a $1.4 million increase in accounts receivable.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6" w:name="page207"/>
    <w:bookmarkEnd w:id="20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For the year ended December 31, 2015, cash used in operating activities was $15.2 million, which was primarily due to a net loss of $19.5 million, partially offset by non-cash charges of: $0.3 million for depreciation and amortization, $0.3 million for stock-based compensation, $1.6 million of non-cash interest accruing on convertible promissory notes, $1.0 million for amortization of discount on convertible promissory notes, a $0.3 million loss in the value of embedded derivatives relating to promissory notes issued, and changes in operating assets and liabilities of $0.7 million primarily resulting from a net increase of $1.0 million in accounts payable and accrued liabilities offset by a $0.2 million increase in accounts receivable.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nine months ended September 30, 2017, cash generated from investing activities was $1.3 million, which was related to maturities of short-term investments of $8.1 million, offset by purchases of short-term investments of $6.8 million. Purchases of property and equipment were $0.1 million, offset by proceeds from the sale of equipment of $0.1 million.</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2016, cash used in investing activities was $5.0 million, which was related to purchases of short-term investments of $15.9 million and purchases of property and equipment of $0.5 million. These outflows were offset by proceeds from the maturities of short-term investments of $11.3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2016, cash used in investing activities was $2.7 million, which was related to purchases of short-term investments of</w:t>
      </w:r>
    </w:p>
    <w:p>
      <w:pPr>
        <w:spacing w:after="0" w:line="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$17.5 million and purchases of property and equipment of $0.5 million. These outflows were offset by proceeds from the maturities of short-term investments of $15.3 million.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2015, cash used in investing activities was $0.6 million, which was related to purchases of short-term investments of</w:t>
      </w:r>
    </w:p>
    <w:p>
      <w:pPr>
        <w:spacing w:after="0" w:line="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$18.4 million and purchases of property and equipment of $0.4 million. These outflows were offset by proceeds from the maturities of short-term investments of $18.1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2017, no cash was provided by financing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2016, cash provided by financing activities was $9,000 from the exercise of stock options.</w:t>
      </w:r>
    </w:p>
    <w:p>
      <w:pPr>
        <w:spacing w:after="0" w:line="224" w:lineRule="exact"/>
        <w:rPr>
          <w:sz w:val="20"/>
          <w:szCs w:val="20"/>
          <w:color w:val="auto"/>
        </w:rPr>
      </w:pPr>
    </w:p>
    <w:p>
      <w:pPr>
        <w:ind w:right="820"/>
        <w:spacing w:after="0" w:line="276" w:lineRule="auto"/>
        <w:rPr>
          <w:sz w:val="20"/>
          <w:szCs w:val="20"/>
          <w:color w:val="auto"/>
        </w:rPr>
      </w:pPr>
      <w:r>
        <w:rPr>
          <w:rFonts w:ascii="Arial" w:cs="Arial" w:eastAsia="Arial" w:hAnsi="Arial"/>
          <w:sz w:val="18"/>
          <w:szCs w:val="18"/>
          <w:color w:val="auto"/>
        </w:rPr>
        <w:t>For the year ended December 31, 2016, cash provided by financing activities was $4.9 million, net of issuance costs, from the issuance of a secured promissory note for $5.0 million to Oxford Finance in December 2016.</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For the year ended December 31, 2015, cash provided by financing activities was $11.1 million substantially all from the issuance of convertible promissory notes in December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 and Plan of Operations</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date, Vaxart has not generated any product revenue. Vaxart does not know when, or if, it will generate any product revenue and Vaxart does not expect to generate significant product revenue unless and until it obtains regulatory approval and commercializes one of its current or future tablet vaccine candidates. Vaxart anticipates that it will continue to generate losses for the foreseeable future, and it expects the losses to increase as it continues the development of, and seek regulatory approvals for, its tablet vaccine candidates, and begin to commercialize any approved vaccine candidates. Vaxart is subject to all of the risks incident in the development of new products, and it may encounter unforeseen expenses, difficulties, complications, delays and other unknown factors that may harm its business. Vaxart expects to incur additional costs associated with operating as a public company and it anticipates that it will need substantial additional funding in connection with its continuing operations.</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Vaxart expects that its existing cash, cash equivalents and short-term investments, following the closing of the proposed merger, will be sufficient to enable it to conduct planned preclinical studies and clinical trials for its tablet vaccine candidates into the second quarter of 2019. Substantial additional funding will be required to complete the process of obtaining regulatory approval for its tablet vaccine candidates and to build the sales, marketing and distribution infrastructure that Vaxart believes will be necessary to commercialize its tablet vaccine candidates</w:t>
      </w:r>
    </w:p>
    <w:p>
      <w:pPr>
        <w:spacing w:after="0" w:line="18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Vaxart has based its projections of operating capital requirements on assumptions that may prove to be incorrect and it may use all of its available capital resources sooner than it expects. Because of the numerous risks and uncertainties associated with research, development and commercialization of pharmaceutical products, Vaxart is unable to estimate the exact amount of its operating capital requirements. Vaxart’s future funding requirements will depend on many factors, including, but not limited to:</w:t>
      </w:r>
    </w:p>
    <w:p>
      <w:pPr>
        <w:spacing w:after="0" w:line="187" w:lineRule="exact"/>
        <w:rPr>
          <w:sz w:val="20"/>
          <w:szCs w:val="20"/>
          <w:color w:val="auto"/>
        </w:rPr>
      </w:pPr>
    </w:p>
    <w:p>
      <w:pPr>
        <w:ind w:left="5580" w:right="5280" w:hanging="5249"/>
        <w:spacing w:after="0" w:line="621" w:lineRule="auto"/>
        <w:tabs>
          <w:tab w:leader="none" w:pos="65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its planned clinical trials; 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725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7" w:name="page208"/>
    <w:bookmarkEnd w:id="20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660" w:right="500" w:hanging="329"/>
        <w:spacing w:after="0" w:line="276"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European Medicines Agency, or EMA, and other comparable foreign regulatory authorities;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its patent claims and other intellectual property rights;</w:t>
      </w:r>
    </w:p>
    <w:p>
      <w:pPr>
        <w:spacing w:after="0" w:line="223"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Vaxart now or in the future;</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cost of establishing sales, marketing and distribution capabilities in regions where it chooses to commercialize its tablet vaccines on its own; and</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initiation, progress, timing and results of its commercialization of its tablet vaccine candidates, if approved, for commercial sale.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Vaxart’s non-cancelable contractual obligations as of September 30, 2017 (in thousands):</w:t>
      </w:r>
    </w:p>
    <w:p>
      <w:pPr>
        <w:spacing w:after="0" w:line="220"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5"/>
              </w:rPr>
              <w:t>Payments Due By Period</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80"/>
              <w:spacing w:after="0" w:line="190" w:lineRule="exact"/>
              <w:rPr>
                <w:sz w:val="20"/>
                <w:szCs w:val="20"/>
                <w:color w:val="auto"/>
              </w:rPr>
            </w:pPr>
            <w:r>
              <w:rPr>
                <w:rFonts w:ascii="Arial" w:cs="Arial" w:eastAsia="Arial" w:hAnsi="Arial"/>
                <w:sz w:val="18"/>
                <w:szCs w:val="18"/>
                <w:b w:val="1"/>
                <w:bCs w:val="1"/>
                <w:color w:val="auto"/>
              </w:rPr>
              <w:t>Less Than</w:t>
            </w:r>
          </w:p>
        </w:tc>
        <w:tc>
          <w:tcPr>
            <w:tcW w:w="220" w:type="dxa"/>
            <w:vAlign w:val="bottom"/>
          </w:tcPr>
          <w:p>
            <w:pPr>
              <w:spacing w:after="0"/>
              <w:rPr>
                <w:sz w:val="16"/>
                <w:szCs w:val="16"/>
                <w:color w:val="auto"/>
              </w:rPr>
            </w:pPr>
          </w:p>
        </w:tc>
        <w:tc>
          <w:tcPr>
            <w:tcW w:w="1020" w:type="dxa"/>
            <w:vAlign w:val="bottom"/>
          </w:tcPr>
          <w:p>
            <w:pPr>
              <w:jc w:val="right"/>
              <w:ind w:right="410"/>
              <w:spacing w:after="0" w:line="190"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90"/>
              <w:spacing w:after="0" w:line="190" w:lineRule="exact"/>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r>
      <w:tr>
        <w:trPr>
          <w:trHeight w:val="249"/>
        </w:trPr>
        <w:tc>
          <w:tcPr>
            <w:tcW w:w="320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 xml:space="preserve">Debt principal and interest </w:t>
            </w:r>
            <w:r>
              <w:rPr>
                <w:rFonts w:ascii="Arial" w:cs="Arial" w:eastAsia="Arial" w:hAnsi="Arial"/>
                <w:sz w:val="28"/>
                <w:szCs w:val="28"/>
                <w:color w:val="auto"/>
                <w:vertAlign w:val="superscript"/>
              </w:rPr>
              <w:t>(1)</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6,028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3200" w:type="dxa"/>
            <w:vAlign w:val="bottom"/>
          </w:tcPr>
          <w:p>
            <w:pPr>
              <w:spacing w:after="0" w:line="25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9"/>
                <w:szCs w:val="29"/>
                <w:color w:val="auto"/>
                <w:vertAlign w:val="superscript"/>
              </w:rPr>
              <w:t>(2)</w:t>
            </w:r>
          </w:p>
        </w:tc>
        <w:tc>
          <w:tcPr>
            <w:tcW w:w="8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2"/>
        </w:trPr>
        <w:tc>
          <w:tcPr>
            <w:tcW w:w="32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Operating leases </w:t>
            </w:r>
            <w:r>
              <w:rPr>
                <w:rFonts w:ascii="Arial" w:cs="Arial" w:eastAsia="Arial" w:hAnsi="Arial"/>
                <w:sz w:val="28"/>
                <w:szCs w:val="28"/>
                <w:color w:val="auto"/>
                <w:vertAlign w:val="superscript"/>
              </w:rPr>
              <w:t>(3)</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7,102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4,072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29" w:lineRule="exact"/>
        <w:rPr>
          <w:sz w:val="20"/>
          <w:szCs w:val="20"/>
          <w:color w:val="auto"/>
        </w:rPr>
      </w:pPr>
    </w:p>
    <w:p>
      <w:pPr>
        <w:ind w:left="400" w:hanging="392"/>
        <w:spacing w:after="0" w:line="258" w:lineRule="auto"/>
        <w:tabs>
          <w:tab w:leader="none" w:pos="4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Reflects principal and interest payments due to Oxford Finance under a secured promissory note. Interest accrued under convertible promissory notes has not been reflected as no cash payments are anticipated.</w:t>
      </w:r>
    </w:p>
    <w:p>
      <w:pPr>
        <w:ind w:left="400" w:hanging="392"/>
        <w:spacing w:after="0" w:line="249" w:lineRule="auto"/>
        <w:tabs>
          <w:tab w:leader="none" w:pos="4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Vaxart has firm non-cancelable purchase commitments to various contract research organization and contract manufacturing organizations. These commitments are substantially all incurred under the contract with HHS BARDA, and are reimbursable.</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Vaxart leases its main facility under a long-term operating lease.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During 2015, 2016 and the nine months ended September 30, 2017, Vaxart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Vaxart is exposed to market risks in the ordinary course of its business. These risks primarily include interest rate sensitivities. As of December 31, 2016 and September 30, 2017, Vaxart had cash, cash equivalents and short-term investments of $13.1 million and $5.3 million, respectively, which consisted primarily of bank deposits, money market funds and corporate bonds. Such interest-earning instruments carry a degree of interest rate risk; however, historical fluctuations of interest income have not been significant.</w:t>
      </w:r>
    </w:p>
    <w:p>
      <w:pPr>
        <w:spacing w:after="0" w:line="187" w:lineRule="exact"/>
        <w:rPr>
          <w:sz w:val="20"/>
          <w:szCs w:val="20"/>
          <w:color w:val="auto"/>
        </w:rPr>
      </w:pPr>
    </w:p>
    <w:p>
      <w:pPr>
        <w:ind w:right="960"/>
        <w:spacing w:after="0" w:line="276" w:lineRule="auto"/>
        <w:rPr>
          <w:sz w:val="20"/>
          <w:szCs w:val="20"/>
          <w:color w:val="auto"/>
        </w:rPr>
      </w:pPr>
      <w:r>
        <w:rPr>
          <w:rFonts w:ascii="Arial" w:cs="Arial" w:eastAsia="Arial" w:hAnsi="Arial"/>
          <w:sz w:val="18"/>
          <w:szCs w:val="18"/>
          <w:color w:val="auto"/>
        </w:rPr>
        <w:t>As of December 31, 2016 and September 30, 2017, Vaxart had convertible promissory notes due to related parties with principal amounts totaling $29.5 million. Vaxart’s convertible promissory notes carry a fixed interest rate of 8.0%.</w:t>
      </w:r>
    </w:p>
    <w:p>
      <w:pPr>
        <w:spacing w:after="0" w:line="170"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As of December 31, 2016 and September 30, 2017, Vaxart had a secured promissory note due to Oxford Finance with a principal amount of $5.0 million. The annual effective interest rate, including the accretion of the final payment and amortization of the debt discount, is approximately 10.5%.</w:t>
      </w:r>
    </w:p>
    <w:p>
      <w:pPr>
        <w:spacing w:after="0" w:line="148"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 hypothetical 100 basis change in interest rates during any of the periods presented would not have had a material impact on Vaxart’s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8" w:name="page209"/>
    <w:bookmarkEnd w:id="20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Vaxart’s management’s discussion and analysis of its financial condition and results of operations is based on its financial statements, which have been prepared in accordance with generally accepted accounting principles in the United States, or U.S.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Vaxart’s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Vaxart believes that the accounting policies discussed below are critical to understanding its historical and future performance, as these policies relate to the more significant areas involving management’s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Vaxart records accrued expenses for estimated costs of its research and development activities conducted by third-party service providers, which include the conduct of preclinical and clinical trials and contract manufacturing activities. Vaxart records the estimated costs of research and development activities based upon the estimated amount of services provided but not yet invoiced, and include these costs in accrued liabilities in the balance sheets and within research and development expense in the statements of operations and comprehensive loss. These costs are a significant component of its research and development expenses.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Vaxart estimates the amount of services provided through discussions with internal personnel and external service providers as to the progress or stage of completion of the services and the agreed-upon fee to be paid for such services. Vaxart makes significant judgments and estimates in determining the accrued balance in each reporting period. As actual costs become known, it adjusts its accrued estimates. Although Vaxart does not expect its estimates to be materially different from amounts actually incurred, its understanding of the status and timing of services performed, the number of subjects enrolled, and the rate of enrollment may vary from its estimates and could result in Vaxart reporting amounts that are too high or too low in any particular period. Vaxart’s accrued expenses are dependent, in part, upon the receipt of timely and accurate reporting from CROs and other third-party service providers. To date, there have been no material differences from its accrued expenses to actual expenses.</w:t>
      </w:r>
    </w:p>
    <w:p>
      <w:pPr>
        <w:spacing w:after="0" w:line="178"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Vaxart recognizes revenue under research contracts when a contract has been executed, the contract price is fixed or determinable, delivery of services or products has occurred and collection of the contract price is reasonably assured.</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the cost reimbursable contract with HHS BARDA, the Company is reimbursed for allowable costs, and recognizes revenue as allowable costs are incurred and the fixed-fee is earned.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Payments to Vaxart under cost reimbursable contracts, such as this contract,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Embedded Derivative Liability</w:t>
      </w:r>
    </w:p>
    <w:p>
      <w:pPr>
        <w:spacing w:after="0" w:line="22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Vaxart has derivative instruments related to redemption features embedded within the outstanding convertible promissory notes that were issued in December 2014. The compound embedded derivative was accounted for as a liability at its estimated fair value at the inception of the obligation and is remeasured to fair value as of each balance sheet date, with the related re-measurement adjustment recognized as a component of changes in fair value of financial instruments in the statement of operations and comprehensive loss. The estimated fair value of the compound embedded derivative is determined using a Monte Carlo Simulation model. The inputs used to determine estimated fair value of the derivative instruments include the probabilities of the underlying events triggering the redemption event and their timing prior to the maturity date of the convertible promissory notes. Vaxart will record adjustments to the estimated fair value of the compound embedded derivative associated with the convertible promissory notes until the notes are converted into shares of its capital stock or are repaid.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Vaxart recognizes compensation costs related to stock options granted to employees based on the estimated fair value of the awards on the date of grant, net of estimated forfeitures. Vaxart estimates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spacing w:after="0" w:line="18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Vaxart accounts for stock-based compensation arrangements with non-employees using a fair value approach. The fair value of these options is measured using the Black-Scholes option pricing model reflecting the same assumptions as applied to employee options in each of the reported periods, other than the expected life, which is assumed to be the remaining contractual life of the option. The fair value of the unvested options under these arrangements is subject to re-measurement over the vesting terms as earned.</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09" w:name="page210"/>
    <w:bookmarkEnd w:id="20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Vaxart recorded stock-based compensation expense related to options granted to employees and non-employees of $0.3 million and $0.5 million for 2015 and 2016, respectively, and $0.4 million and $0.4 million for the nine months ended September 30, 2016 and 2017, respectively. As of September 30, 2017, Vaxart had $0.7 million of total unrecognized stock-based compensation costs, net of estimated forfeitures, which Vaxart expects to recognize over a weighted-average period of 2.17 years.</w:t>
      </w:r>
    </w:p>
    <w:p>
      <w:pPr>
        <w:spacing w:after="0" w:line="187"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70" w:lineRule="exact"/>
        <w:rPr>
          <w:sz w:val="20"/>
          <w:szCs w:val="20"/>
          <w:color w:val="auto"/>
        </w:rPr>
      </w:pPr>
    </w:p>
    <w:p>
      <w:pPr>
        <w:ind w:left="660" w:right="580" w:hanging="329"/>
        <w:spacing w:after="0" w:line="276" w:lineRule="auto"/>
        <w:tabs>
          <w:tab w:leader="none" w:pos="66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Its expected term represents the period that its stock-based awards are expected to be outstanding and is determined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169" w:lineRule="exact"/>
        <w:rPr>
          <w:rFonts w:ascii="Arial" w:cs="Arial" w:eastAsia="Arial" w:hAnsi="Arial"/>
          <w:sz w:val="18"/>
          <w:szCs w:val="18"/>
          <w:b w:val="1"/>
          <w:bCs w:val="1"/>
          <w:i w:val="1"/>
          <w:iCs w:val="1"/>
          <w:color w:val="auto"/>
        </w:rPr>
      </w:pPr>
    </w:p>
    <w:p>
      <w:pPr>
        <w:ind w:left="660" w:right="40" w:hanging="329"/>
        <w:spacing w:after="0" w:line="285" w:lineRule="auto"/>
        <w:tabs>
          <w:tab w:leader="none" w:pos="660" w:val="left"/>
        </w:tabs>
        <w:numPr>
          <w:ilvl w:val="0"/>
          <w:numId w:val="1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 Since Vaxart is a privately held company and do not have any trading history for its common stock, the expected volatility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based on the average volatility for comparable publicly traded life sciences companies over a period equal to the expected term of the stock option grants. The comparable companies were chosen based on their similar size, stage in the life cycle, or area of specialty.</w:t>
      </w:r>
    </w:p>
    <w:p>
      <w:pPr>
        <w:spacing w:after="0" w:line="164" w:lineRule="exact"/>
        <w:rPr>
          <w:rFonts w:ascii="Arial" w:cs="Arial" w:eastAsia="Arial" w:hAnsi="Arial"/>
          <w:sz w:val="17"/>
          <w:szCs w:val="17"/>
          <w:b w:val="1"/>
          <w:bCs w:val="1"/>
          <w:i w:val="1"/>
          <w:iCs w:val="1"/>
          <w:color w:val="auto"/>
        </w:rPr>
      </w:pPr>
    </w:p>
    <w:p>
      <w:pPr>
        <w:ind w:left="660" w:right="700" w:hanging="329"/>
        <w:spacing w:after="0" w:line="276" w:lineRule="auto"/>
        <w:tabs>
          <w:tab w:leader="none" w:pos="66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with the expected term of option.</w:t>
      </w:r>
    </w:p>
    <w:p>
      <w:pPr>
        <w:spacing w:after="0" w:line="169" w:lineRule="exact"/>
        <w:rPr>
          <w:rFonts w:ascii="Arial" w:cs="Arial" w:eastAsia="Arial" w:hAnsi="Arial"/>
          <w:sz w:val="18"/>
          <w:szCs w:val="18"/>
          <w:b w:val="1"/>
          <w:bCs w:val="1"/>
          <w:i w:val="1"/>
          <w:iCs w:val="1"/>
          <w:color w:val="auto"/>
        </w:rPr>
      </w:pPr>
    </w:p>
    <w:p>
      <w:pPr>
        <w:ind w:left="660" w:hanging="329"/>
        <w:spacing w:after="0" w:line="276" w:lineRule="auto"/>
        <w:tabs>
          <w:tab w:leader="none" w:pos="66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Expected Dividend</w:t>
      </w:r>
      <w:r>
        <w:rPr>
          <w:rFonts w:ascii="Arial" w:cs="Arial" w:eastAsia="Arial" w:hAnsi="Arial"/>
          <w:sz w:val="18"/>
          <w:szCs w:val="18"/>
          <w:color w:val="auto"/>
        </w:rPr>
        <w:t>. Vaxart has never paid dividends on its common stock and have no plans to pay dividends on its common stock. Therefore, Vaxart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used an expected dividend yield of zero.</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the Black-Scholes assumptions, Vaxart estimates its forfeiture rate based on an analysis of its actual forfeitures and will continue to evaluate the adequacy of the forfeiture rate based on actual forfeiture experience, analysis of employee turnover behavior, and other factors. The impact from any forfeiture rate adjustment would be recognized in full in the period of adjustment and if the actual number of future forfeitures differs from its estimates, Vaxart might be required to record adjustments to stock-based compensation in future periods.</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values of the shares of common stock underlying Vaxart’s share-based awards were estimated on each grant date by its board of directors. In order to determine the fair value of its common stock underlying option grants, its board of directors considered, among other things, prior and recent valuations of its common stock prepared by an unrelated third-party valuation firm in accordance with the guidance outlined in the American Institute of Certified Public Accountants Practice Aid, Valuation of Privately-Held-Company Equity Securities Issued as Compensation. Given the absence of a public trading market for its common stock, its board of directors exercised reasonable judgment and considered a number of objective and subjective factors to determine the best estimate of the fair value of its common stock, including its stage of development; progress of its research and development efforts; the rights, preferences and privileges of its preferred stock relative to those of its common stock; equity market conditions affecting comparable public companies and the lack of marketability of its common stock.</w:t>
      </w:r>
    </w:p>
    <w:p>
      <w:pPr>
        <w:spacing w:after="0" w:line="1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determining a fair value for its common stock, Vaxart estimated the enterprise value of its business using the probability weighted expected return method, a form of the market approach. The market approach estimates the fair value of a company by including an estimated value of the business based on estimations surrounding future company values under various scenarios, such as initial public offering scenarios, merger and acquisition scenarios, stay-private or dissolution scenarios. The per share fair values from the scenarios were weighted based on the board of director’s estimate of the probability of the potential future outcomes.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After the closing of this merger, its board of directors will determine the fair value of each share of underlying common stock based on the closing price of its common stock as reported on the Nasdaq Global Market on the dates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Vaxart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Vaxart assesses the likelihood that the resulting deferred tax assets will be realized. A valuation allowance is provided when it is more likely than not that some portion or all of a deferred tax asset will not be realized.</w:t>
      </w:r>
    </w:p>
    <w:p>
      <w:pPr>
        <w:spacing w:after="0" w:line="17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As of December 31, 2016, Vaxart’s total gross deferred tax assets were $27.1 million. Due to its lack of earnings history and uncertainties surrounding its ability to generate future taxable income, the gross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Review Code of 1986, as amended, and similar state provisions. The annual limitation may result in the expiration of certain net operating loss and tax credit carryforwards before their utilization.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0" w:name="page211"/>
    <w:bookmarkEnd w:id="21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MANAGEMENT FOLLOWING THE MERGER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the Combined Company Following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Current Executive Officers of Aviragen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Merger Agreement, all of the current executive officers of Aviragen will resign immediately prior to the closing of the merger.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Merger</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Pursuant to the Merger Agreement, five of the eight current directors of Aviragen will resign at or prior to the Effective Time. Prior to the Effective Time, the Aviragen board of directors will appoint four designees selected by Vaxart to serve as members of the combined company’s board of directors upon the closing of the merger. Collectively the reconstituted board is expected to satisfy the requisite independence requirements for the Aviragen board of directors, as well as the sophistication and independence requirements for the required committees pursuant to Nasdaq listing requirements. It is anticipated that the Vaxart designees will be Wouter W. Latour, M.D., Michael J. Finney, Ph.D., Jan Leschly and Richard J. Markham. It is expected that the continuing Aviragen directors will be Geoffrey F. Cox, Ph.D., John P. Richard and Anne M. VanLent</w:t>
      </w:r>
    </w:p>
    <w:p>
      <w:pPr>
        <w:spacing w:after="0" w:line="17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Following the merger, the management team of the combined company is expected to be composed of the management team of Vaxart. The following table lists the names and positions of the individuals who are expected to serve as executive officers and directors of the combined company upon the completion of the merger: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94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tcPr>
          <w:p>
            <w:pPr>
              <w:spacing w:after="0" w:line="256" w:lineRule="exact"/>
              <w:rPr>
                <w:sz w:val="20"/>
                <w:szCs w:val="20"/>
                <w:color w:val="auto"/>
              </w:rPr>
            </w:pPr>
            <w:r>
              <w:rPr>
                <w:rFonts w:ascii="Arial" w:cs="Arial" w:eastAsia="Arial" w:hAnsi="Arial"/>
                <w:sz w:val="18"/>
                <w:szCs w:val="18"/>
                <w:color w:val="auto"/>
              </w:rPr>
              <w:t>Wouter W. Latour, M.D.</w:t>
            </w:r>
            <w:r>
              <w:rPr>
                <w:rFonts w:ascii="Arial" w:cs="Arial" w:eastAsia="Arial" w:hAnsi="Arial"/>
                <w:sz w:val="29"/>
                <w:szCs w:val="29"/>
                <w:color w:val="auto"/>
                <w:vertAlign w:val="superscript"/>
              </w:rPr>
              <w:t>(1)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60</w:t>
            </w:r>
          </w:p>
        </w:tc>
        <w:tc>
          <w:tcPr>
            <w:tcW w:w="694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 Harland</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65</w:t>
            </w: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David Liebowitz, M.D., Ph.D.</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55</w:t>
            </w:r>
          </w:p>
        </w:tc>
        <w:tc>
          <w:tcPr>
            <w:tcW w:w="694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Sean N. Tucker, Ph.D.</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50</w:t>
            </w: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Founder and Chief Scientific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Non-Employee Directors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tcPr>
          <w:p>
            <w:pPr>
              <w:spacing w:after="0" w:line="256" w:lineRule="exact"/>
              <w:rPr>
                <w:sz w:val="20"/>
                <w:szCs w:val="20"/>
                <w:color w:val="auto"/>
              </w:rPr>
            </w:pPr>
            <w:r>
              <w:rPr>
                <w:rFonts w:ascii="Arial" w:cs="Arial" w:eastAsia="Arial" w:hAnsi="Arial"/>
                <w:sz w:val="18"/>
                <w:szCs w:val="18"/>
                <w:color w:val="auto"/>
              </w:rPr>
              <w:t>Geoffrey F. Cox, Ph.D.</w:t>
            </w:r>
            <w:r>
              <w:rPr>
                <w:rFonts w:ascii="Arial" w:cs="Arial" w:eastAsia="Arial" w:hAnsi="Arial"/>
                <w:sz w:val="29"/>
                <w:szCs w:val="29"/>
                <w:color w:val="auto"/>
                <w:vertAlign w:val="superscript"/>
              </w:rPr>
              <w:t>(2)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74</w:t>
            </w:r>
          </w:p>
        </w:tc>
        <w:tc>
          <w:tcPr>
            <w:tcW w:w="69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59</w:t>
            </w: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tcPr>
          <w:p>
            <w:pPr>
              <w:spacing w:after="0" w:line="256" w:lineRule="exact"/>
              <w:rPr>
                <w:sz w:val="20"/>
                <w:szCs w:val="20"/>
                <w:color w:val="auto"/>
              </w:rPr>
            </w:pPr>
            <w:r>
              <w:rPr>
                <w:rFonts w:ascii="Arial" w:cs="Arial" w:eastAsia="Arial" w:hAnsi="Arial"/>
                <w:sz w:val="18"/>
                <w:szCs w:val="18"/>
                <w:color w:val="auto"/>
              </w:rPr>
              <w:t>Jan Leschly</w:t>
            </w:r>
            <w:r>
              <w:rPr>
                <w:rFonts w:ascii="Arial" w:cs="Arial" w:eastAsia="Arial" w:hAnsi="Arial"/>
                <w:sz w:val="29"/>
                <w:szCs w:val="29"/>
                <w:color w:val="auto"/>
                <w:vertAlign w:val="superscript"/>
              </w:rPr>
              <w:t>(1)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77</w:t>
            </w:r>
          </w:p>
        </w:tc>
        <w:tc>
          <w:tcPr>
            <w:tcW w:w="69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Richard J. Markham</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67</w:t>
            </w: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tcPr>
          <w:p>
            <w:pPr>
              <w:spacing w:after="0" w:line="256" w:lineRule="exact"/>
              <w:rPr>
                <w:sz w:val="20"/>
                <w:szCs w:val="20"/>
                <w:color w:val="auto"/>
              </w:rPr>
            </w:pPr>
            <w:r>
              <w:rPr>
                <w:rFonts w:ascii="Arial" w:cs="Arial" w:eastAsia="Arial" w:hAnsi="Arial"/>
                <w:sz w:val="18"/>
                <w:szCs w:val="18"/>
                <w:color w:val="auto"/>
              </w:rPr>
              <w:t>John P. Richard</w:t>
            </w:r>
            <w:r>
              <w:rPr>
                <w:rFonts w:ascii="Arial" w:cs="Arial" w:eastAsia="Arial" w:hAnsi="Arial"/>
                <w:sz w:val="29"/>
                <w:szCs w:val="29"/>
                <w:color w:val="auto"/>
                <w:vertAlign w:val="superscript"/>
              </w:rPr>
              <w:t>(2)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60</w:t>
            </w:r>
          </w:p>
        </w:tc>
        <w:tc>
          <w:tcPr>
            <w:tcW w:w="69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Anne M. VanLent</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69</w:t>
            </w:r>
          </w:p>
        </w:tc>
        <w:tc>
          <w:tcPr>
            <w:tcW w:w="6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20" w:type="dxa"/>
            <w:vAlign w:val="bottom"/>
            <w:gridSpan w:val="2"/>
          </w:tcPr>
          <w:p>
            <w:pPr>
              <w:spacing w:after="0"/>
              <w:rPr>
                <w:sz w:val="20"/>
                <w:szCs w:val="20"/>
                <w:color w:val="auto"/>
              </w:rPr>
            </w:pPr>
            <w:r>
              <w:rPr>
                <w:rFonts w:ascii="Arial" w:cs="Arial" w:eastAsia="Arial" w:hAnsi="Arial"/>
                <w:sz w:val="18"/>
                <w:szCs w:val="18"/>
                <w:color w:val="auto"/>
              </w:rPr>
              <w:t>(1)</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Vaxart designee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rPr>
              <w:t>(2)</w:t>
            </w:r>
          </w:p>
        </w:tc>
        <w:tc>
          <w:tcPr>
            <w:tcW w:w="3120" w:type="dxa"/>
            <w:vAlign w:val="bottom"/>
            <w:gridSpan w:val="2"/>
          </w:tcPr>
          <w:p>
            <w:pPr>
              <w:ind w:left="120"/>
              <w:spacing w:after="0"/>
              <w:rPr>
                <w:sz w:val="20"/>
                <w:szCs w:val="20"/>
                <w:color w:val="auto"/>
              </w:rPr>
            </w:pPr>
            <w:r>
              <w:rPr>
                <w:rFonts w:ascii="Arial" w:cs="Arial" w:eastAsia="Arial" w:hAnsi="Arial"/>
                <w:sz w:val="18"/>
                <w:szCs w:val="18"/>
                <w:color w:val="auto"/>
              </w:rPr>
              <w:t>Aviragen designee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Wouter W. Latour, M.D.</w:t>
      </w:r>
      <w:r>
        <w:rPr>
          <w:rFonts w:ascii="Arial" w:cs="Arial" w:eastAsia="Arial" w:hAnsi="Arial"/>
          <w:sz w:val="18"/>
          <w:szCs w:val="18"/>
          <w:color w:val="auto"/>
        </w:rPr>
        <w:t>, has served as Vaxart’s President and Chief Executive Officer since September 2011 and has served as a member of the Vaxart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since October 2011. From June 2011 to September 2011, Dr. Latour served as Vaxart’s Chief Operating Officer. From June 2009 until joining Vaxart, Dr. Latour was an independent consultant to life sciences companies. From January 2005 to May 2009, Dr. Latour was Chief Executive Officer and a member of the board of directors of Trinity Biosystems, Inc., a biopharmaceutical company. Prior to these roles, Dr. Latour held numerous executive positions at various pharmaceutical and biotechnology companies. Dr. Latour received an M.D. from the University of Amsterdam and an M.B.A. from Stanford University.</w:t>
      </w:r>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combined company believes Dr. Latour is qualified to serve on its board of directors because of his extensive experience within the life sciences industry and because of the perspective and background that he brings as Vaxart’s President and Chief Executive Officer.</w:t>
      </w:r>
    </w:p>
    <w:p>
      <w:pPr>
        <w:spacing w:after="0" w:line="170"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b w:val="1"/>
          <w:bCs w:val="1"/>
          <w:i w:val="1"/>
          <w:iCs w:val="1"/>
          <w:color w:val="auto"/>
        </w:rPr>
        <w:t xml:space="preserve">John M. Harland </w:t>
      </w:r>
      <w:r>
        <w:rPr>
          <w:rFonts w:ascii="Arial" w:cs="Arial" w:eastAsia="Arial" w:hAnsi="Arial"/>
          <w:sz w:val="17"/>
          <w:szCs w:val="17"/>
          <w:color w:val="auto"/>
        </w:rPr>
        <w:t>has served as Vaxart’s Chief Financial Officer since March 2014. From June 2011 to March 2014, Mr. Harland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Secretary of Wafergen Biosystems, Inc., a publicly traded life sciences company focused on molecular biomarkers. From 2008 to 2010, Mr. Harland was Vice President of Finance and Administration and Assistant Secretary at Trinity Biosystems, Inc. a company focusing on oral delivery biopharmaceuticals, and from 2010 to 2011 he provided consulting services to life science companies. Mr. Harland began his career at Arthur Young &amp; Company and is a certified public accountant (inactive) and holds FCA credentials. Mr. Harland received an M.A. in business studies and natural sciences from Cambridge University and an M.B.A. in taxation and finance from Golden Gate University.</w:t>
      </w:r>
    </w:p>
    <w:p>
      <w:pPr>
        <w:sectPr>
          <w:pgSz w:w="11900" w:h="16838" w:orient="portrait"/>
          <w:cols w:equalWidth="0" w:num="1">
            <w:col w:w="11420"/>
          </w:cols>
          <w:pgMar w:left="240" w:top="118"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1" w:name="page212"/>
    <w:bookmarkEnd w:id="21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David Liebowitz, M.D., Ph.D.</w:t>
      </w:r>
      <w:r>
        <w:rPr>
          <w:rFonts w:ascii="Arial" w:cs="Arial" w:eastAsia="Arial" w:hAnsi="Arial"/>
          <w:sz w:val="18"/>
          <w:szCs w:val="18"/>
          <w:color w:val="auto"/>
        </w:rPr>
        <w:t>, has served as Vaxart’s Chief Medical Officer since January 2012. From 2007 to 2013, Dr. Liebowitz was Chief Scientific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Officer at Vivaldi Biosciences, Inc., a biosciences company focused on the development of influenza vaccines. Prior to these roles, Dr. Liebowitz held numerous senior scientific roles at various biopharmaceutical companies and was an Assistant Professor at the University of Pennsylvania and the University of Chicago. Dr. Liebowitz received a B.S. and M.S. degree in biology from Emory University and a M.D. and Ph.D. in molecular genetics and cell biology from the University of Chicago.</w:t>
      </w:r>
    </w:p>
    <w:p>
      <w:pPr>
        <w:spacing w:after="0" w:line="18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Sean N. Tucker, Ph.D.</w:t>
      </w:r>
      <w:r>
        <w:rPr>
          <w:rFonts w:ascii="Arial" w:cs="Arial" w:eastAsia="Arial" w:hAnsi="Arial"/>
          <w:sz w:val="18"/>
          <w:szCs w:val="18"/>
          <w:color w:val="auto"/>
        </w:rPr>
        <w:t>, has served as Vaxart’s Chief Scientific Officer since February 2010 and as a member of the Vaxart board of directors since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From March 2004 to February 2010, Dr. Tucker served as Vaxart’s Vice President of Research and Director of Immunology. Prior to these roles, Dr. Tucker held numerous scientific and engineering roles at various biotechnology companies. Dr. Tucker received a B.S. in chemical engineering from the University of Washington, an M.S. in chemical engineering from the University of California, Berkeley and a Ph.D. in immunology from the University of Washington.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4"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i w:val="1"/>
          <w:iCs w:val="1"/>
          <w:color w:val="auto"/>
        </w:rPr>
        <w:t xml:space="preserve">Geoffrey F. Cox, Ph. D., </w:t>
      </w:r>
      <w:r>
        <w:rPr>
          <w:rFonts w:ascii="Arial" w:cs="Arial" w:eastAsia="Arial" w:hAnsi="Arial"/>
          <w:sz w:val="17"/>
          <w:szCs w:val="17"/>
          <w:color w:val="auto"/>
        </w:rPr>
        <w:t>has served as a member the Aviragen board of directors since 2000. He was a director (2000-2012) and the Non-Executive Chairman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(2007 to 2012) of Nabi Biopharmaceuticals, Inc. prior to its merger with Aviragen in 2012. He served as the interim Chief Executive Officer of QLT Inc., an ophthalmology company based in Vancouver, BC, (from October 23, 2014 to November 30, 2016) and a director (from 2012 to August 2017). Dr. Cox has extensive pharmaceutical and biotechnology experience holding a broad range of senior management and board positions with private and public companies. Dr. Cox remains the Principal of Beacon Street Advisors LLC (since 2013) which provides corporate, operational and organizational strategic advice and interim management support to life sciences companies. Previously, he was a partner with Red Sky Partners LLC, a life sciences consulting firm (from 2011 to 2013). He also served as a director of Gallus Biopharmaceuticals LLC (2011 – 2014), a biologics contract manufacturing and development company, Immunomedics, Inc. a development stage oncology company (January 2017 – March 2017) and currently serves as a director of Lakewood-Amedex LLC (since 2013), a company developing novel antibiotics and RNA silencing technology. Dr. Cox was Chairman, President and Chief Executive Officer of GTC Biotherapeutics Inc. (now rEVO Biologics) (2001 to 2010), a company focused on the development of recombinant therapeutic proteins, including proteins for the treatment of rare diseases, using transgenic animal production technology. Prior to 2001, Dr. Cox was Executive Vice President, Operations of Genzyme Corporation and later Chairman, President and Chief Executive Officer of Aronex Pharmaceuticals Inc. Dr. Cox is a past Chairman and current member of the Board of the Massachusetts Biotechnology Council. He previously served on the Board of Biotechnology Industries Association and as a member of its Health Governing and Emerging Companies Sections. Dr. Cox received a B.Sc. (Hons) in biochemistry from the University of Birmingham, UK and Ph.D. in biochemistry from the University of East Anglia, UK.</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combined company believes Dr. Cox is qualified to serve on its board because of his extensive biotechnology industry expertise, including his many years of experience as an executive officer and board member of publicly-traded biotechnology companies.</w:t>
      </w:r>
    </w:p>
    <w:p>
      <w:pPr>
        <w:spacing w:after="0" w:line="170"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b w:val="1"/>
          <w:bCs w:val="1"/>
          <w:i w:val="1"/>
          <w:iCs w:val="1"/>
          <w:color w:val="auto"/>
        </w:rPr>
        <w:t>Michael J. Finney, Ph.D.</w:t>
      </w:r>
      <w:r>
        <w:rPr>
          <w:rFonts w:ascii="Arial" w:cs="Arial" w:eastAsia="Arial" w:hAnsi="Arial"/>
          <w:sz w:val="16"/>
          <w:szCs w:val="16"/>
          <w:color w:val="auto"/>
        </w:rPr>
        <w:t>, has served as a member of the Vaxart board of directors since July 2007. Since October 2004, Dr. Finney has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 of Finney Capital, a venture capital firm. Since 1986, Dr. Finney has served as a founder, director and/or investor in various life sciences companies. Currently, he sits on six private company boards. From 2009 to 2011, Dr. Finney served as Vaxart’s Chief Executive Officer. Dr. Finney received an A.B. in biochemical sciences from Harvard University and a Ph.D. in biology (genetics) from the Massachusetts Institute of Technology.</w:t>
      </w:r>
    </w:p>
    <w:p>
      <w:pPr>
        <w:spacing w:after="0" w:line="15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combined company believes Dr. Finney is qualified to serve on its board of directors because of his extensive experience within the life sciences industry, including as a venture capitalist.</w:t>
      </w:r>
    </w:p>
    <w:p>
      <w:pPr>
        <w:spacing w:after="0" w:line="170"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b w:val="1"/>
          <w:bCs w:val="1"/>
          <w:i w:val="1"/>
          <w:iCs w:val="1"/>
          <w:color w:val="auto"/>
        </w:rPr>
        <w:t xml:space="preserve">Jan Leschly </w:t>
      </w:r>
      <w:r>
        <w:rPr>
          <w:rFonts w:ascii="Arial" w:cs="Arial" w:eastAsia="Arial" w:hAnsi="Arial"/>
          <w:sz w:val="16"/>
          <w:szCs w:val="16"/>
          <w:color w:val="auto"/>
        </w:rPr>
        <w:t>has served as a member of the Vaxart board of directors since December 2009. Mr. Leschly founded Care Capital, LLC, a venture capital firm,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2001 and has served as its Chairman and Managing Partner since 2001. Since 2005, Mr. Leschly has served as an Adjunct Professor at Copenhagen’s School of Business. Since 2000, Mr. Leschly has served on the board of directors of A.P. Moller-Maersk Group. Mr. Leschly received a B.S. in business administration from the Copenhagen School of Economics and Business Administration and an M.S. in pharmacy from the Copenhagen College of Pharmacy.</w:t>
      </w:r>
    </w:p>
    <w:p>
      <w:pPr>
        <w:spacing w:after="0" w:line="157"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combined company believes Mr. Leschly is qualified to serve on its board of directors because of his extensive experience within the pharmaceutical industry, including as a venture capitalist.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2" w:name="page213"/>
    <w:bookmarkEnd w:id="21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Richard J. Markham </w:t>
      </w:r>
      <w:r>
        <w:rPr>
          <w:rFonts w:ascii="Arial" w:cs="Arial" w:eastAsia="Arial" w:hAnsi="Arial"/>
          <w:sz w:val="16"/>
          <w:szCs w:val="16"/>
          <w:color w:val="auto"/>
        </w:rPr>
        <w:t>has served as a member of the Vaxart board of directors since December 2009. Since November 2004, Mr. Markham has been a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Care Capital, LLC, a venture capital firm. From May 2002 to August 2004, he was the Vice Chairman of the Management Board and Chief Operating Officer of Aventis SA, a pharmaceutical company. From December 1999 to May 2002, he was the Chief Executive Officer of Aventis Pharma AG, a pharmaceutical company. Previously he was the Chief Executive Officer of Hoechst Marion Roussel Inc., a pharmaceutical company, and the President and Chief Operating Officer of Marion Merrell Dow, Inc., a pharmaceutical company, and a member of its board of directors. From 1973 to 1993, Mr. Markham was associated with Merck &amp; Co., a pharmaceutical company, culminating in his position as President and Chief Operating Officer. Since 2007, Mr. Markham has served as a member of the board of directors of NephroGenex, Inc. and as its board chairman since October 2013. From 2008 until 2016 he also served on the board of directors of CoLuid Pharmaceuticals, Inc. Mr. Markham also served on the board of directors of Acura Pharmaceuticals, Inc. from 2006 to 2013, Anacor Pharmaceuticals, Inc. from 2005 to 2012. Mr. Markham received a B.S. in pharmacy and pharmaceutical sciences from Purdue University.</w:t>
      </w:r>
    </w:p>
    <w:p>
      <w:pPr>
        <w:spacing w:after="0" w:line="166"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The combined company believes that Mr. Markham is qualified to serve on its board of directors because of his extensive experience within the life sciences industry, his knowledge of finance and transactions and his historic knowledge of Vaxart’s company and its vaccine candidates.</w:t>
      </w:r>
    </w:p>
    <w:p>
      <w:pPr>
        <w:spacing w:after="0" w:line="14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John P. Richard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the Aviragen board of directors since August 2013. Mr. Richard is co-founder and Head of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for Mereo BioPharma Group plc, a London-based biopharmaceutical company started in 2015. From 2005 until 2015 Mr. Richard was also a partner with Georgia Venture Partners, a seed venture capital firm focused on the biotechnology industry. He currently serves as a non-executive director of Phase4 Partners, and serves as a director of Catalyst Biosciences (NASDAQ: CBIO) and QUE Oncology, Inc. Earlier in his career he headed business development for the public companies SEQUUS Pharmaceuticals, VIVUS and Genome Therapeutics, and was co-founder and CEO of Impath. Mr. Richard received his M.B.A. from the Harvard Business School and a B.S. from Stanford University.</w:t>
      </w:r>
    </w:p>
    <w:p>
      <w:pPr>
        <w:spacing w:after="0" w:line="17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combined company believes Mr. Richard is qualified to serve on its board because of his extensive executive, strategic, financial and business development experience within the biotechnology industry, and having led the business development function at several companies resulting in numerous pharmaceutical alliances.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Anne M. VanLent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a member of the Aviragen board of directors and chair of Aviragen’s Audit Committee since May 2013 and as Lead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 since November 2015. Ms. VanLent is President of AMV Advisors, providing corporate strategy and financial consulting services to emerging growth life sciences companies. Ms. VanLent also serves as a member of the board of directors and audit committee chair of Ocera Pharmaceuticals, Inc. and Applied Genetics Technologies Corporation (AGTC), both Nasdaq-listed companies. Ms. VanLent was the Executive Vice President and Chief Financial Officer of Barrier Therapeutics, Inc., a publicly-traded pharmaceutical company that develops and markets prescription dermatology products, from May 2002 through April 2008.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 traded biopharmaceutical company. During the past five years, Ms. VanLent served as a director of Novelion Pharmaceuticals (formerly Aegerion Pharmaceuticals) from March 2013 to June 2017; Onconova Therapeutics, Inc. from July 2013 to May 2016; Penwest Pharmaceuticals Co., until its sale to Endo Pharmaceuticals in 2010; and at Integra Life Sciences until May 2013. Ms. VanLent received a B.A. degree in Physics from Mount Holyoke College.</w:t>
      </w:r>
    </w:p>
    <w:p>
      <w:pPr>
        <w:spacing w:after="0" w:line="178"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The combined company believes Ms. VanLent is qualified to serve on its board of directors because of her extensive leadership and finance experience, and her extensive experience serving as a board member, audit committee member and audit committee chair of numerous public companies in the life sciences industry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combined company’s directors or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combined company’s board of directors will consist of seven members upon the closing of the merger. Aviragen’s certificate of incorporation and bylaws provide that directors are to be elected at each annual meeting of stockholders to hold office until the next annual meeting and until their respective successors are elected and qualified. Vacancies on the board of directors resulting from death, resignation, retirement, disqualification or removal may be filled by the affirmative vote of a majority of the remaining directors then in office, whether or not a quorum of the board of directors is present. Newly created directorships resulting from any increase in the number of directors may, unless the board of directors determines otherwise, be filled only by the affirmative vote of the directors then in office, whether or not a quorum of the board of directors is present. Any director elected as a result of a vacancy shall hold office for a term expiring at the next annual meeting of stockholders and until such director’s successor shall have been elected and qualified.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3" w:name="page214"/>
    <w:bookmarkEnd w:id="21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8"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Aviragen board of directors undertook a review of the independence of the proposed directors of the combined company and considered whether any director has a material relationship with the combined company that could compromise his or her ability to exercise independent judgment in carrying out his or her responsibilities. Based upon information requested from and provided by each director concerning their background, employment and affiliations, including family relationships, the board of directors has determined that all of the proposed directors, except Dr. Latour, due to his position as the chief executive officer of the combined company, is “independent” as that term is defined under the rules of Nasdaq.</w:t>
      </w:r>
    </w:p>
    <w:p>
      <w:pPr>
        <w:spacing w:after="0" w:line="176"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In making these determinations, the board of directors considered the current and prior relationships that each non-employee director has with the combined company and all other facts and circumstances the board of directors deemed relevant in determining their independence, including the beneficial ownership of capital stock by each non-employee director, and the transactions involving them described in the section titled “Certain Relationships and Related-Party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8"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board of directors has the authority to appoint committees to perform certain management and administration functions. The board of directors has established an audit committee, a compensation committee and nominating and corporate governance committee. The board of directors may establish other committees to facilitate the management of the combined company’s business. The composition and functions of each committee are described below. Members serve on these committees until their resignation or until otherwise determined by the board of directors.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All of the committees will comply with all applicable requirements of the Sarbanes-Oxley Act, NASDAQ and SEC rules and regulations as further described below. Following the closing of the merger, the charters for each of these committees will be available on the combined company’s website at www.vaxart.com. Such charters are currently available on Aviragen’s website at www.aviragen.com. Information contained on or accessible through Aviragen’s or Vaxart’s website is not a part of this proxy statement/prospectus/information statement, and the inclusion of such website address in this proxy statement/prospectus/information statement is an inactive textual reference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audit committee is expected to consist of Ms. VanLent, Mr. Richard and Dr. Finney. The Aviragen board of directors has determined each proposed number is independent under Nasdaq listing standards and Rule 10A-3(b)(1) of the Exchange Act. The chair of the audit committee is expected to be Ms. VanLent. The Aviragen board of directors has determined that Ms. VanLent is an “audit committee financial expert” within the meaning of SEC regulations. The Aviragen board of directors has also determined that each member of the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17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primary purpose of the audit committee is to discharge the responsibilities of the board of directors with respect to the combined company’s accounting, financial and other reporting and internal control practices and to oversee its independent registered accounting firm. Specific responsibilities of the audit committee include:</w:t>
      </w:r>
    </w:p>
    <w:p>
      <w:pPr>
        <w:spacing w:after="0" w:line="183" w:lineRule="exact"/>
        <w:rPr>
          <w:sz w:val="20"/>
          <w:szCs w:val="20"/>
          <w:color w:val="auto"/>
        </w:rPr>
      </w:pPr>
    </w:p>
    <w:p>
      <w:pPr>
        <w:ind w:left="660" w:hanging="329"/>
        <w:spacing w:after="0"/>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selecting a qualified firm to serve as the independent registered public accounting firm to audit the combined company’s financial statements;</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3" w:lineRule="exact"/>
        <w:rPr>
          <w:rFonts w:ascii="Arial" w:cs="Arial" w:eastAsia="Arial" w:hAnsi="Arial"/>
          <w:sz w:val="18"/>
          <w:szCs w:val="18"/>
          <w:color w:val="auto"/>
        </w:rPr>
      </w:pPr>
    </w:p>
    <w:p>
      <w:pPr>
        <w:ind w:left="660" w:right="580" w:hanging="329"/>
        <w:spacing w:after="0" w:line="276"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the combined company’s interim and year-end operating results;</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developing procedures for employees to anonymously submit concerns about questionable accounting or audit matters;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23" w:lineRule="exact"/>
        <w:rPr>
          <w:rFonts w:ascii="Arial" w:cs="Arial" w:eastAsia="Arial" w:hAnsi="Arial"/>
          <w:sz w:val="18"/>
          <w:szCs w:val="18"/>
          <w:color w:val="auto"/>
        </w:rPr>
      </w:pPr>
    </w:p>
    <w:p>
      <w:pPr>
        <w:ind w:left="660" w:right="460" w:hanging="329"/>
        <w:spacing w:after="0" w:line="262"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the combined company’s internal quality control procedures, any material issues with such procedures, and any steps taken to deal with such issues when required by applicable law; and</w:t>
      </w:r>
    </w:p>
    <w:p>
      <w:pPr>
        <w:spacing w:after="0" w:line="183" w:lineRule="exact"/>
        <w:rPr>
          <w:rFonts w:ascii="Arial" w:cs="Arial" w:eastAsia="Arial" w:hAnsi="Arial"/>
          <w:sz w:val="18"/>
          <w:szCs w:val="18"/>
          <w:color w:val="auto"/>
        </w:rPr>
      </w:pPr>
    </w:p>
    <w:p>
      <w:pPr>
        <w:ind w:left="660" w:hanging="329"/>
        <w:spacing w:after="0" w:line="276"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4" w:name="page215"/>
    <w:bookmarkEnd w:id="21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compensation committee is expected to consist of Mr. Markham, Ms. VanLent and Mr. Richard. The Aviragen board of directors has determined each proposed member of the compensation committee is independent under Nasdaq listing standards, is a “non-employee director” as defined in Rule 16b-3 promulgated under the Exchange Act and is an “outside director” as that term is defined in Section 162(m) of the Internal Revenue Code of 1986, as amended, or the Code. The chair of the compensation committee is expected to be Mr. Markham.</w:t>
      </w:r>
    </w:p>
    <w:p>
      <w:pPr>
        <w:spacing w:after="0" w:line="18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primary purpose of the compensation committee is to discharge the responsibilities of the combined company’s board of directors to oversee compensation policies, plans and programs and to review and determine the compensation to be paid to the executive officers, directors and other senior management, as appropriate. Specific responsibilities of the compensation committee include:</w:t>
      </w:r>
    </w:p>
    <w:p>
      <w:pPr>
        <w:spacing w:after="0" w:line="183" w:lineRule="exact"/>
        <w:rPr>
          <w:sz w:val="20"/>
          <w:szCs w:val="20"/>
          <w:color w:val="auto"/>
        </w:rPr>
      </w:pPr>
    </w:p>
    <w:p>
      <w:pPr>
        <w:ind w:left="660" w:hanging="329"/>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executive officers;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the directors;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reviewing and approving, or recommending that the board of directors approve, the terms of compensatory arrangements with the executive officers;</w:t>
      </w:r>
    </w:p>
    <w:p>
      <w:pPr>
        <w:spacing w:after="0" w:line="246" w:lineRule="exact"/>
        <w:rPr>
          <w:rFonts w:ascii="Arial" w:cs="Arial" w:eastAsia="Arial" w:hAnsi="Arial"/>
          <w:sz w:val="16"/>
          <w:szCs w:val="16"/>
          <w:color w:val="auto"/>
        </w:rPr>
      </w:pPr>
    </w:p>
    <w:p>
      <w:pPr>
        <w:ind w:left="660" w:hanging="329"/>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administering the stock and equity incentive plans;</w:t>
      </w:r>
    </w:p>
    <w:p>
      <w:pPr>
        <w:spacing w:after="0" w:line="223" w:lineRule="exact"/>
        <w:rPr>
          <w:rFonts w:ascii="Arial" w:cs="Arial" w:eastAsia="Arial" w:hAnsi="Arial"/>
          <w:sz w:val="18"/>
          <w:szCs w:val="18"/>
          <w:color w:val="auto"/>
        </w:rPr>
      </w:pPr>
    </w:p>
    <w:p>
      <w:pPr>
        <w:ind w:left="660" w:right="160" w:hanging="329"/>
        <w:spacing w:after="0" w:line="276"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advisers;</w:t>
      </w:r>
    </w:p>
    <w:p>
      <w:pPr>
        <w:spacing w:after="0" w:line="169" w:lineRule="exact"/>
        <w:rPr>
          <w:rFonts w:ascii="Arial" w:cs="Arial" w:eastAsia="Arial" w:hAnsi="Arial"/>
          <w:sz w:val="18"/>
          <w:szCs w:val="18"/>
          <w:color w:val="auto"/>
        </w:rPr>
      </w:pPr>
    </w:p>
    <w:p>
      <w:pPr>
        <w:jc w:val="both"/>
        <w:ind w:left="660" w:right="340" w:hanging="329"/>
        <w:spacing w:after="0" w:line="340" w:lineRule="auto"/>
        <w:tabs>
          <w:tab w:leader="none" w:pos="6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reviewing and approving, or recommending that the board of directors approve, incentive compensation and equity plans, severance agreements, change-of-control protections and any other compensatory arrangements for executive officers and other senior management, as appropriate; and</w:t>
      </w:r>
    </w:p>
    <w:p>
      <w:pPr>
        <w:spacing w:after="0" w:line="124" w:lineRule="exact"/>
        <w:rPr>
          <w:rFonts w:ascii="Arial" w:cs="Arial" w:eastAsia="Arial" w:hAnsi="Arial"/>
          <w:sz w:val="16"/>
          <w:szCs w:val="16"/>
          <w:color w:val="auto"/>
        </w:rPr>
      </w:pPr>
    </w:p>
    <w:p>
      <w:pPr>
        <w:ind w:left="660" w:right="460" w:hanging="329"/>
        <w:spacing w:after="0" w:line="276"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employees and reviewing the combined company’s overall compensation philosophy.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nominating and corporate governance committee is expected to consist of Mr. Leschly and Dr. Cox. The chair of the nominating and corporate governance committee is expected to be Mr. Leschly. Each proposed member of the nominating and corporate governance committee is independent within the meaning of applicable listing standards, is a non-employee director and is free from any relationship that would interfere with the exercise of his or her independent judgment, as determined by the combined company’s board of directors in accordance with the applicable Nasdaq listing standards. Specific responsibilities of the nominating and corporate governance committee include:</w:t>
      </w:r>
    </w:p>
    <w:p>
      <w:pPr>
        <w:spacing w:after="0" w:line="176" w:lineRule="exact"/>
        <w:rPr>
          <w:sz w:val="20"/>
          <w:szCs w:val="20"/>
          <w:color w:val="auto"/>
        </w:rPr>
      </w:pPr>
    </w:p>
    <w:p>
      <w:pPr>
        <w:ind w:left="660" w:hanging="329"/>
        <w:spacing w:after="0"/>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identifying, evaluating and selecting, or recommending that the board of directors approve, nominees for election to the board of directors;</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evaluating the performance of the board of directors and of individual directors;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considering and making recommendations to the board of directors regarding the composition of the committees of the board of directors;</w:t>
      </w:r>
    </w:p>
    <w:p>
      <w:pPr>
        <w:spacing w:after="0" w:line="235" w:lineRule="exact"/>
        <w:rPr>
          <w:rFonts w:ascii="Arial" w:cs="Arial" w:eastAsia="Arial" w:hAnsi="Arial"/>
          <w:sz w:val="17"/>
          <w:szCs w:val="17"/>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evaluating the adequacy of corporate governance practices and reporting;</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of directors regarding corporate governance guidelines and matters;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combined company will adopt a code of business conduct and ethics that applies to all of its employees, officers, including the principal executive officer, principal financial officer and principal accounting officer or controller, or persons performing similar functions and agents and representatives, including directors and consultants. The full text of the code of business conduct and ethics will be posted on the combined company’s website at www.vaxart.com. The combined company intends to disclose future amendments to certain provisions of the code of business conduct and ethics, or waivers of such provisions applicable to any principal executive officer, principal financial officer, principal accounting officer or controller, or persons performing similar functions, and the directors, on the website identified above. Information contained on or accessible through the website is not a part of this proxy statement/prospectus/information statement and the inclusion of the website address in this proxy statement/prospectus/information statement is an inactive textual reference only.</w:t>
      </w:r>
    </w:p>
    <w:p>
      <w:pPr>
        <w:sectPr>
          <w:pgSz w:w="11900" w:h="16838" w:orient="portrait"/>
          <w:cols w:equalWidth="0" w:num="1">
            <w:col w:w="11400"/>
          </w:cols>
          <w:pgMar w:left="240" w:top="118" w:right="25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15" w:name="page216"/>
    <w:bookmarkEnd w:id="21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Following the closing of the merger, Mr. Markham, Ms. VanLent and Mr. Richard are expected to serve as members of the compensation committee. None of the proposed members of combined company’s compensation committee has ever been an officer or employee of either company. None of the combined company’s executive officers serve, or have served during the last fiscal year, as a member of the board of directors, compensation committee or other board committee performing equivalent functions of any entity that has one or more executive officers serving as one of the combined company’s directors or on the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w:t>
      </w:r>
    </w:p>
    <w:p>
      <w:pPr>
        <w:spacing w:after="0" w:line="22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During 2016 and 2017, Vaxart did not pay any compensation or grant any stock options or stock awards to its non-employee directors. As of December 31, 2016 and 2017, no Vaxart non-employee director held any stock options or stock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w:t>
      </w:r>
    </w:p>
    <w:p>
      <w:pPr>
        <w:spacing w:after="0" w:line="224"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The following table summarizes compensation for fiscal 2017 received by members of the Aviragen board of directors who are expected to serve on the combined company’s board of directors.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9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Director Compensation</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Fees Earned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or Paid in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Cash ($)</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center"/>
              <w:ind w:right="190"/>
              <w:spacing w:after="0" w:line="269"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vMerge w:val="continue"/>
          </w:tcPr>
          <w:p>
            <w:pPr>
              <w:spacing w:after="0"/>
              <w:rPr>
                <w:sz w:val="21"/>
                <w:szCs w:val="21"/>
                <w:color w:val="auto"/>
              </w:rPr>
            </w:pPr>
          </w:p>
        </w:tc>
        <w:tc>
          <w:tcPr>
            <w:tcW w:w="266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Geoffrey Cox, Ph.D.</w:t>
            </w:r>
            <w:r>
              <w:rPr>
                <w:rFonts w:ascii="Arial" w:cs="Arial" w:eastAsia="Arial" w:hAnsi="Arial"/>
                <w:sz w:val="28"/>
                <w:szCs w:val="28"/>
                <w:color w:val="auto"/>
                <w:vertAlign w:val="superscript"/>
              </w:rPr>
              <w:t>(2)</w:t>
            </w:r>
          </w:p>
        </w:tc>
        <w:tc>
          <w:tcPr>
            <w:tcW w:w="12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tcPr>
          <w:p>
            <w:pPr>
              <w:spacing w:after="0" w:line="256" w:lineRule="exact"/>
              <w:rPr>
                <w:sz w:val="20"/>
                <w:szCs w:val="20"/>
                <w:color w:val="auto"/>
              </w:rPr>
            </w:pPr>
            <w:r>
              <w:rPr>
                <w:rFonts w:ascii="Arial" w:cs="Arial" w:eastAsia="Arial" w:hAnsi="Arial"/>
                <w:sz w:val="18"/>
                <w:szCs w:val="18"/>
                <w:color w:val="auto"/>
              </w:rPr>
              <w:t>John P. Richard</w:t>
            </w:r>
            <w:r>
              <w:rPr>
                <w:rFonts w:ascii="Arial" w:cs="Arial" w:eastAsia="Arial" w:hAnsi="Arial"/>
                <w:sz w:val="29"/>
                <w:szCs w:val="29"/>
                <w:color w:val="auto"/>
                <w:vertAlign w:val="superscript"/>
              </w:rPr>
              <w:t>(3)(4)</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54,875</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5,940</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60,815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Anne VanLent</w:t>
            </w:r>
            <w:r>
              <w:rPr>
                <w:rFonts w:ascii="Arial" w:cs="Arial" w:eastAsia="Arial" w:hAnsi="Arial"/>
                <w:sz w:val="29"/>
                <w:szCs w:val="29"/>
                <w:color w:val="auto"/>
                <w:vertAlign w:val="superscript"/>
              </w:rPr>
              <w:t>(5)</w:t>
            </w: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74,125</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4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02" w:lineRule="exact"/>
        <w:rPr>
          <w:sz w:val="20"/>
          <w:szCs w:val="20"/>
          <w:color w:val="auto"/>
        </w:rPr>
      </w:pPr>
    </w:p>
    <w:p>
      <w:pPr>
        <w:jc w:val="both"/>
        <w:ind w:left="500" w:hanging="492"/>
        <w:spacing w:after="0" w:line="295" w:lineRule="auto"/>
        <w:tabs>
          <w:tab w:leader="none" w:pos="5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Amounts represent the grant date valuation of the awards computed in accordance with the FASB ASC Topic 718. In May 2017, each non-employee director received a stock option to purchase 20,000 shares of Aviragen common stock with an exercise price of $0.49 per share. The awards will vest on the earlier of the one year anniversary of the grant date or a change in control (including the closing of the merger), subject to continued service on the applicable vesting date. See Note 10 to Aviragen’s Consolidated Financial Statements included in this proxy statement/prospectus/information statement for a discussion of the relevant assumptions used in calculating value pursuant to FASB ASC Topic 718.</w:t>
      </w:r>
    </w:p>
    <w:p>
      <w:pPr>
        <w:spacing w:after="0" w:line="161" w:lineRule="exact"/>
        <w:rPr>
          <w:rFonts w:ascii="Arial" w:cs="Arial" w:eastAsia="Arial" w:hAnsi="Arial"/>
          <w:sz w:val="16"/>
          <w:szCs w:val="16"/>
          <w:color w:val="auto"/>
        </w:rPr>
      </w:pPr>
    </w:p>
    <w:p>
      <w:pPr>
        <w:ind w:left="500" w:hanging="492"/>
        <w:spacing w:after="0" w:line="276" w:lineRule="auto"/>
        <w:tabs>
          <w:tab w:leader="none" w:pos="5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June 30, 2017, Dr. Cox held vested options to purchase 76,666 shares of Aviragen common stock and unvested options to purchase 20,000 shares of Aviragen common stock, all which will accelerate and vest in full upon the closing of the merger.</w:t>
      </w:r>
    </w:p>
    <w:p>
      <w:pPr>
        <w:spacing w:after="0" w:line="169"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June 30, 2017, Mr. Richard held vested options to purchase 85,000 shares of Aviragen common stock and unvested options to purchase 20,000 shares of Aviragen common stock, all of which will accelerate and vest in full upon the closing of the merger.</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Includes compensation earned from participation on Aviragen’s transactions committee of $4,500.</w:t>
      </w:r>
    </w:p>
    <w:p>
      <w:pPr>
        <w:spacing w:after="0" w:line="223"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June 30, 2017, Ms. VanLent held vested options to purchase 85,000 shares of Aviragen common stock and unvested options to purchase 20,000 shares of Aviragen common stock, all of which will accelerate and vest in full upon the closing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Company Non-Employee Director Compensation Policy</w:t>
      </w:r>
    </w:p>
    <w:p>
      <w:pPr>
        <w:spacing w:after="0" w:line="22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 combined company expects to adopt a non-employee director compensation policy, pursuant to which non-employee directors will be eligible to receive compensation for service on the combined company’s board of directors and committees of the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6" w:name="page217"/>
    <w:bookmarkEnd w:id="21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Vaxart’s named executive officers, consist of its principal executive officer and the next two most highly compensated executive officers and, are:</w:t>
      </w:r>
    </w:p>
    <w:p>
      <w:pPr>
        <w:spacing w:after="0" w:line="235" w:lineRule="exact"/>
        <w:rPr>
          <w:sz w:val="20"/>
          <w:szCs w:val="20"/>
          <w:color w:val="auto"/>
        </w:rPr>
      </w:pPr>
    </w:p>
    <w:p>
      <w:pPr>
        <w:ind w:left="660" w:hanging="329"/>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Wouter W. Latour, M.D., its President and Chief Executive Officer;</w:t>
      </w:r>
    </w:p>
    <w:p>
      <w:pPr>
        <w:spacing w:after="0" w:line="22" w:lineRule="exact"/>
        <w:rPr>
          <w:rFonts w:ascii="Arial" w:cs="Arial" w:eastAsia="Arial" w:hAnsi="Arial"/>
          <w:sz w:val="18"/>
          <w:szCs w:val="18"/>
          <w:color w:val="auto"/>
        </w:rPr>
      </w:pPr>
    </w:p>
    <w:p>
      <w:pPr>
        <w:ind w:left="660" w:hanging="329"/>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Sean N. Tucker, Ph.D., its Chief Scientific Officer;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David Liebowitz, M.D., Ph.D., its Chief Medical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These individuals are expected to serve the combined company in the same capacities after the closing of the merger.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Summary Compensation Table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all of the compensation awarded to, earned by or paid to Vaxart’s named executive officers during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3"/>
              <w:spacing w:after="0"/>
              <w:rPr>
                <w:sz w:val="20"/>
                <w:szCs w:val="20"/>
                <w:color w:val="auto"/>
              </w:rPr>
            </w:pPr>
            <w:r>
              <w:rPr>
                <w:rFonts w:ascii="Arial" w:cs="Arial" w:eastAsia="Arial" w:hAnsi="Arial"/>
                <w:sz w:val="18"/>
                <w:szCs w:val="18"/>
                <w:b w:val="1"/>
                <w:bCs w:val="1"/>
                <w:color w:val="auto"/>
                <w:w w:val="93"/>
              </w:rPr>
              <w:t>Non-Equity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220" w:type="dxa"/>
            <w:vAlign w:val="bottom"/>
          </w:tcPr>
          <w:p>
            <w:pPr>
              <w:spacing w:after="0"/>
              <w:rPr>
                <w:sz w:val="18"/>
                <w:szCs w:val="18"/>
                <w:color w:val="auto"/>
              </w:rPr>
            </w:pP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Option</w:t>
            </w:r>
          </w:p>
        </w:tc>
        <w:tc>
          <w:tcPr>
            <w:tcW w:w="300" w:type="dxa"/>
            <w:vAlign w:val="bottom"/>
          </w:tcPr>
          <w:p>
            <w:pPr>
              <w:spacing w:after="0"/>
              <w:rPr>
                <w:sz w:val="18"/>
                <w:szCs w:val="18"/>
                <w:color w:val="auto"/>
              </w:rPr>
            </w:pPr>
          </w:p>
        </w:tc>
        <w:tc>
          <w:tcPr>
            <w:tcW w:w="12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87"/>
              </w:rPr>
              <w:t>Compensation</w:t>
            </w:r>
          </w:p>
        </w:tc>
        <w:tc>
          <w:tcPr>
            <w:tcW w:w="2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00" w:type="dxa"/>
            <w:vAlign w:val="bottom"/>
          </w:tcPr>
          <w:p>
            <w:pPr>
              <w:ind w:left="640"/>
              <w:spacing w:after="0"/>
              <w:rPr>
                <w:sz w:val="20"/>
                <w:szCs w:val="20"/>
                <w:color w:val="auto"/>
              </w:rPr>
            </w:pPr>
            <w:r>
              <w:rPr>
                <w:rFonts w:ascii="Arial" w:cs="Arial" w:eastAsia="Arial" w:hAnsi="Arial"/>
                <w:sz w:val="18"/>
                <w:szCs w:val="18"/>
                <w:b w:val="1"/>
                <w:bCs w:val="1"/>
                <w:color w:val="auto"/>
              </w:rPr>
              <w:t>Name and Principal Position</w:t>
            </w:r>
          </w:p>
        </w:tc>
        <w:tc>
          <w:tcPr>
            <w:tcW w:w="1000" w:type="dxa"/>
            <w:vAlign w:val="bottom"/>
          </w:tcPr>
          <w:p>
            <w:pPr>
              <w:ind w:left="44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2"/>
                <w:szCs w:val="22"/>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22"/>
                <w:szCs w:val="22"/>
                <w:color w:val="auto"/>
              </w:rPr>
            </w:pPr>
          </w:p>
        </w:tc>
        <w:tc>
          <w:tcPr>
            <w:tcW w:w="1220" w:type="dxa"/>
            <w:vAlign w:val="bottom"/>
          </w:tcPr>
          <w:p>
            <w:pPr>
              <w:jc w:val="center"/>
              <w:ind w:right="153"/>
              <w:spacing w:after="0"/>
              <w:rPr>
                <w:sz w:val="20"/>
                <w:szCs w:val="20"/>
                <w:color w:val="auto"/>
              </w:rPr>
            </w:pPr>
            <w:r>
              <w:rPr>
                <w:rFonts w:ascii="Arial" w:cs="Arial" w:eastAsia="Arial" w:hAnsi="Arial"/>
                <w:sz w:val="15"/>
                <w:szCs w:val="15"/>
                <w:b w:val="1"/>
                <w:bCs w:val="1"/>
                <w:color w:val="auto"/>
                <w:w w:val="97"/>
              </w:rPr>
              <w:t>(1)</w:t>
            </w:r>
          </w:p>
        </w:tc>
        <w:tc>
          <w:tcPr>
            <w:tcW w:w="220" w:type="dxa"/>
            <w:vAlign w:val="bottom"/>
          </w:tcPr>
          <w:p>
            <w:pPr>
              <w:spacing w:after="0"/>
              <w:rPr>
                <w:sz w:val="22"/>
                <w:szCs w:val="22"/>
                <w:color w:val="auto"/>
              </w:rPr>
            </w:pPr>
          </w:p>
        </w:tc>
        <w:tc>
          <w:tcPr>
            <w:tcW w:w="1120" w:type="dxa"/>
            <w:vAlign w:val="bottom"/>
          </w:tcPr>
          <w:p>
            <w:pPr>
              <w:jc w:val="right"/>
              <w:ind w:right="190"/>
              <w:spacing w:after="0" w:line="256" w:lineRule="exact"/>
              <w:rPr>
                <w:sz w:val="20"/>
                <w:szCs w:val="20"/>
                <w:color w:val="auto"/>
              </w:rPr>
            </w:pPr>
            <w:r>
              <w:rPr>
                <w:rFonts w:ascii="Arial" w:cs="Arial" w:eastAsia="Arial" w:hAnsi="Arial"/>
                <w:sz w:val="18"/>
                <w:szCs w:val="18"/>
                <w:b w:val="1"/>
                <w:bCs w:val="1"/>
                <w:color w:val="auto"/>
                <w:w w:val="87"/>
              </w:rPr>
              <w:t xml:space="preserve">Awards </w:t>
            </w:r>
            <w:r>
              <w:rPr>
                <w:rFonts w:ascii="Arial" w:cs="Arial" w:eastAsia="Arial" w:hAnsi="Arial"/>
                <w:sz w:val="29"/>
                <w:szCs w:val="29"/>
                <w:b w:val="1"/>
                <w:bCs w:val="1"/>
                <w:color w:val="auto"/>
                <w:w w:val="87"/>
                <w:vertAlign w:val="superscript"/>
              </w:rPr>
              <w:t>(2)</w:t>
            </w:r>
          </w:p>
        </w:tc>
        <w:tc>
          <w:tcPr>
            <w:tcW w:w="1540" w:type="dxa"/>
            <w:vAlign w:val="bottom"/>
            <w:gridSpan w:val="2"/>
          </w:tcPr>
          <w:p>
            <w:pPr>
              <w:ind w:left="100"/>
              <w:spacing w:after="0" w:line="256" w:lineRule="exact"/>
              <w:rPr>
                <w:sz w:val="20"/>
                <w:szCs w:val="20"/>
                <w:color w:val="auto"/>
              </w:rPr>
            </w:pPr>
            <w:r>
              <w:rPr>
                <w:rFonts w:ascii="Arial" w:cs="Arial" w:eastAsia="Arial" w:hAnsi="Arial"/>
                <w:sz w:val="18"/>
                <w:szCs w:val="18"/>
                <w:b w:val="1"/>
                <w:bCs w:val="1"/>
                <w:color w:val="auto"/>
                <w:w w:val="92"/>
              </w:rPr>
              <w:t xml:space="preserve">Compensation </w:t>
            </w:r>
            <w:r>
              <w:rPr>
                <w:rFonts w:ascii="Arial" w:cs="Arial" w:eastAsia="Arial" w:hAnsi="Arial"/>
                <w:sz w:val="29"/>
                <w:szCs w:val="29"/>
                <w:b w:val="1"/>
                <w:bCs w:val="1"/>
                <w:color w:val="auto"/>
                <w:w w:val="92"/>
                <w:vertAlign w:val="superscript"/>
              </w:rPr>
              <w:t>(3)</w:t>
            </w:r>
          </w:p>
        </w:tc>
        <w:tc>
          <w:tcPr>
            <w:tcW w:w="34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Wouter W. Latour, M.D.</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101,745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94,837</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28,445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624,027</w:t>
            </w:r>
          </w:p>
        </w:tc>
        <w:tc>
          <w:tcPr>
            <w:tcW w:w="0" w:type="dxa"/>
            <w:vAlign w:val="bottom"/>
          </w:tcPr>
          <w:p>
            <w:pPr>
              <w:spacing w:after="0"/>
              <w:rPr>
                <w:sz w:val="1"/>
                <w:szCs w:val="1"/>
                <w:color w:val="auto"/>
              </w:rPr>
            </w:pPr>
          </w:p>
        </w:tc>
      </w:tr>
      <w:tr>
        <w:trPr>
          <w:trHeight w:val="416"/>
        </w:trPr>
        <w:tc>
          <w:tcPr>
            <w:tcW w:w="3320" w:type="dxa"/>
            <w:vAlign w:val="bottom"/>
            <w:gridSpan w:val="2"/>
          </w:tcPr>
          <w:p>
            <w:pPr>
              <w:spacing w:after="0"/>
              <w:rPr>
                <w:sz w:val="20"/>
                <w:szCs w:val="20"/>
                <w:color w:val="auto"/>
              </w:rPr>
            </w:pPr>
            <w:r>
              <w:rPr>
                <w:rFonts w:ascii="Arial" w:cs="Arial" w:eastAsia="Arial" w:hAnsi="Arial"/>
                <w:sz w:val="18"/>
                <w:szCs w:val="18"/>
                <w:color w:val="auto"/>
              </w:rPr>
              <w:t>Sean N. Tucker, Ph.D.</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120"/>
              <w:spacing w:after="0"/>
              <w:rPr>
                <w:sz w:val="20"/>
                <w:szCs w:val="20"/>
                <w:color w:val="auto"/>
              </w:rPr>
            </w:pPr>
            <w:r>
              <w:rPr>
                <w:rFonts w:ascii="Arial" w:cs="Arial" w:eastAsia="Arial" w:hAnsi="Arial"/>
                <w:sz w:val="18"/>
                <w:szCs w:val="18"/>
                <w:i w:val="1"/>
                <w:iCs w:val="1"/>
                <w:color w:val="auto"/>
              </w:rPr>
              <w:t>Chief Scientific Officer</w:t>
            </w:r>
          </w:p>
        </w:tc>
        <w:tc>
          <w:tcPr>
            <w:tcW w:w="1000" w:type="dxa"/>
            <w:vAlign w:val="bottom"/>
          </w:tcPr>
          <w:p>
            <w:pPr>
              <w:ind w:left="44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290,850</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72,713</w:t>
            </w:r>
          </w:p>
        </w:tc>
        <w:tc>
          <w:tcPr>
            <w:tcW w:w="2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68,612</w:t>
            </w: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432,308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Liebowitz, M.D., Ph.D.</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Chief Medical Officer</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38,318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46,881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18,554</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4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02" w:lineRule="exact"/>
        <w:rPr>
          <w:sz w:val="20"/>
          <w:szCs w:val="20"/>
          <w:color w:val="auto"/>
        </w:rPr>
      </w:pPr>
    </w:p>
    <w:p>
      <w:pPr>
        <w:jc w:val="both"/>
        <w:ind w:left="500" w:hanging="492"/>
        <w:spacing w:after="0" w:line="256" w:lineRule="auto"/>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Represents amounts accrued but not paid under Vaxart’s 2016 bonus program based on the achievement at the 85% level of Vaxart’s corporate goals and 100% for Dr. Tucker, 115% for Dr. Liebowitz of their respective individual performance objectives as determined by the Vaxart board of directors. Dr. Latour does not have an individual performance objective. These bonuses are expected to be paid upon the closing of the merger. Vaxart’s 2016 corporate goals related to the advancement of Vaxart’s clinical and preclinical programs, manufacturing processes, business and corporate development objectives.</w:t>
      </w:r>
    </w:p>
    <w:p>
      <w:pPr>
        <w:spacing w:after="0" w:line="188" w:lineRule="exact"/>
        <w:rPr>
          <w:rFonts w:ascii="Arial" w:cs="Arial" w:eastAsia="Arial" w:hAnsi="Arial"/>
          <w:sz w:val="18"/>
          <w:szCs w:val="18"/>
          <w:color w:val="auto"/>
        </w:rPr>
      </w:pPr>
    </w:p>
    <w:p>
      <w:pPr>
        <w:jc w:val="both"/>
        <w:ind w:left="500" w:hanging="492"/>
        <w:spacing w:after="0" w:line="254" w:lineRule="auto"/>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Amounts shown in this column do not reflect dollar amounts actually received by Vaxart’s named executive officers. Instead, these amounts reflect the aggregate grant date fair value of each stock option granted in the year ended December 31, 2016, computed in accordance with the provisions of FASB ASC Topic 718. Assumptions used in the calculation of these amounts are included in Note 9 to Vaxart’s financial statements included in this proxy statement/prospectus/information statement. As required by SEC rules, the amounts shown exclude the impact of estimated forfeitures related to service-based vesting conditions. Vaxart’s named executive officers will only realize compensation to the extent the trading price of Vaxart common stock is greater than the exercise price of such stock options.</w:t>
      </w:r>
    </w:p>
    <w:p>
      <w:pPr>
        <w:spacing w:after="0" w:line="192" w:lineRule="exact"/>
        <w:rPr>
          <w:rFonts w:ascii="Arial" w:cs="Arial" w:eastAsia="Arial" w:hAnsi="Arial"/>
          <w:sz w:val="18"/>
          <w:szCs w:val="18"/>
          <w:color w:val="auto"/>
        </w:rPr>
      </w:pPr>
    </w:p>
    <w:p>
      <w:pPr>
        <w:ind w:left="500" w:hanging="492"/>
        <w:spacing w:after="0"/>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Represents health insurance reimbursement paid by Vaxart.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7" w:name="page218"/>
    <w:bookmarkEnd w:id="21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2016</w:t>
      </w:r>
    </w:p>
    <w:p>
      <w:pPr>
        <w:spacing w:after="0" w:line="228"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The following table provides information regarding outstanding equity awards held by Vaxart’s named executive officers as of December 31, 2016. None of the Vaxart named executive officers exercised any options to purchase Vaxart common stock in 2016 and no stock awards were granted to the Vaxart named executive officers in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 xml:space="preserve">Option Awards </w:t>
            </w:r>
            <w:r>
              <w:rPr>
                <w:rFonts w:ascii="Arial" w:cs="Arial" w:eastAsia="Arial" w:hAnsi="Arial"/>
                <w:sz w:val="29"/>
                <w:szCs w:val="29"/>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20"/>
              <w:spacing w:after="0" w:line="195" w:lineRule="exact"/>
              <w:rPr>
                <w:sz w:val="20"/>
                <w:szCs w:val="20"/>
                <w:color w:val="auto"/>
              </w:rPr>
            </w:pPr>
            <w:r>
              <w:rPr>
                <w:rFonts w:ascii="Arial" w:cs="Arial" w:eastAsia="Arial" w:hAnsi="Arial"/>
                <w:sz w:val="18"/>
                <w:szCs w:val="18"/>
                <w:b w:val="1"/>
                <w:bCs w:val="1"/>
                <w:color w:val="auto"/>
                <w:w w:val="93"/>
              </w:rPr>
              <w:t>Number of</w:t>
            </w:r>
          </w:p>
        </w:tc>
        <w:tc>
          <w:tcPr>
            <w:tcW w:w="1480" w:type="dxa"/>
            <w:vAlign w:val="bottom"/>
            <w:gridSpan w:val="2"/>
          </w:tcPr>
          <w:p>
            <w:pPr>
              <w:jc w:val="center"/>
              <w:ind w:right="100"/>
              <w:spacing w:after="0" w:line="195" w:lineRule="exact"/>
              <w:rPr>
                <w:sz w:val="20"/>
                <w:szCs w:val="20"/>
                <w:color w:val="auto"/>
              </w:rPr>
            </w:pPr>
            <w:r>
              <w:rPr>
                <w:rFonts w:ascii="Arial" w:cs="Arial" w:eastAsia="Arial" w:hAnsi="Arial"/>
                <w:sz w:val="18"/>
                <w:szCs w:val="18"/>
                <w:b w:val="1"/>
                <w:bCs w:val="1"/>
                <w:color w:val="auto"/>
                <w:w w:val="91"/>
              </w:rPr>
              <w:t>Number of</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Unexercised</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Commencement</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Price Per</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69"/>
        </w:trPr>
        <w:tc>
          <w:tcPr>
            <w:tcW w:w="20" w:type="dxa"/>
            <w:vAlign w:val="bottom"/>
          </w:tcPr>
          <w:p>
            <w:pPr>
              <w:spacing w:after="0"/>
              <w:rPr>
                <w:sz w:val="23"/>
                <w:szCs w:val="23"/>
                <w:color w:val="auto"/>
              </w:rPr>
            </w:pPr>
          </w:p>
        </w:tc>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 xml:space="preserve">Exercisable </w:t>
            </w:r>
            <w:r>
              <w:rPr>
                <w:rFonts w:ascii="Arial" w:cs="Arial" w:eastAsia="Arial" w:hAnsi="Arial"/>
                <w:sz w:val="29"/>
                <w:szCs w:val="29"/>
                <w:b w:val="1"/>
                <w:bCs w:val="1"/>
                <w:color w:val="auto"/>
                <w:w w:val="86"/>
                <w:vertAlign w:val="superscript"/>
              </w:rPr>
              <w:t>(2)</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9"/>
                <w:szCs w:val="29"/>
                <w:b w:val="1"/>
                <w:bCs w:val="1"/>
                <w:color w:val="auto"/>
                <w:w w:val="83"/>
                <w:vertAlign w:val="superscript"/>
              </w:rPr>
              <w:t>(3)</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Wouter W. Latour, M.D</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6/29/2011</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6/15/2011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6/29/2021</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11/3/2011</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10/1/2011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468,900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11/3/2021</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8/8/2013</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8/1/13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548,602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8/8/2023</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478,206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5/8/2024</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7/23/2015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7/23/2025</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3/25/2016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3/25/2016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3/25/2026</w:t>
            </w:r>
          </w:p>
        </w:tc>
      </w:tr>
      <w:tr>
        <w:trPr>
          <w:trHeight w:val="201"/>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Sean N. Tucker, Ph.D</w:t>
            </w:r>
          </w:p>
        </w:tc>
        <w:tc>
          <w:tcPr>
            <w:tcW w:w="1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92"/>
              </w:rPr>
              <w:t>3/13/2008</w:t>
            </w:r>
          </w:p>
        </w:tc>
        <w:tc>
          <w:tcPr>
            <w:tcW w:w="1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7/17/2008</w:t>
            </w:r>
          </w:p>
        </w:tc>
        <w:tc>
          <w:tcPr>
            <w:tcW w:w="1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8"/>
              </w:rPr>
              <w:t>$0.13</w:t>
            </w:r>
          </w:p>
        </w:tc>
        <w:tc>
          <w:tcPr>
            <w:tcW w:w="1460" w:type="dxa"/>
            <w:vAlign w:val="bottom"/>
            <w:gridSpan w:val="2"/>
          </w:tcPr>
          <w:p>
            <w:pPr>
              <w:jc w:val="center"/>
              <w:ind w:left="10"/>
              <w:spacing w:after="0" w:line="201" w:lineRule="exact"/>
              <w:rPr>
                <w:sz w:val="20"/>
                <w:szCs w:val="20"/>
                <w:color w:val="auto"/>
              </w:rPr>
            </w:pPr>
            <w:r>
              <w:rPr>
                <w:rFonts w:ascii="Arial" w:cs="Arial" w:eastAsia="Arial" w:hAnsi="Arial"/>
                <w:sz w:val="18"/>
                <w:szCs w:val="18"/>
                <w:color w:val="auto"/>
                <w:w w:val="89"/>
              </w:rPr>
              <w:t>3/13/2018</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8/27/2010</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2/2/2010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8/27/2020</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3/30/2011</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3/30/2011</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3/30/2021</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4/13/2012</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3/1/2012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4/13/2022</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8/8/2013</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8/1/2013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435,563</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87,113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8/8/2023</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5/8/2014</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5/8/2014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372,218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204,120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5/8/2024</w:t>
            </w: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7/23/2015</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7/1/2015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$0.35</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7/23/2025</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3/25/2016</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3/25/2016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384,000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$0.26</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3/25/2026</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David Liebowitz, M.D., Ph.D</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11/15/2012</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12/19/2011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$0.15</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11/15/2022</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8/8/2013</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8/1/2013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103,705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20,742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8/8/2023</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5/8/2014</w:t>
            </w:r>
          </w:p>
        </w:tc>
        <w:tc>
          <w:tcPr>
            <w:tcW w:w="15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5/8/2014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294,822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161,678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5/8/2024</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7/23/2015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$0.35</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7/23/2025</w:t>
            </w:r>
          </w:p>
        </w:tc>
      </w:tr>
      <w:tr>
        <w:trPr>
          <w:trHeight w:val="215"/>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3/25/2016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3/25/2016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$0.26</w:t>
            </w:r>
          </w:p>
        </w:tc>
        <w:tc>
          <w:tcPr>
            <w:tcW w:w="14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3/25/2026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29" w:lineRule="exact"/>
        <w:rPr>
          <w:sz w:val="20"/>
          <w:szCs w:val="20"/>
          <w:color w:val="auto"/>
        </w:rPr>
      </w:pPr>
    </w:p>
    <w:p>
      <w:pPr>
        <w:ind w:left="660" w:right="340" w:hanging="652"/>
        <w:spacing w:after="0" w:line="273" w:lineRule="auto"/>
        <w:tabs>
          <w:tab w:leader="none" w:pos="6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All of the option awards were granted under Vaxart’s Amended and Restated 2007 Equity Incentive Plan, the terms of which are described below under “Vaxart Executive Compensation—Employee Benefit Plans—Amended and Restated 2007 Equity Incentive Plan.”</w:t>
      </w:r>
    </w:p>
    <w:p>
      <w:pPr>
        <w:ind w:left="660" w:hanging="652"/>
        <w:spacing w:after="0" w:line="249"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shares are scheduled to vest over a four-year period as follows: 25% of the shares underlying the options vest on the one-year anniversary of the vesting commencement date and 1/48th of the shares vest each month thereafter, subject to the officer’s continued service with Vaxart through each relevant vesting date. Pursuant to Vaxart’s Amended and Restated 2007 Equity Incentive Plan, the vesting of all stock awards, including stock options held by its executive officers will accelerate upon a change in control.</w:t>
      </w:r>
    </w:p>
    <w:p>
      <w:pPr>
        <w:spacing w:after="0" w:line="2" w:lineRule="exact"/>
        <w:rPr>
          <w:rFonts w:ascii="Arial" w:cs="Arial" w:eastAsia="Arial" w:hAnsi="Arial"/>
          <w:sz w:val="18"/>
          <w:szCs w:val="18"/>
          <w:color w:val="auto"/>
        </w:rPr>
      </w:pPr>
    </w:p>
    <w:p>
      <w:pPr>
        <w:ind w:left="660" w:right="200" w:hanging="652"/>
        <w:spacing w:after="0" w:line="259" w:lineRule="auto"/>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exercise price per share of the stock options reflects the fair market value per share of Vaxart common stock on the date of grant as determined by the Vaxart board of directors.</w:t>
      </w:r>
    </w:p>
    <w:p>
      <w:pPr>
        <w:spacing w:after="0" w:line="18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On June 24, 2017, the Vaxart board of directors approved additional option grants to each of Dr. Latour, Dr. Tucker and Dr. Liebowitz for 1,174,729 shares, 450,000 shares and 450,000 shares, respectively, with an exercise price of $0.08 per share. The shares subject to the options vest as to 25% of the shares on</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18"/>
          <w:szCs w:val="18"/>
          <w:color w:val="auto"/>
        </w:rPr>
        <w:t>the one-year anniversary of the grant date and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shares will vest each month thereafter, subject to such named executive officer’s continued service with Vaxart through each relevant vesting date. Pursuant to Vaxart’s Amended and Restated 2007 Equity Incentive Plan, the vesting of all stock awards, including stock options held by its executive officers will accelerate upon a change in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Vaxart’s executive officers did not participate in, or otherwise receive any benefits under, any pension or retirement plan sponsored by Vaxart during 2016.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8"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Vaxart’s executive officers did not participate in, or otherwise earn any benefits under, any non-qualified deferred compensation plan sponsored by Vaxart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Vaxart’s Employment Arrangements</w:t>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Vaxart has offer letters with each of its executive officers. The offer letters generally provide for at-will employment and set forth the executive officer’s initial base salary and eligibility for employee benefits. In addition, each of Vaxart’s named executive officers has executed its standard proprietary information and inventions agreement. Please see the section titled “Vaxart Executive Compensation—Outstanding Equity Awards at December 31, 2016” for information regarding outstanding stock awards held by Vaxart’s named executive officers. The key terms of employment with Vaxart’s executive officers are described below.</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8" w:name="page219"/>
    <w:bookmarkEnd w:id="21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Wouter W. Latour, M.D. </w:t>
      </w:r>
      <w:r>
        <w:rPr>
          <w:rFonts w:ascii="Arial" w:cs="Arial" w:eastAsia="Arial" w:hAnsi="Arial"/>
          <w:sz w:val="18"/>
          <w:szCs w:val="18"/>
          <w:color w:val="auto"/>
        </w:rPr>
        <w:t>In May 2011, Vaxart extended an offer letter to Wouter W. Latour, M.D., Vaxart’s President and Chief Executive Officer. The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was subsequently amended in October 2011. The offer letter has no specific term and constitutes an at-will employment arrangement. Dr. Latour’s current annual base salary is $420,900 and his annual target bonus is 30% of his base salary. The offer letter provided Dr. Latour with a $25,000 signing bonus. In connection with his employment, Dr. Latour was granted an initial stock option for 324,600 shares of common stock with an exercise price of $0.16 per share. The shares underlying the option are fully vested.</w:t>
      </w:r>
    </w:p>
    <w:p>
      <w:pPr>
        <w:spacing w:after="0" w:line="188"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 xml:space="preserve">David Liebowitz, M.D., Ph.D. </w:t>
      </w:r>
      <w:r>
        <w:rPr>
          <w:rFonts w:ascii="Arial" w:cs="Arial" w:eastAsia="Arial" w:hAnsi="Arial"/>
          <w:sz w:val="17"/>
          <w:szCs w:val="17"/>
          <w:color w:val="auto"/>
        </w:rPr>
        <w:t>In May 2015, Vaxart extended an offer letter to David Liebowitz, M.D., Ph.D., Vaxart’s Chief Medical Officer. The offer letter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no specific term and constitutes an at-will employment arrangement. Dr. Liebowitz’s current annual base salary is $408,000.</w:t>
      </w:r>
    </w:p>
    <w:p>
      <w:pPr>
        <w:spacing w:after="0" w:line="14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i w:val="1"/>
          <w:iCs w:val="1"/>
          <w:color w:val="auto"/>
        </w:rPr>
        <w:t xml:space="preserve">Sean N. Tucker, Ph.D. </w:t>
      </w:r>
      <w:r>
        <w:rPr>
          <w:rFonts w:ascii="Arial" w:cs="Arial" w:eastAsia="Arial" w:hAnsi="Arial"/>
          <w:sz w:val="17"/>
          <w:szCs w:val="17"/>
          <w:color w:val="auto"/>
        </w:rPr>
        <w:t>In May 2006, Vaxart extended an offer letter to Sean N. Tucker, Ph.D., Vaxart’s Chief Scientific Officer. The offer letter has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term and constitutes an at-will employment arrangement. Dr. Tucker’s current annual base salary is $306,800 and his annual target bonus is 25% of his base salary. In connection with his employment, Dr. Tucker was granted an initial stock option for 130,000 shares of common stock with an exercise price of $0.07 per share. The shares underlying the option are fully vested and have been exercised by Dr. Tucker.</w:t>
      </w:r>
    </w:p>
    <w:p>
      <w:pPr>
        <w:spacing w:after="0" w:line="17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John M. Harland</w:t>
      </w:r>
      <w:r>
        <w:rPr>
          <w:rFonts w:ascii="Arial" w:cs="Arial" w:eastAsia="Arial" w:hAnsi="Arial"/>
          <w:sz w:val="17"/>
          <w:szCs w:val="17"/>
          <w:color w:val="auto"/>
        </w:rPr>
        <w:t>. In March 2014, Vaxart extended an offer letter to John M. Harland, Vaxart’s Chief Financial Officer. The offer letter has no specific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constitutes an at-will employment arrangement. Mr. Harland’s current annual base salary is $296,900 and his annual target bonus is 25% of his base salary. In connection with his employment, Mr. Harland was granted a stock option for 475,000 shares of common stock with an exercise price of $0.16 per share. The shares underlying the option vest at 25% on the one-year anniversary of the vesting commencement date and 1/48th of the shares vest each month thereafter, subject to Mr. Harland’s continued service with Vaxart through each relevant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2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combined company's directors and executive officers may adopt written plans, known as Rule 10b5-1 plans, in which they will contract with a broker to buy or sell shares of Aviragen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The combined company's directors and executive officers may also buy or sell additional shares outside of a Rule 10b5-1 plan when they are not in possession of material, nonpublic information. Any purchase or sales by the combined company's directors and executive officers, including pursuant to a 10b5-1 plan, will be subject to the terms of any lock-up agreements entered into by such directors and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Benefits Plans</w:t>
      </w:r>
    </w:p>
    <w:p>
      <w:pPr>
        <w:spacing w:after="0" w:line="22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At the Effective Time, each option to purchase Vaxart common stock that is outstanding and unexercised immediately prior to the Effective Time under the Vaxart, Inc. 2007 Stock Option Plan, or the Vaxart 2007 Plan, whether or not vested, will be converted into an option to purchase Aviragen common stock. Aviragen will assume the Vaxart 2007 Plan. All rights with respect to Vaxart common stock under Vaxart options assumed by Aviragen will be converted into rights with respect to Aviragen common stock. Accordingly, from and after the Effective Time, each Vaxart stock option assumed by Aviragen may be exercised for such number of shares of Aviragen common stock as is determined by multiplying the number of shares of Vaxart common stock subject to the option by the exchange ratio and rounding that result down to the nearest whole number of shares of Aviragen common stock. The per share exercise price of the converted option will be determined by dividing the existing exercise price of the option by the exchange ratio and rounding that result up to the nearest whole cent. Any restrictions on the exercise of any Vaxart option assumed by Aviragen will continue following the conversion and the term, exercisability, vesting schedules and other provisions of assumed Vaxart options will generally remain unchanged; provided, that any Vaxart options assumed by Aviragen may be subject to adjustment to reflect changes in Aviragen capitalization after the Effective Time and that the Aviragen board of directors or a committee thereof will succeed to the authority of the Vaxart board of directors with respect to each assumed Vaxart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2007 Equity Incentive Plan</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Vaxart board of directors adopted, and its stockholders approved, the Vaxart 2007 Plan in July 2007. The Vaxart’s 2007 Plan was terminated in accordance with its terms in July 2017 and no further stock awards may be granted under the Vaxart 2007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9" w:name="page220"/>
    <w:bookmarkEnd w:id="21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Vaxart 2007 Plan provided for the grant of ISOs, within the meaning of Section 422 of the Code, to Vaxart’s employees, and for the grant of nonqualified stock options, restricted stock awards and stock appreciation rights to Vaxart’s employees, directors and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As of September 30, 2017, stock options to purchase 15,961,182 shares were outstanding under the Vaxart 2007 Plan.</w:t>
      </w:r>
    </w:p>
    <w:p>
      <w:pPr>
        <w:spacing w:after="0" w:line="22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i w:val="1"/>
          <w:iCs w:val="1"/>
          <w:color w:val="auto"/>
        </w:rPr>
        <w:t>Plan Administration</w:t>
      </w:r>
      <w:r>
        <w:rPr>
          <w:rFonts w:ascii="Arial" w:cs="Arial" w:eastAsia="Arial" w:hAnsi="Arial"/>
          <w:sz w:val="16"/>
          <w:szCs w:val="16"/>
          <w:color w:val="auto"/>
        </w:rPr>
        <w:t>. The Vaxart board of directors or a duly authorized committee of its board of directors administers the Vaxart 2007 Plan and the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granted under it. Subject to the terms of the Vaxart 2007 Plan, the board of directors has the authority to determine and amend the terms of awards, including recipients, the exercise, purchase or strike price of stock awards, if any, the number of shares subject to each stock award, the fair market value of a share of Vaxart common stock, the vesting schedule applicable to the awards, together with any vesting acceleration, and the form of consideration, if any, payable upon exercise or settlement of the award and the terms of the award agreements for use under the Vaxart 2007 Plan.</w:t>
      </w:r>
    </w:p>
    <w:p>
      <w:pPr>
        <w:spacing w:after="0" w:line="1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of directors has the power to modify outstanding awards under the Vaxart 2007 Plan. The board of directors has the authority to reprice any outstanding option or stock appreciation right, cancel any outstanding stock award in exchange for new stock awards, cash or other consideration, or take any other action that is treated as a repricing under GAAP, with the consent of any adversely affected participant.</w:t>
      </w:r>
    </w:p>
    <w:p>
      <w:pPr>
        <w:spacing w:after="0" w:line="18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i w:val="1"/>
          <w:iCs w:val="1"/>
          <w:color w:val="auto"/>
        </w:rPr>
        <w:t>Corporate Transactions</w:t>
      </w:r>
      <w:r>
        <w:rPr>
          <w:rFonts w:ascii="Arial" w:cs="Arial" w:eastAsia="Arial" w:hAnsi="Arial"/>
          <w:sz w:val="16"/>
          <w:szCs w:val="16"/>
          <w:color w:val="auto"/>
        </w:rPr>
        <w:t>. The Vaxart 2007 Plan provides that in the event of a specified corporate transaction, as defined under the Vaxart 2007 Plan,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stock award may be assumed or continued or an equivalent stock award may be substituted by a successor corporation and any reacquisition or repurchase rights held by Vaxart in respect of common stock issued pursuant to prior stock awards may be assigned to the successor corporation. If the successor corporation does not agree to assume or continue the stock award or to substitute an equivalent stock award, such stock awards will become fully vested and exercisable prior to the corporate transaction, and any reacquisition or repurchase rights will lapse. Any awards that have not been assumed, continued, substituted, or exercised prior to the corporate transaction will terminate at the closing of the transaction.</w:t>
      </w:r>
    </w:p>
    <w:p>
      <w:pPr>
        <w:spacing w:after="0" w:line="164"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The Vaxart 2007 Plan provides that in the event of a change of control, as defined in the Vaxart 2007 Plan, any outstanding awards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 fully.</w:t>
      </w:r>
    </w:p>
    <w:p>
      <w:pPr>
        <w:spacing w:after="0" w:line="170"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b w:val="1"/>
          <w:bCs w:val="1"/>
          <w:i w:val="1"/>
          <w:iCs w:val="1"/>
          <w:color w:val="auto"/>
        </w:rPr>
        <w:t>Transferability</w:t>
      </w:r>
      <w:r>
        <w:rPr>
          <w:rFonts w:ascii="Arial" w:cs="Arial" w:eastAsia="Arial" w:hAnsi="Arial"/>
          <w:sz w:val="18"/>
          <w:szCs w:val="18"/>
          <w:color w:val="auto"/>
        </w:rPr>
        <w:t>. A participant may not transfer stock awards under the Vaxart’s 2007 Plan other than by will, the laws of descent and distribution,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provided under the Vaxart’s 2007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Vaxart’s 401(k) Plan is a deferred savings retirement plan intended to qualify for favorable tax treatment under Section 401(a) of the Code. All Vaxart employees are generally eligible to participate in the 401(k) Plan subject to certain eligibility requirements, including requirements relating to age. Under the 401(k) Plan, each employee may make pre-tax contributions of up to 100% of their eligible compensation up to the current statutorily prescribed annual limit on pre-tax contributions under the Code. Employees who are 50 years of age or older may contribute additional amounts based on the statutory limits for catch-up contributions. Pre-tax contributions by employees and any employer contributions that Vaxart makes to the 401(k) Plan and the income earned on those contributions are generally not taxable to employees until withdrawn. Employer contributions that Vaxart makes to the 401(k) Plan are generally deductible when made. Employee contributions are held in trust as required by law. An employee’s interest in his or her pre-tax deferrals, including, with the exception of certain discretionary contributions and subject to certain tenure requirements any matching contributions made by us, is 100% vested when contributed.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220" w:name="page221"/>
    <w:bookmarkEnd w:id="22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228"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following is a summary of transactions since January 1, 2016 and all currently proposed transactions, to which either Aviragen or Vaxart has been a participant, in which:</w:t>
      </w:r>
    </w:p>
    <w:p>
      <w:pPr>
        <w:spacing w:after="0" w:line="170" w:lineRule="exact"/>
        <w:rPr>
          <w:sz w:val="20"/>
          <w:szCs w:val="20"/>
          <w:color w:val="auto"/>
        </w:rPr>
      </w:pPr>
    </w:p>
    <w:p>
      <w:pPr>
        <w:ind w:left="660" w:hanging="329"/>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amounts exceeded or will exceed $120,000; and</w:t>
      </w:r>
    </w:p>
    <w:p>
      <w:pPr>
        <w:spacing w:after="0" w:line="223" w:lineRule="exact"/>
        <w:rPr>
          <w:rFonts w:ascii="Arial" w:cs="Arial" w:eastAsia="Arial" w:hAnsi="Arial"/>
          <w:sz w:val="18"/>
          <w:szCs w:val="18"/>
          <w:color w:val="auto"/>
        </w:rPr>
      </w:pPr>
    </w:p>
    <w:p>
      <w:pPr>
        <w:ind w:left="660" w:right="420" w:hanging="329"/>
        <w:spacing w:after="0" w:line="276"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of the directors, executive officers or holders of more than 5% of the respective capital stock, or any member of the immediate family of the foregoing persons, had or will have a direct or indirect material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Aviragen</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January 1, 2016, there have been no transactions, and there are no proposed transactions, in which the amount involved exceeds $120,000 to which Aviragen or any of its subsidiaries was (or is to be) a party and in which any director, director nominee, executive officer, holder of more than 5% of Aviragen capital stock, or any immediate family member of or person sharing the household with any of these individuals, had (or will have) a direct or indirect material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Aviragen Related-Party Transactions Policy and Procedures</w:t>
      </w:r>
    </w:p>
    <w:p>
      <w:pPr>
        <w:spacing w:after="0" w:line="22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Aviragen’s Related Party Transaction Policy and Procedures requires all directors and officers of Aviragen to bring any potential transaction, arrangement or relationship or series of similar transactions, arrangements or relationships (including any indebtedness or guarantee of indebtedness) involving a “related person” (as such term is defined in Item 404 of Regulation S-K) to the attention of the Audit Committee or such other committee of the Board as shall be appropriate, or the Committee. Under the policy, the Committee is responsible for reviewing and either approving or disapproving transactions involving potential conflicts of interest with corporate officers and directors, whenever possible in advance of the creation of such transaction or conflict and all other related party transactions. In determining whether to approve or ratify such a transaction, the Committee will take into account, among other factors it deems appropriate, the material terms of the transaction, the nature of the related party’s interest in the transaction, the significance of the transaction to the related party and the nature of the related party’s relationship with Aviragen, the significance of the transaction to Aviragen, and whether the transaction would present an improper conflict of interest for any director or officer of Aviragen taking into account factors like the size of the transaction, the overall financial position of the director or officer, the direct or indirect nature of the director’s or officer’s interest in the transaction and the ongoing nature of any proposed relationship and any other factors deemed relevant.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Vaxart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Payments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2017, Vaxart had approximately $13.9 million of cumulative but unpaid accruing dividends to the holders of its Series B Preferred Stock and Series C Preferred Stock. Based on an assumed payment date of February 7, 2018, immediately prior to the closing of the merger, Vaxart expects to issue 25,704,450 shares of common stock in payment of approximately $14.9 million of cumulative accrued dividends on its Series B Preferred Stock and Series C Preferred Stock. The following table summarizes the expected payments to Vaxart’s executive officers, directors and holders of more than 5% of Vaxart’s capital stock immediately prior to the closing of the merger.</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Number of Shares</w:t>
            </w:r>
          </w:p>
        </w:tc>
      </w:tr>
      <w:tr>
        <w:trPr>
          <w:trHeight w:val="215"/>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r>
      <w:tr>
        <w:trPr>
          <w:trHeight w:val="215"/>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Vaxart Common</w:t>
            </w:r>
          </w:p>
        </w:tc>
      </w:tr>
      <w:tr>
        <w:trPr>
          <w:trHeight w:val="234"/>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r>
      <w:tr>
        <w:trPr>
          <w:trHeight w:val="249"/>
        </w:trPr>
        <w:tc>
          <w:tcPr>
            <w:tcW w:w="796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16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20,781,942</w:t>
            </w:r>
          </w:p>
        </w:tc>
        <w:tc>
          <w:tcPr>
            <w:tcW w:w="100" w:type="dxa"/>
            <w:vAlign w:val="bottom"/>
            <w:shd w:val="clear" w:color="auto" w:fill="CCEEFF"/>
          </w:tcPr>
          <w:p>
            <w:pPr>
              <w:spacing w:after="0"/>
              <w:rPr>
                <w:sz w:val="21"/>
                <w:szCs w:val="21"/>
                <w:color w:val="auto"/>
              </w:rPr>
            </w:pPr>
          </w:p>
        </w:tc>
      </w:tr>
      <w:tr>
        <w:trPr>
          <w:trHeight w:val="215"/>
        </w:trPr>
        <w:tc>
          <w:tcPr>
            <w:tcW w:w="796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1,274,405</w:t>
            </w:r>
          </w:p>
        </w:tc>
        <w:tc>
          <w:tcPr>
            <w:tcW w:w="100" w:type="dxa"/>
            <w:vAlign w:val="bottom"/>
          </w:tcPr>
          <w:p>
            <w:pPr>
              <w:spacing w:after="0"/>
              <w:rPr>
                <w:sz w:val="18"/>
                <w:szCs w:val="18"/>
                <w:color w:val="auto"/>
              </w:rPr>
            </w:pPr>
          </w:p>
        </w:tc>
      </w:tr>
      <w:tr>
        <w:trPr>
          <w:trHeight w:val="256"/>
        </w:trPr>
        <w:tc>
          <w:tcPr>
            <w:tcW w:w="7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16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1,536,070</w:t>
            </w:r>
          </w:p>
        </w:tc>
        <w:tc>
          <w:tcPr>
            <w:tcW w:w="100" w:type="dxa"/>
            <w:vAlign w:val="bottom"/>
            <w:shd w:val="clear" w:color="auto" w:fill="CCEEFF"/>
          </w:tcPr>
          <w:p>
            <w:pPr>
              <w:spacing w:after="0"/>
              <w:rPr>
                <w:sz w:val="22"/>
                <w:szCs w:val="22"/>
                <w:color w:val="auto"/>
              </w:rPr>
            </w:pPr>
          </w:p>
        </w:tc>
      </w:tr>
      <w:tr>
        <w:trPr>
          <w:trHeight w:val="389"/>
        </w:trPr>
        <w:tc>
          <w:tcPr>
            <w:tcW w:w="796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126,906</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69" w:lineRule="exact"/>
        <w:rPr>
          <w:sz w:val="20"/>
          <w:szCs w:val="20"/>
          <w:color w:val="auto"/>
        </w:rPr>
      </w:pPr>
    </w:p>
    <w:p>
      <w:pPr>
        <w:ind w:left="500" w:right="20" w:hanging="492"/>
        <w:spacing w:after="0" w:line="276" w:lineRule="auto"/>
        <w:tabs>
          <w:tab w:leader="none" w:pos="5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Includes Care Capital Investments III, LP and Care Capital Offshore Investments III, LP. Messrs. Leschly and Markham, each a member of the Vaxart board of directors, are the Chairman and Managing Partner, and a partner, respectively, of Care Capital, LLC.</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223" w:lineRule="exact"/>
        <w:rPr>
          <w:rFonts w:ascii="Arial" w:cs="Arial" w:eastAsia="Arial" w:hAnsi="Arial"/>
          <w:sz w:val="18"/>
          <w:szCs w:val="18"/>
          <w:color w:val="auto"/>
        </w:rPr>
      </w:pPr>
    </w:p>
    <w:p>
      <w:pPr>
        <w:jc w:val="center"/>
        <w:ind w:left="5580" w:right="200" w:hanging="5572"/>
        <w:spacing w:after="0" w:line="525" w:lineRule="auto"/>
        <w:tabs>
          <w:tab w:leader="none" w:pos="49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Includes notes purchased by Dr. Tucker and his spouse. Dr. Tucker is Vaxart’s Chief Scientific Officer and a member of the Vaxart board of directors. 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725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1" w:name="page222"/>
    <w:bookmarkEnd w:id="221"/>
    <w:p>
      <w:pPr>
        <w:spacing w:after="0" w:line="54"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Financing</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December 2014 and November 2015, Vaxart issued and sold convertible promissory notes in the aggregate principal amount of $29.4 million. Based on an assumed conversion date of February 7, 2018, the notes will convert into approximately 77,899,708 shares of common stock immediately prior to the closing of this merger. The notes carry an interest rate of 8% per annum. The following table summarizes purchases of the notes by Vaxart’s executive officers, directors and holders of more than 5% of Vaxart’s capital stock and the expected number of shares of Vaxart common stock to be issued upon conversion immediately prior to the closing of the merger.</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5"/>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Aggregate Principal</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Shares of Vaxart</w:t>
            </w:r>
          </w:p>
        </w:tc>
      </w:tr>
      <w:tr>
        <w:trPr>
          <w:trHeight w:val="234"/>
        </w:trPr>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Amount of Notes</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0"/>
                <w:szCs w:val="20"/>
                <w:color w:val="auto"/>
              </w:rPr>
            </w:pPr>
          </w:p>
        </w:tc>
      </w:tr>
      <w:tr>
        <w:trPr>
          <w:trHeight w:val="249"/>
        </w:trPr>
        <w:tc>
          <w:tcPr>
            <w:tcW w:w="680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65,184,854</w:t>
            </w:r>
          </w:p>
        </w:tc>
      </w:tr>
      <w:tr>
        <w:trPr>
          <w:trHeight w:val="215"/>
        </w:trPr>
        <w:tc>
          <w:tcPr>
            <w:tcW w:w="680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1,055,000</w:t>
            </w:r>
          </w:p>
        </w:tc>
        <w:tc>
          <w:tcPr>
            <w:tcW w:w="1520" w:type="dxa"/>
            <w:vAlign w:val="bottom"/>
          </w:tcPr>
          <w:p>
            <w:pPr>
              <w:jc w:val="right"/>
              <w:spacing w:after="0"/>
              <w:rPr>
                <w:sz w:val="20"/>
                <w:szCs w:val="20"/>
                <w:color w:val="auto"/>
              </w:rPr>
            </w:pPr>
            <w:r>
              <w:rPr>
                <w:rFonts w:ascii="Arial" w:cs="Arial" w:eastAsia="Arial" w:hAnsi="Arial"/>
                <w:sz w:val="18"/>
                <w:szCs w:val="18"/>
                <w:color w:val="auto"/>
              </w:rPr>
              <w:t>2,770,071</w:t>
            </w:r>
          </w:p>
        </w:tc>
        <w:tc>
          <w:tcPr>
            <w:tcW w:w="100" w:type="dxa"/>
            <w:vAlign w:val="bottom"/>
          </w:tcPr>
          <w:p>
            <w:pPr>
              <w:spacing w:after="0"/>
              <w:rPr>
                <w:sz w:val="18"/>
                <w:szCs w:val="18"/>
                <w:color w:val="auto"/>
              </w:rPr>
            </w:pPr>
          </w:p>
        </w:tc>
      </w:tr>
      <w:tr>
        <w:trPr>
          <w:trHeight w:val="256"/>
        </w:trPr>
        <w:tc>
          <w:tcPr>
            <w:tcW w:w="6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4,597,358</w:t>
            </w:r>
          </w:p>
        </w:tc>
        <w:tc>
          <w:tcPr>
            <w:tcW w:w="100" w:type="dxa"/>
            <w:vAlign w:val="bottom"/>
            <w:shd w:val="clear" w:color="auto" w:fill="CCEEFF"/>
          </w:tcPr>
          <w:p>
            <w:pPr>
              <w:spacing w:after="0"/>
              <w:rPr>
                <w:sz w:val="22"/>
                <w:szCs w:val="22"/>
                <w:color w:val="auto"/>
              </w:rPr>
            </w:pPr>
          </w:p>
        </w:tc>
      </w:tr>
      <w:tr>
        <w:trPr>
          <w:trHeight w:val="389"/>
        </w:trPr>
        <w:tc>
          <w:tcPr>
            <w:tcW w:w="680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129,099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64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96" w:lineRule="exact"/>
        <w:rPr>
          <w:sz w:val="20"/>
          <w:szCs w:val="20"/>
          <w:color w:val="auto"/>
        </w:rPr>
      </w:pPr>
    </w:p>
    <w:p>
      <w:pPr>
        <w:ind w:left="500" w:hanging="492"/>
        <w:spacing w:after="0" w:line="273" w:lineRule="auto"/>
        <w:tabs>
          <w:tab w:leader="none" w:pos="5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Includes notes purchased by Care Capital Investments III, LP and Care Capital Offshore Investments III, LP. Messrs. Leschly and Markham, each a member of the Vaxart board of directors, are the Chairman and Managing Partner, and a partner, respectively, of Care Capital, LLC.</w:t>
      </w:r>
    </w:p>
    <w:p>
      <w:pPr>
        <w:ind w:left="500" w:hanging="492"/>
        <w:spacing w:after="0"/>
        <w:tabs>
          <w:tab w:leader="none" w:pos="5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8" w:lineRule="exact"/>
        <w:rPr>
          <w:rFonts w:ascii="Arial" w:cs="Arial" w:eastAsia="Arial" w:hAnsi="Arial"/>
          <w:sz w:val="18"/>
          <w:szCs w:val="18"/>
          <w:color w:val="auto"/>
        </w:rPr>
      </w:pPr>
    </w:p>
    <w:p>
      <w:pPr>
        <w:ind w:left="500" w:hanging="492"/>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Includes notes purchased by Dr. Tucker and his spouse. Dr. Tucker is Vaxart’s Chief Scientific Officer and a member of the Vaxart board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Anti-Dilution Adjustment</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Vaxart’s existing amended and restated certificate of incorporation, the holders of Vaxart Series A Preferred Stock, Series B Preferred Stock and Series C Preferred Stock are entitled to certain adjustments to the effective conversion price of the Series A Preferred Stock, Series B Preferred or Series C Preferred Stock in the event Vaxart issues or sells any shares of Vaxart’s capital stock at a price per share less than the applicable conversion price of the Series A Preferred Stock, Series B Preferred Stock or Series C Preferred Stock immediately prior to such issuance. As a result of the closing of this merger, and after giving effect to the issuance of the dividends and the conversion of the convertible notes (each as described above), the conversion price of Vaxart’s Series A Preferred Stock, Series B Preferred Stock and Series C Preferred Stock will be adjusted such that the shares will be convertible into approximately 1.094, 1.1496 and 1.1496 shares of Vaxart common stock, respectively.</w:t>
      </w:r>
    </w:p>
    <w:p>
      <w:pPr>
        <w:spacing w:after="0" w:line="17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Assuming the closing of the merger occurs on February 7, 2018, the following table shows the effect of the anti-dilution adjustment in terms of additional number of shares of Vaxart common stock that would be issuable to Vaxart executive officers, directors and holders of more than 5% of Vaxart capital stock. Such shares will not actually be issued to these parties and will instead be reflected in the number of shares of Aviragen common stock to be received by such parties in the merger.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 Additional Shares</w:t>
            </w: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Vaxart Common Stock</w:t>
            </w:r>
          </w:p>
        </w:tc>
      </w:tr>
      <w:tr>
        <w:trPr>
          <w:trHeight w:val="249"/>
        </w:trPr>
        <w:tc>
          <w:tcPr>
            <w:tcW w:w="20" w:type="dxa"/>
            <w:vAlign w:val="bottom"/>
          </w:tcPr>
          <w:p>
            <w:pPr>
              <w:spacing w:after="0"/>
              <w:rPr>
                <w:sz w:val="21"/>
                <w:szCs w:val="21"/>
                <w:color w:val="auto"/>
              </w:rPr>
            </w:pPr>
          </w:p>
        </w:tc>
        <w:tc>
          <w:tcPr>
            <w:tcW w:w="8340" w:type="dxa"/>
            <w:vAlign w:val="bottom"/>
            <w:tcBorders>
              <w:top w:val="single" w:sz="8" w:color="auto"/>
            </w:tcBorders>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Care Capital</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6,744,858</w:t>
            </w:r>
          </w:p>
        </w:tc>
        <w:tc>
          <w:tcPr>
            <w:tcW w:w="10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Life Science Angel Investors III, LLC</w:t>
            </w:r>
          </w:p>
        </w:tc>
        <w:tc>
          <w:tcPr>
            <w:tcW w:w="3060" w:type="dxa"/>
            <w:vAlign w:val="bottom"/>
            <w:gridSpan w:val="3"/>
          </w:tcPr>
          <w:p>
            <w:pPr>
              <w:jc w:val="right"/>
              <w:ind w:right="100"/>
              <w:spacing w:after="0"/>
              <w:rPr>
                <w:sz w:val="20"/>
                <w:szCs w:val="20"/>
                <w:color w:val="auto"/>
              </w:rPr>
            </w:pPr>
            <w:r>
              <w:rPr>
                <w:rFonts w:ascii="Arial" w:cs="Arial" w:eastAsia="Arial" w:hAnsi="Arial"/>
                <w:sz w:val="18"/>
                <w:szCs w:val="18"/>
                <w:color w:val="auto"/>
              </w:rPr>
              <w:t>525,695</w:t>
            </w:r>
          </w:p>
        </w:tc>
      </w:tr>
      <w:tr>
        <w:trPr>
          <w:trHeight w:val="256"/>
        </w:trPr>
        <w:tc>
          <w:tcPr>
            <w:tcW w:w="20" w:type="dxa"/>
            <w:vAlign w:val="bottom"/>
          </w:tcPr>
          <w:p>
            <w:pPr>
              <w:spacing w:after="0"/>
              <w:rPr>
                <w:sz w:val="22"/>
                <w:szCs w:val="22"/>
                <w:color w:val="auto"/>
              </w:rPr>
            </w:pPr>
          </w:p>
        </w:tc>
        <w:tc>
          <w:tcPr>
            <w:tcW w:w="83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J. Finney, Ph.D.</w:t>
            </w:r>
            <w:r>
              <w:rPr>
                <w:rFonts w:ascii="Arial" w:cs="Arial" w:eastAsia="Arial" w:hAnsi="Arial"/>
                <w:sz w:val="29"/>
                <w:szCs w:val="29"/>
                <w:color w:val="auto"/>
                <w:vertAlign w:val="superscript"/>
              </w:rPr>
              <w:t>(2)</w:t>
            </w:r>
          </w:p>
        </w:tc>
        <w:tc>
          <w:tcPr>
            <w:tcW w:w="3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586,629</w:t>
            </w:r>
          </w:p>
        </w:tc>
      </w:tr>
      <w:tr>
        <w:trPr>
          <w:trHeight w:val="389"/>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Sean N. Tucker, Ph.D.</w:t>
            </w:r>
            <w:r>
              <w:rPr>
                <w:rFonts w:ascii="Arial" w:cs="Arial" w:eastAsia="Arial" w:hAnsi="Arial"/>
                <w:sz w:val="29"/>
                <w:szCs w:val="29"/>
                <w:color w:val="auto"/>
                <w:vertAlign w:val="superscript"/>
              </w:rPr>
              <w:t>(3)</w:t>
            </w:r>
          </w:p>
        </w:tc>
        <w:tc>
          <w:tcPr>
            <w:tcW w:w="3060" w:type="dxa"/>
            <w:vAlign w:val="bottom"/>
            <w:gridSpan w:val="3"/>
          </w:tcPr>
          <w:p>
            <w:pPr>
              <w:jc w:val="right"/>
              <w:ind w:right="100"/>
              <w:spacing w:after="0"/>
              <w:rPr>
                <w:sz w:val="20"/>
                <w:szCs w:val="20"/>
                <w:color w:val="auto"/>
              </w:rPr>
            </w:pPr>
            <w:r>
              <w:rPr>
                <w:rFonts w:ascii="Arial" w:cs="Arial" w:eastAsia="Arial" w:hAnsi="Arial"/>
                <w:sz w:val="18"/>
                <w:szCs w:val="18"/>
                <w:color w:val="auto"/>
              </w:rPr>
              <w:t>65,970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69" w:lineRule="exact"/>
        <w:rPr>
          <w:sz w:val="20"/>
          <w:szCs w:val="20"/>
          <w:color w:val="auto"/>
        </w:rPr>
      </w:pPr>
    </w:p>
    <w:p>
      <w:pPr>
        <w:ind w:left="500" w:hanging="492"/>
        <w:spacing w:after="0" w:line="290" w:lineRule="auto"/>
        <w:tabs>
          <w:tab w:leader="none" w:pos="5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Includes shares that would be issuable to Care Capital Investments III, LP and Care Capital Offshore Investments III, LP. Messrs. Leschly and Markham, each a member of the Vaxart board of directors, are the Chairman and Managing Partner, and a partner, respectively, of Care Capital, LLC.</w:t>
      </w:r>
    </w:p>
    <w:p>
      <w:pPr>
        <w:ind w:left="500" w:hanging="492"/>
        <w:spacing w:after="0"/>
        <w:tabs>
          <w:tab w:leader="none" w:pos="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Dr. Finney is a member of the Vaxart board of directors.</w:t>
      </w:r>
    </w:p>
    <w:p>
      <w:pPr>
        <w:spacing w:after="0" w:line="8" w:lineRule="exact"/>
        <w:rPr>
          <w:rFonts w:ascii="Arial" w:cs="Arial" w:eastAsia="Arial" w:hAnsi="Arial"/>
          <w:sz w:val="18"/>
          <w:szCs w:val="18"/>
          <w:color w:val="auto"/>
        </w:rPr>
      </w:pPr>
    </w:p>
    <w:p>
      <w:pPr>
        <w:ind w:left="500" w:hanging="492"/>
        <w:spacing w:after="0" w:line="259" w:lineRule="auto"/>
        <w:tabs>
          <w:tab w:leader="none" w:pos="5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Includes shares that would be issuable to Dr. Tucker and his spouse. Dr. Tucker is Vaxart’s Chief Scientific Officer and a member of the Vaxart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Investors’ Rights Agreement</w:t>
      </w:r>
    </w:p>
    <w:p>
      <w:pPr>
        <w:spacing w:after="0" w:line="22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July 2013, Vaxart entered into an amended and restated investors’ rights agreement, with certain holders of Vaxart’s preferred stock and common stock, including holders of more than 5% of Vaxart’s capital stock, and entities affiliated with certain of its directors. The agreement provided for registration rights, a right of first refusal in favor of certain holders of Vaxart’s preferred stock with regard to certain issuances of Vaxart’s capital stock. The amended and restated investors rights agreement and the rights of first refusal will not apply to, and will terminate upon, the closing of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22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Vaxart has entered into offer letters with its executive officers. For more information regarding these offer letters, see the section titled “Vaxart Executive Compensation—Vaxart’s Employment Arrangements.” Please also see the section titled “Vaxart Executive Compensation” for a summary of compensation paid to Vaxart’s named executive officers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4"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Vaxart has granted stock options to its executive officers. For a description of these stock options, see the section titled “Vaxart Executive Compensation— Outstanding Equity Awards at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The amended and restated certificate of incorporation of the combined company will contain provisions limiting the liability of directors, and the combined company’s amended and restated bylaws provides that it will indemnify its directors and executive officers to the fullest extent permitted under Delaware law. The amended and restated certificate of incorporation and bylaws will also provide the board of directors with discretion to indemnify other officers,</w:t>
      </w:r>
    </w:p>
    <w:p>
      <w:pPr>
        <w:sectPr>
          <w:pgSz w:w="11900" w:h="16893" w:orient="portrait"/>
          <w:cols w:equalWidth="0" w:num="1">
            <w:col w:w="11420"/>
          </w:cols>
          <w:pgMar w:left="240" w:top="118" w:right="239" w:bottom="0" w:gutter="0" w:footer="0" w:header="0"/>
        </w:sectPr>
      </w:pPr>
    </w:p>
    <w:bookmarkStart w:id="222" w:name="page223"/>
    <w:bookmarkEnd w:id="222"/>
    <w:p>
      <w:pPr>
        <w:jc w:val="both"/>
        <w:spacing w:after="0" w:line="262" w:lineRule="auto"/>
        <w:rPr>
          <w:sz w:val="20"/>
          <w:szCs w:val="20"/>
          <w:color w:val="auto"/>
        </w:rPr>
      </w:pPr>
      <w:r>
        <w:rPr>
          <w:rFonts w:ascii="Arial" w:cs="Arial" w:eastAsia="Arial" w:hAnsi="Arial"/>
          <w:sz w:val="18"/>
          <w:szCs w:val="18"/>
          <w:color w:val="auto"/>
        </w:rPr>
        <w:t>employees and agents when determined appropriate by the combined company’s board of directors. In addition, Vaxart has entered into an indemnification agreement with each of its directors and executive officers, which requires it to indemnify them. For more information regarding these agreements, see the section titled “The Merger—Limitations of Liability and Indemnification of Directors and Officers.”</w:t>
      </w:r>
    </w:p>
    <w:p>
      <w:pPr>
        <w:spacing w:after="0" w:line="176"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223" w:name="page224"/>
    <w:bookmarkEnd w:id="22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Vaxart Related Party Transaction Policy</w:t>
      </w:r>
    </w:p>
    <w:p>
      <w:pPr>
        <w:spacing w:after="0" w:line="2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Vaxart transactions described in this section were entered into prior to the adoption of a related party transaction policy. Although Vaxart has not had a written policy for the review and approval of transactions with related persons, its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its board of directors. The Vaxart board of directors took this information into account when evaluating the transaction and in determining whether such transaction was fair to Vaxart and in the best interest of all its stockholders.</w:t>
      </w:r>
    </w:p>
    <w:p>
      <w:pPr>
        <w:spacing w:after="0" w:line="193" w:lineRule="exact"/>
        <w:rPr>
          <w:sz w:val="20"/>
          <w:szCs w:val="20"/>
          <w:color w:val="auto"/>
        </w:rPr>
      </w:pPr>
    </w:p>
    <w:p>
      <w:pPr>
        <w:ind w:right="860"/>
        <w:spacing w:after="0" w:line="306" w:lineRule="auto"/>
        <w:rPr>
          <w:sz w:val="20"/>
          <w:szCs w:val="20"/>
          <w:color w:val="auto"/>
        </w:rPr>
      </w:pPr>
      <w:r>
        <w:rPr>
          <w:rFonts w:ascii="Arial" w:cs="Arial" w:eastAsia="Arial" w:hAnsi="Arial"/>
          <w:sz w:val="17"/>
          <w:szCs w:val="17"/>
          <w:color w:val="auto"/>
        </w:rPr>
        <w:t>Vaxart believes the terms obtained or consideration that it paid or received, as applicable, in connection with the transactions described above were comparable to terms available or the amounts that would be paid or received, as applicable in arm’s-length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Company Related Party Transaction Policy</w:t>
      </w:r>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combined company intends to adopt a formal written policy that its executive officers, directors, holders of more than 5% of any class of its voting securities, and any member of the immediate family of and any entity affiliated with any of the foregoing persons, will not be permitted to enter into a related-party transaction with the combined company without the prior consent of its audit committee, or other independent members of its board of directors in the event it is inappropriate for the audit committee to review such transaction due to a conflict of interest. Any request for the combined company to enter into a transaction with an executive officer, director, principal stockholder or any of their immediate family members or affiliates, in which the amount involved exceeds $120,000 must first be presented to its audit committee for review, consideration and approval. In approving or rejecting any such proposal, the combined company’s audit committee will consider the relevant facts and circumstances available and deemed relevant to the combined company’s audit committee, including, but not limited to, whether the transaction will be on terms no less favorable than terms generally available to an unaffiliated third- party under the same or similar circumstances and the extent of the related-party’s interest in the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4" w:name="page225"/>
    <w:bookmarkEnd w:id="22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information does not give effect to the proposed reverse stock split of Aviragen common stock described in the Reverse Stock Split Proposal.</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unaudited pro forma condensed combined financial information was prepared using the acquisition method of accounting under U.S. GAAP, and gives effect to the transaction between Aviragen and Vaxart to be accounted for as a reverse acquisition, with Vaxart being deemed the acquiring company for accounting purposes.</w:t>
      </w:r>
    </w:p>
    <w:p>
      <w:pPr>
        <w:spacing w:after="0" w:line="2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Vaxart was determined to be the accounting acquirer based upon the terms of the Merger Agreement and other factors including: (i) Vaxart stockholders are expected to own approximately 60% of the voting interests of the combined company immediately following the closing of the transaction; (ii) directors appointed by Vaxart will hold a majority of board seats in the combined company; and (iii) Vaxart management will hold all key positions in the management of the combined company.</w:t>
      </w:r>
    </w:p>
    <w:p>
      <w:pPr>
        <w:spacing w:after="0" w:line="214"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unaudited pro forma condensed combined balance sheet as of September 30, 2017 assumes that the transaction took place on September 30, 2017 and combines the historical balance sheets of Aviragen and Vaxart as of such date. The unaudited pro forma condensed combined statements of operations for the nine months ended September 30, 2017 and for the year ended December 31, 2016 assumes that the transaction took place as of January 1, 2016, and combines the historical results of Aviragen and Vaxart for each period. The historical financial statements of Aviragen and Vaxart have been adjusted to give pro forma effect to events that are (i) directly attributable to the transaction, (ii) factually supportable, and (iii) with respect to the unaudited pro forma condensed combined statements of operations, expected to have a continuing impact on the combined company’s results.</w:t>
      </w:r>
    </w:p>
    <w:p>
      <w:pPr>
        <w:spacing w:after="0" w:line="19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Because Vaxart will be treated as the accounting acquirer, Vaxart’s assets and liabilities will be recorded at their pre-combination carrying amounts and the historical operations that are reflected in the unaudited pro forma condensed combined financial information will be those of Vaxart. Aviragen’s assets and liabilities will be measured and recognized at their fair values as of the transaction date, and combined with the assets, liabilities and results of operations of Vaxart after the consummation of the transaction.</w:t>
      </w: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unaudited pro forma condensed combined financial information is based on the assumptions and adjustments that are described in the accompanying notes. The application of the acquisition method of accounting is dependent upon certain valuations and other studies that have yet to be completed.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acquisition accounting, expected to be completed after the closing of the transaction, will occur and these differences could have a material impact on the accompanying unaudited pro forma condensed combined financial information and the combined company’s future results of operations and financial position. In addition, differences between the preliminary and final amounts will likely occur as a result of the amount of cash used for Aviragen’s operations, changes in the fair value of Aviragen common stock, and other changes in Aviragen’s assets and liabilities.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preliminary and has been prepared for illustrative purposes only and is not necessarily indicative of the financial position or results of operations in future periods or the results that actually would have been realized had Aviragen and Vaxart been a combined company during the specified periods. The actual results reported in periods following the transaction may differ significantly from those reflected in the unaudited pro forma condensed combined financial information presented herein for a number of reasons, including, but not limited to, differences in the assumptions used to prepare this pro forma financial information.</w:t>
      </w:r>
    </w:p>
    <w:p>
      <w:pPr>
        <w:spacing w:after="0" w:line="18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unaudited pro forma condensed combined financial information, including the notes thereto, should be read in conjunction with the separate Aviragen and Vaxart historical financial statements, and their respective management’s discussion and analysis of financial condition and results of operations. Vaxart’s historical unaudited financial statements for the nine months ended September 30, 2017 and 2016, and audited financial statements for the years ended December 31, 2016 and December 31, 2015 are included elsewhere in this proxy statement/prospectus/information statement. Aviragen’s historical unaudited consolidated financial statements for the three months ended September 30, 2017 and 2016, and the audited consolidated financial statements for the years ended June 30, 2017 and June 30, 2016 are included elsewhere in this proxy statement/prospectus/information statement.</w:t>
      </w:r>
    </w:p>
    <w:p>
      <w:pPr>
        <w:spacing w:after="0" w:line="164"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The unaudited pro forma condensed combined financial information is presented based upon Vaxart’s calendar year end. Therefore, Aviragen’s historical June 30 fiscal year end statements of operations have been adjusted to conform to the calendar year end presentation used in the pro forma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5" w:name="page226"/>
    <w:bookmarkEnd w:id="22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Pro Forma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Vaxart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Aviragen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Adjustments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receivable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Note payable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Liability related to sale of future royalty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Secured promissory note, current</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Liability related to sale of future royalty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B</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 – related party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Embedded derivative liability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long-term</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169.1</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 (deficit)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6" w:name="page227"/>
    <w:bookmarkEnd w:id="22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Pro Forma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Pro Forma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Vaxart</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Aviragen</w:t>
            </w:r>
          </w:p>
        </w:tc>
        <w:tc>
          <w:tcPr>
            <w:tcW w:w="8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Combined</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Royalty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royalty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Revenue from government contract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tcPr>
          <w:p>
            <w:pPr>
              <w:ind w:left="6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Foreign exchange gain,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Change in fair value of financial instruments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280" w:type="dxa"/>
            <w:vAlign w:val="bottom"/>
          </w:tcPr>
          <w:p>
            <w:pPr>
              <w:ind w:left="6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tcPr>
          <w:p>
            <w:pPr>
              <w:spacing w:after="0" w:line="195" w:lineRule="exact"/>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Pr>
          <w:p>
            <w:pPr>
              <w:spacing w:after="0"/>
              <w:rPr>
                <w:sz w:val="17"/>
                <w:szCs w:val="17"/>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6,734,912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38,640,438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96,614,294</w:t>
            </w:r>
          </w:p>
        </w:tc>
        <w:tc>
          <w:tcPr>
            <w:tcW w:w="400" w:type="dxa"/>
            <w:vAlign w:val="bottom"/>
          </w:tcPr>
          <w:p>
            <w:pPr>
              <w:ind w:left="20"/>
              <w:spacing w:after="0" w:line="195" w:lineRule="exact"/>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10"/>
              <w:spacing w:after="0"/>
              <w:rPr>
                <w:sz w:val="20"/>
                <w:szCs w:val="20"/>
                <w:color w:val="auto"/>
              </w:rPr>
            </w:pPr>
            <w:r>
              <w:rPr>
                <w:rFonts w:ascii="Arial" w:cs="Arial" w:eastAsia="Arial" w:hAnsi="Arial"/>
                <w:sz w:val="18"/>
                <w:szCs w:val="18"/>
                <w:color w:val="auto"/>
                <w:w w:val="93"/>
              </w:rPr>
              <w:t>214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7" w:name="page228"/>
    <w:bookmarkEnd w:id="22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Pro Forma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Pro Forma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Vaxart</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Aviragen</w:t>
            </w:r>
          </w:p>
        </w:tc>
        <w:tc>
          <w:tcPr>
            <w:tcW w:w="8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Adjustments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Combined</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Royalty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royalty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Revenue from government contract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ind w:left="6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Foreign exchange loss,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Change in fair value of financial instruments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80" w:type="dxa"/>
            <w:vAlign w:val="bottom"/>
          </w:tcPr>
          <w:p>
            <w:pPr>
              <w:ind w:left="6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for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tcPr>
          <w:p>
            <w:pPr>
              <w:spacing w:after="0" w:line="195" w:lineRule="exact"/>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Pr>
          <w:p>
            <w:pPr>
              <w:spacing w:after="0"/>
              <w:rPr>
                <w:sz w:val="17"/>
                <w:szCs w:val="17"/>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6,738,292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38,648,630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96,622,486</w:t>
            </w:r>
          </w:p>
        </w:tc>
        <w:tc>
          <w:tcPr>
            <w:tcW w:w="400" w:type="dxa"/>
            <w:vAlign w:val="bottom"/>
          </w:tcPr>
          <w:p>
            <w:pPr>
              <w:ind w:left="20"/>
              <w:spacing w:after="0" w:line="195" w:lineRule="exact"/>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610"/>
              <w:spacing w:after="0"/>
              <w:rPr>
                <w:sz w:val="20"/>
                <w:szCs w:val="20"/>
                <w:color w:val="auto"/>
              </w:rPr>
            </w:pPr>
            <w:r>
              <w:rPr>
                <w:rFonts w:ascii="Arial" w:cs="Arial" w:eastAsia="Arial" w:hAnsi="Arial"/>
                <w:sz w:val="18"/>
                <w:szCs w:val="18"/>
                <w:color w:val="auto"/>
                <w:w w:val="93"/>
              </w:rPr>
              <w:t>215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28" w:name="page229"/>
    <w:bookmarkEnd w:id="22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Transaction and Basis of Presentation</w:t>
      </w:r>
    </w:p>
    <w:p>
      <w:pPr>
        <w:spacing w:after="0" w:line="2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unaudited pro forma condensed combined financial information was prepared in accordance with U.S. GAAP and pursuant to the rules and regulations of SEC Regulation S-X, and present the pro forma financial position and results of operations of the combined companies based upon the historical data of Aviragen and Vaxart.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2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October 27, 2017, Aviragen Therapeutics, Inc., or Aviragen, a Delaware corporation, Agora Merger Sub, Inc., a Delaware corporation, or Merger Sub, and Vaxart, Inc., a privately held clinical-stage Delaware corporation focused on developing oral recombinant vaccines from its proprietary delivery platform, or Vaxart, entered into an Agreement and Plan of Merger and Reorganization, the Merger Agreement, pursuant to which, among other things, subject to the satisfaction or waiver of the conditions set forth in the Merger Agreement, Merger Sub will merge with and into Vaxart, with Vaxart becoming a wholly-owned subsidiary of Aviragen and the surviving corporation of the merger. The merger is intended to qualify for federal income tax purposes as a tax-free reorganization under the provisions of Section 368(a) of the Internal Revenue Code of 1986, as amended.</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Subject to the terms and conditions of the Merger Agreement, at the effective time of the merger, or the Effective Time, (a) each outstanding share of capital stock of Vaxart, will be converted into the right to receive the number of shares of the combined company’s common stock equal to the exchange ratio described below and (b) each outstanding Vaxart stock option, whether vested or unvested, and warrant that has not previously been exercised prior to the Effective Time will be assumed by Aviragen. Immediately following the merger, the name of Aviragen will be changed from “Aviragen Therapeutics, Inc.” to “Vaxart, Inc.”</w:t>
      </w:r>
    </w:p>
    <w:p>
      <w:pPr>
        <w:spacing w:after="0" w:line="188"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Under the exchange ratio formula in the Merger Agreement, as of immediately after the merger and assuming no adjustments for cash balances as provided for in the Merger Agreement, the former Vaxart securityholders are expected to own approximately 60% of the aggregate number of shares of the combined company’s common stock issued and outstanding following the closing of the merger, or the Post-Closing Shares, and the securityholders of Aviragen as of immediately prior to the merger are expected to own approximately 40% of the aggregate number of Post-Closing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merger is subject to the approval of stockholders of each company as well as other customary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Vaxart has preliminarily concluded that the transaction represents a business combination pursuant to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Because Vaxart securityholders will own approximately 60% of the voting stock of the combined company after the merger, Vaxart directors will hold a majority of the board seats in the combined company, and Vaxart management will hold a majority of key positions in the management of the combined company, Vaxart is deemed to be the acquiring company for accounting purposes and the transaction will be accounted for as a reverse acquisition under the acquisition method of accounting for business combinations. Vaxart has not yet completed an external valuation analysis of the fair market value of Aviragen’s assets to be acquired and liabilities to be assumed. Using the estimated total consideration for the transaction, Vaxart has estimated the allocations to such assets and liabilities. This preliminary purchase price allocation has been used to prepare pro forma adjustments in the unaudited pro forma condensed combined balance sheet. The final purchase price allocation will be determined when Vaxart has determined the final consideration and completed the detailed valuations and other studies and necessary calculations. The final purchase price allocation could differ materially from the preliminary purchase price allocation used to prepare the pro forma adjustments. The final purchase price allocation may include (i) changes in allocations to intangible assets and bargain purchase gain or goodwill based on the results of certain valuations and other studies that have yet to be completed, (ii) other changes to assets and liabilities and (iii) changes to the ultimate purchase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Preliminary Purchase Price</w:t>
      </w: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the Merger Agreement, at the closing of the transaction, Aviragen will issue to Vaxart stockholders a number of shares of Aviragen common stock representing approximately 60% of the outstanding shares of common stock of the combined company. The estimated preliminary purchase price, which represents the consideration transferred to Aviragen securityholders in the reverse transaction is calculated based on the number of shares of common stock of the combined company that Aviragen securityholders will own as of the closing of the transaction, as described below. The accompanying unaudited pro forma condensed combined financial information reflects an estimated purchase price of approximately $22.8 million, which consists of the following (in millions except for share and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Estimated number of shares of the combined company to be owned by Aviragen securityholders (1)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38,649,237</w:t>
            </w:r>
          </w:p>
        </w:tc>
        <w:tc>
          <w:tcPr>
            <w:tcW w:w="100" w:type="dxa"/>
            <w:vAlign w:val="bottom"/>
            <w:shd w:val="clear" w:color="auto" w:fill="CCEEFF"/>
          </w:tcPr>
          <w:p>
            <w:pPr>
              <w:spacing w:after="0"/>
              <w:rPr>
                <w:sz w:val="18"/>
                <w:szCs w:val="18"/>
                <w:color w:val="auto"/>
              </w:rPr>
            </w:pPr>
          </w:p>
        </w:tc>
      </w:tr>
      <w:tr>
        <w:trPr>
          <w:trHeight w:val="215"/>
        </w:trPr>
        <w:tc>
          <w:tcPr>
            <w:tcW w:w="9840" w:type="dxa"/>
            <w:vAlign w:val="bottom"/>
          </w:tcPr>
          <w:p>
            <w:pPr>
              <w:spacing w:after="0"/>
              <w:rPr>
                <w:sz w:val="20"/>
                <w:szCs w:val="20"/>
                <w:color w:val="auto"/>
              </w:rPr>
            </w:pPr>
            <w:r>
              <w:rPr>
                <w:rFonts w:ascii="Arial" w:cs="Arial" w:eastAsia="Arial" w:hAnsi="Arial"/>
                <w:sz w:val="18"/>
                <w:szCs w:val="18"/>
                <w:color w:val="auto"/>
              </w:rPr>
              <w:t>Multiplied by the assumed price per share of Aviragen stock (2)</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r>
      <w:tr>
        <w:trPr>
          <w:trHeight w:val="209"/>
        </w:trPr>
        <w:tc>
          <w:tcPr>
            <w:tcW w:w="9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9840" w:type="dxa"/>
            <w:vAlign w:val="bottom"/>
          </w:tcPr>
          <w:p>
            <w:pPr>
              <w:spacing w:after="0"/>
              <w:rPr>
                <w:sz w:val="20"/>
                <w:szCs w:val="20"/>
                <w:color w:val="auto"/>
              </w:rPr>
            </w:pPr>
            <w:r>
              <w:rPr>
                <w:rFonts w:ascii="Arial" w:cs="Arial" w:eastAsia="Arial" w:hAnsi="Arial"/>
                <w:sz w:val="18"/>
                <w:szCs w:val="18"/>
                <w:color w:val="auto"/>
              </w:rPr>
              <w:t>Total preliminary estimated purchase price</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29" w:name="page230"/>
    <w:bookmarkEnd w:id="22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4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13" w:lineRule="exact"/>
        <w:rPr>
          <w:sz w:val="20"/>
          <w:szCs w:val="20"/>
          <w:color w:val="auto"/>
        </w:rPr>
      </w:pPr>
    </w:p>
    <w:p>
      <w:pPr>
        <w:ind w:left="340" w:right="20" w:hanging="332"/>
        <w:spacing w:after="0" w:line="267"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Represents the number of shares of common stock of the combined company that Aviragen securityholders would own as of the closing of the transaction pursuant to the Merger Agreement. This amount is calculated, for purposes of this unaudited pro forma condensed combined financial information, as 38,649,237 shares of Aviragen common stock outstanding as of September 30, 2017 and does not give effect to the proposed reverse stock split of Aviragen common stock described in the Reverse Stock Split Proposal. The effect of the reverse stock split is not expected to have an impact on the dollar amounts in the preliminary purchase price or pro forma financial statements.</w:t>
      </w:r>
    </w:p>
    <w:p>
      <w:pPr>
        <w:spacing w:after="0" w:line="3" w:lineRule="exact"/>
        <w:rPr>
          <w:rFonts w:ascii="Arial" w:cs="Arial" w:eastAsia="Arial" w:hAnsi="Arial"/>
          <w:sz w:val="17"/>
          <w:szCs w:val="17"/>
          <w:color w:val="auto"/>
        </w:rPr>
      </w:pPr>
    </w:p>
    <w:p>
      <w:pPr>
        <w:ind w:left="340" w:right="100" w:hanging="332"/>
        <w:spacing w:after="0" w:line="252"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estimated purchase price was based on the closing price of Aviragen common stock on December 19, 2017. The requirement to base the final purchase price on the number of shares of Aviragen common stock outstanding and the price as of the closing date could result in a purchase price and gain on bargain purchase, different from that assumed in this unaudited pro forma condensed combined financial information, and that difference may be material. The actual purchase price will fluctuate until the effective date of the transaction and the final valuation could differ significantly from the current estimate.</w:t>
      </w:r>
    </w:p>
    <w:p>
      <w:pPr>
        <w:spacing w:after="0" w:line="191"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The following table illustrates the effect of changes in Aviragen common stock price and the resulting impact on the estimated total purchase price and estimated bargain purchase gain (in millions except for share and per share amounts):</w:t>
      </w:r>
    </w:p>
    <w:p>
      <w:pPr>
        <w:spacing w:after="0" w:line="166"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Estimated bargain</w:t>
            </w:r>
          </w:p>
        </w:tc>
      </w:tr>
      <w:tr>
        <w:trPr>
          <w:trHeight w:val="234"/>
        </w:trPr>
        <w:tc>
          <w:tcPr>
            <w:tcW w:w="4240" w:type="dxa"/>
            <w:vAlign w:val="bottom"/>
          </w:tcPr>
          <w:p>
            <w:pPr>
              <w:ind w:left="1680"/>
              <w:spacing w:after="0"/>
              <w:rPr>
                <w:sz w:val="20"/>
                <w:szCs w:val="20"/>
                <w:color w:val="auto"/>
              </w:rPr>
            </w:pPr>
            <w:r>
              <w:rPr>
                <w:rFonts w:ascii="Arial" w:cs="Arial" w:eastAsia="Arial" w:hAnsi="Arial"/>
                <w:sz w:val="18"/>
                <w:szCs w:val="18"/>
                <w:b w:val="1"/>
                <w:bCs w:val="1"/>
                <w:color w:val="auto"/>
              </w:rPr>
              <w:t>Change in stock price</w:t>
            </w: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Stock 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purchase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purchase gain</w:t>
            </w:r>
          </w:p>
        </w:tc>
        <w:tc>
          <w:tcPr>
            <w:tcW w:w="100" w:type="dxa"/>
            <w:vAlign w:val="bottom"/>
          </w:tcPr>
          <w:p>
            <w:pPr>
              <w:spacing w:after="0"/>
              <w:rPr>
                <w:sz w:val="20"/>
                <w:szCs w:val="20"/>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Increase of 10%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Decrease of 10%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Increase of 30%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Decrease of 30%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5"/>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Increase of 50%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Decrease of 50%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bl>
    <w:p>
      <w:pPr>
        <w:spacing w:after="0" w:line="186"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The number of shares of common stock Aviragen will issue to Vaxart stockholders, for purposes of this unaudited pro forma condensed combined financial information, is calculated pursuant to the terms of the Merger Agreement based on Aviragen common stock outstanding as of September 30, 2017, as follows:</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Shares of Aviragen Common Stock outstanding as of September 30, 2017</w:t>
            </w:r>
          </w:p>
        </w:tc>
        <w:tc>
          <w:tcPr>
            <w:tcW w:w="2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38,649,237</w:t>
            </w:r>
          </w:p>
        </w:tc>
      </w:tr>
      <w:tr>
        <w:trPr>
          <w:trHeight w:val="215"/>
        </w:trPr>
        <w:tc>
          <w:tcPr>
            <w:tcW w:w="8120" w:type="dxa"/>
            <w:vAlign w:val="bottom"/>
          </w:tcPr>
          <w:p>
            <w:pPr>
              <w:spacing w:after="0"/>
              <w:rPr>
                <w:sz w:val="20"/>
                <w:szCs w:val="20"/>
                <w:color w:val="auto"/>
              </w:rPr>
            </w:pPr>
            <w:r>
              <w:rPr>
                <w:rFonts w:ascii="Arial" w:cs="Arial" w:eastAsia="Arial" w:hAnsi="Arial"/>
                <w:sz w:val="18"/>
                <w:szCs w:val="18"/>
                <w:color w:val="auto"/>
              </w:rPr>
              <w:t>Divided by the assumed percentage of Aviragen ownership of combined company</w:t>
            </w:r>
          </w:p>
        </w:tc>
        <w:tc>
          <w:tcPr>
            <w:tcW w:w="2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Estimated adjusted total shares of common stock of combined company</w:t>
            </w:r>
          </w:p>
        </w:tc>
        <w:tc>
          <w:tcPr>
            <w:tcW w:w="2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96,623,093</w:t>
            </w:r>
          </w:p>
        </w:tc>
      </w:tr>
      <w:tr>
        <w:trPr>
          <w:trHeight w:val="215"/>
        </w:trPr>
        <w:tc>
          <w:tcPr>
            <w:tcW w:w="8120" w:type="dxa"/>
            <w:vAlign w:val="bottom"/>
          </w:tcPr>
          <w:p>
            <w:pPr>
              <w:spacing w:after="0"/>
              <w:rPr>
                <w:sz w:val="20"/>
                <w:szCs w:val="20"/>
                <w:color w:val="auto"/>
              </w:rPr>
            </w:pPr>
            <w:r>
              <w:rPr>
                <w:rFonts w:ascii="Arial" w:cs="Arial" w:eastAsia="Arial" w:hAnsi="Arial"/>
                <w:sz w:val="18"/>
                <w:szCs w:val="18"/>
                <w:color w:val="auto"/>
              </w:rPr>
              <w:t>Multiplied by the assumed percentage of Vaxart ownership of combined company</w:t>
            </w:r>
          </w:p>
        </w:tc>
        <w:tc>
          <w:tcPr>
            <w:tcW w:w="2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5"/>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Estimated shares of Aviragen common stock issued to Vaxart upon closing of transaction</w:t>
            </w:r>
          </w:p>
        </w:tc>
        <w:tc>
          <w:tcPr>
            <w:tcW w:w="2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57,973,856</w:t>
            </w:r>
          </w:p>
        </w:tc>
      </w:tr>
    </w:tbl>
    <w:p>
      <w:pPr>
        <w:spacing w:after="0" w:line="20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The excess of the estimated fair values of net assets acquired over the acquisition consideration paid will be recorded as a bargain purchase gain in the condensed combined statement of operations. The bargain purchase gain has not been reflected in the unaudited pro forma condensed combined statements of operations as it is directly attributable to the transaction and will not have a continuing impact on the operating results of the combined company.</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allocation of the total preliminary estimated purchase price to the acquired assets and assumed liabilities of Aviragen, based on the estimated fair values as of September 30, 2017, is as follows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3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Accounts payable, accrued expenses and other liabilities</w:t>
            </w: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assets acquired</w:t>
            </w: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estimated purchase price</w:t>
            </w:r>
          </w:p>
        </w:tc>
        <w:tc>
          <w:tcPr>
            <w:tcW w:w="3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spacing w:after="0"/>
              <w:rPr>
                <w:sz w:val="18"/>
                <w:szCs w:val="18"/>
                <w:color w:val="auto"/>
              </w:rPr>
            </w:pP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Bargain purchase gain</w:t>
            </w:r>
          </w:p>
        </w:tc>
        <w:tc>
          <w:tcPr>
            <w:tcW w:w="3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3260" w:type="dxa"/>
            <w:vAlign w:val="bottom"/>
            <w:tcBorders>
              <w:top w:val="single" w:sz="8" w:color="CCEEFF"/>
            </w:tcBorders>
          </w:tcPr>
          <w:p>
            <w:pPr>
              <w:jc w:val="right"/>
              <w:ind w:right="2710"/>
              <w:spacing w:after="0"/>
              <w:rPr>
                <w:sz w:val="20"/>
                <w:szCs w:val="20"/>
                <w:color w:val="auto"/>
              </w:rPr>
            </w:pPr>
            <w:r>
              <w:rPr>
                <w:rFonts w:ascii="Arial" w:cs="Arial" w:eastAsia="Arial" w:hAnsi="Arial"/>
                <w:sz w:val="18"/>
                <w:szCs w:val="18"/>
                <w:color w:val="auto"/>
              </w:rPr>
              <w:t>217</w:t>
            </w:r>
          </w:p>
        </w:tc>
        <w:tc>
          <w:tcPr>
            <w:tcW w:w="6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30" w:name="page231"/>
    <w:bookmarkEnd w:id="23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application of the acquisition method of accounting is dependent upon certain valuations and other studies that have yet to be completed. The purchase price allocation will remain preliminary until Vaxart management determines the fair values of assets acquired and liabilities assumed. The final determination of the purchase price allocation is anticipated to be completed as soon as practicable after completion of the transaction and will be based on the fair values of the assets acquired and liabilities assumed as of the transaction closing date. The final amounts allocated to assets acquired and liabilities assumed could differ significantly from the amounts presented in the unaudited pro forma condensed combined financial statements for the reasons described in Note 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 Forma Adjustments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financial information includes pro forma adjustments that are (i) directly attributable to the transaction,</w:t>
      </w:r>
    </w:p>
    <w:p>
      <w:pPr>
        <w:spacing w:after="0" w:line="34" w:lineRule="exact"/>
        <w:rPr>
          <w:sz w:val="20"/>
          <w:szCs w:val="20"/>
          <w:color w:val="auto"/>
        </w:rPr>
      </w:pPr>
    </w:p>
    <w:p>
      <w:pPr>
        <w:ind w:right="480" w:firstLine="8"/>
        <w:spacing w:after="0" w:line="259" w:lineRule="auto"/>
        <w:tabs>
          <w:tab w:leader="none" w:pos="26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unaudited pro forma condensed combined statements of operations, expected to have a continuing impact on the results of operations of the combined company.</w:t>
      </w:r>
    </w:p>
    <w:p>
      <w:pPr>
        <w:spacing w:after="0" w:line="18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Based on Vaxart management’s review of Aviragen’s summary of significant accounting policies, the nature and amount of any adjustments to the historical financial statements of Aviragen to conform to the accounting policies of Vaxart are not expected to be significant.</w:t>
      </w:r>
    </w:p>
    <w:p>
      <w:pPr>
        <w:spacing w:after="0" w:line="170"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The unaudited pro forma condensed combined financial information does not give effect to the proposed reverse stock split of Aviragen common stock described in the Reverse Stock Split Proposal</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based on preliminary estimates that may change significantly as additional information is obtained, are as follows:</w:t>
      </w:r>
    </w:p>
    <w:p>
      <w:pPr>
        <w:spacing w:after="0" w:line="224" w:lineRule="exact"/>
        <w:rPr>
          <w:sz w:val="20"/>
          <w:szCs w:val="20"/>
          <w:color w:val="auto"/>
        </w:rPr>
      </w:pPr>
    </w:p>
    <w:p>
      <w:pPr>
        <w:ind w:left="660" w:right="80" w:hanging="329"/>
        <w:spacing w:after="0" w:line="271"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the accrued liabilities that are assumed by Vaxart of approximately $2.3 million in severance and change in control obligations for Aviragen employees and for estimated transaction costs directly attributable to the closing of the transaction of approximately $3.5 million that have not yet been incurred. Note that the $3.5 million in transaction costs includes the following costs to be incurred by Aviragen: $1.3 million for investment banking services, $0.6 million in insurance costs, and $0.7 million in legal and other expenses; and the following are transaction costs to be incurred by Vaxart: $0.8 million in legal and accounting expenses and $0.1 million in other expenses. These pro forma adjustments are not reflected in the unaudited pro forma condensed combined statements of operations as these amounts are not expected to have a continuing effect on the operating results of the combined company.</w:t>
      </w:r>
    </w:p>
    <w:p>
      <w:pPr>
        <w:spacing w:after="0" w:line="177" w:lineRule="exact"/>
        <w:rPr>
          <w:rFonts w:ascii="Arial" w:cs="Arial" w:eastAsia="Arial" w:hAnsi="Arial"/>
          <w:sz w:val="17"/>
          <w:szCs w:val="17"/>
          <w:color w:val="auto"/>
        </w:rPr>
      </w:pPr>
    </w:p>
    <w:p>
      <w:pPr>
        <w:ind w:left="660" w:hanging="329"/>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estimated fair value of the acquired assets and assumed liabilities related to the sale of future royalties.</w:t>
      </w:r>
    </w:p>
    <w:p>
      <w:pPr>
        <w:spacing w:after="0" w:line="223" w:lineRule="exact"/>
        <w:rPr>
          <w:rFonts w:ascii="Arial" w:cs="Arial" w:eastAsia="Arial" w:hAnsi="Arial"/>
          <w:sz w:val="18"/>
          <w:szCs w:val="18"/>
          <w:color w:val="auto"/>
        </w:rPr>
      </w:pPr>
    </w:p>
    <w:p>
      <w:pPr>
        <w:ind w:left="660" w:right="120" w:hanging="329"/>
        <w:spacing w:after="0" w:line="225"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estimated fair value of Aviragen intangible assets acquired based on projected cash flows, which includes $18.8 million for developed technology related to 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$5.1 million for in-process research and development related to BTA074, and the related amortization of the developed technology assets that range from 2-12 years.</w:t>
      </w:r>
    </w:p>
    <w:p>
      <w:pPr>
        <w:spacing w:after="0" w:line="200" w:lineRule="exact"/>
        <w:rPr>
          <w:rFonts w:ascii="Arial" w:cs="Arial" w:eastAsia="Arial" w:hAnsi="Arial"/>
          <w:sz w:val="18"/>
          <w:szCs w:val="18"/>
          <w:color w:val="auto"/>
        </w:rPr>
      </w:pPr>
    </w:p>
    <w:p>
      <w:pPr>
        <w:ind w:left="660" w:right="20" w:hanging="329"/>
        <w:spacing w:after="0" w:line="258"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reflect the conversion of Vaxart’s convertible promissory notes-related party and the related embedded derivative liability and preferred stock into shares of common stock of the combined company, the removal of the promissory notes interest expense, the removal of the change in fair value of the derivative, and the removal of dividends relating to convertible preferred stock that had been included in net loss attributable to common stockholders.</w:t>
      </w:r>
    </w:p>
    <w:p>
      <w:pPr>
        <w:spacing w:after="0" w:line="186" w:lineRule="exact"/>
        <w:rPr>
          <w:rFonts w:ascii="Arial" w:cs="Arial" w:eastAsia="Arial" w:hAnsi="Arial"/>
          <w:sz w:val="18"/>
          <w:szCs w:val="18"/>
          <w:color w:val="auto"/>
        </w:rPr>
      </w:pPr>
    </w:p>
    <w:p>
      <w:pPr>
        <w:ind w:left="660" w:hanging="329"/>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(1) the elimination of Aviragen’s historical stockholders’ equity and (2) the issuance of common shares to finance the acquisition.</w:t>
      </w:r>
    </w:p>
    <w:p>
      <w:pPr>
        <w:spacing w:after="0" w:line="235" w:lineRule="exact"/>
        <w:rPr>
          <w:rFonts w:ascii="Arial" w:cs="Arial" w:eastAsia="Arial" w:hAnsi="Arial"/>
          <w:sz w:val="17"/>
          <w:szCs w:val="17"/>
          <w:color w:val="auto"/>
        </w:rPr>
      </w:pPr>
    </w:p>
    <w:p>
      <w:pPr>
        <w:ind w:left="660" w:right="60" w:hanging="329"/>
        <w:spacing w:after="0" w:line="306"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the elimination of transaction costs incurred by Aviragen and Vaxart during the periods presented. These amounts have been eliminated on a pro forma basis, as they are not expected to have a continuing effect on the operating results of the combined company.</w:t>
      </w:r>
    </w:p>
    <w:p>
      <w:pPr>
        <w:spacing w:after="0" w:line="147" w:lineRule="exact"/>
        <w:rPr>
          <w:rFonts w:ascii="Arial" w:cs="Arial" w:eastAsia="Arial" w:hAnsi="Arial"/>
          <w:sz w:val="17"/>
          <w:szCs w:val="17"/>
          <w:color w:val="auto"/>
        </w:rPr>
      </w:pPr>
    </w:p>
    <w:p>
      <w:pPr>
        <w:ind w:left="660" w:right="100" w:hanging="329"/>
        <w:spacing w:after="0" w:line="276"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Reflects the increase in the weighted average shares in connection with the issuance of common shares to finance the transaction. The table presents these pro forma share adjustments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Nine months ended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48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For the Year ended</w:t>
            </w:r>
          </w:p>
        </w:tc>
      </w:tr>
      <w:tr>
        <w:trPr>
          <w:trHeight w:val="234"/>
        </w:trPr>
        <w:tc>
          <w:tcPr>
            <w:tcW w:w="74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2016</w:t>
            </w:r>
          </w:p>
        </w:tc>
        <w:tc>
          <w:tcPr>
            <w:tcW w:w="100" w:type="dxa"/>
            <w:vAlign w:val="bottom"/>
          </w:tcPr>
          <w:p>
            <w:pPr>
              <w:spacing w:after="0"/>
              <w:rPr>
                <w:sz w:val="20"/>
                <w:szCs w:val="20"/>
                <w:color w:val="auto"/>
              </w:rPr>
            </w:pPr>
          </w:p>
        </w:tc>
      </w:tr>
      <w:tr>
        <w:trPr>
          <w:trHeight w:val="20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38,648,630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38,640,438</w:t>
            </w: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Issuance of additional shares to finance the transaction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57,973,856</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57,973,856</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combined weighted average shares outstanding</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96,622,486</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96,614,294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ind w:left="660" w:right="980" w:hanging="329"/>
        <w:spacing w:after="0" w:line="276"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reflect the bargain purchase gain as the fair value of the assumed acquired assets and liabilities is in excess of the estimated purchase consideration.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31" w:name="page232"/>
    <w:bookmarkEnd w:id="23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AVIRAGEN CAPITAL STOCK</w:t>
      </w:r>
    </w:p>
    <w:p>
      <w:pPr>
        <w:spacing w:after="0" w:line="228"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Aviragen’s certificate of incorporation authorizes Aviragen to issue up to 200,000,000 shares of common stock, $0.10 par value, and 5,000,000 shares of preferred stock, $0.10 par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outstanding:</w:t>
      </w:r>
    </w:p>
    <w:p>
      <w:pPr>
        <w:spacing w:after="0" w:line="224" w:lineRule="exact"/>
        <w:rPr>
          <w:sz w:val="20"/>
          <w:szCs w:val="20"/>
          <w:color w:val="auto"/>
        </w:rPr>
      </w:pPr>
    </w:p>
    <w:p>
      <w:pPr>
        <w:ind w:left="660" w:hanging="329"/>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38,649,237 shares of common stock;</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zero shares of preferred stock;</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7,452,999 shares of common stock underlying outstanding options, with a weighted average exercise price of $2.35 per share;</w:t>
      </w:r>
    </w:p>
    <w:p>
      <w:pPr>
        <w:spacing w:after="0" w:line="2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reverse stock split of Aviragen common stock described in the Reverse Stock Split Proposal, if approved the affirmative vote of holders of a majority of the Aviragen common stock outstanding on the record date for the Aviragen special meeting, is expected to occur immediately prior to the merger and prior to issuance of shares of Aviragen common stock to Vaxart. As a result, the issuance of shares of common stock to Vaxart is not expected to exceed Aviragen’s authorized shares of common stock.</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following description of Aviragen’s capital stock is not complete and is subject to and qualified in its entirety by Aviragen’s restated certificate of incorporation, filed as an exhibit on Aviragen’s Current Report on Form 10-K filed with the SEC on September 13, 2016, and restated bylaws, publicly filed as an exhibit to Aviragen’s Current Report on Form10-K filed with the SEC on September 13, 2016, and by the relevant provisions of the DGCL.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Aviragen common stock is entitled to one vote for each share held of record on all matters submitted to a vote of the stockholders, except that in the election of directors each stockholder has cumulative voting rights and is entitled to a number of votes equal to the number of shares held by such stockholder multiplied by the number of directors to be elected, and each stockholder may cast all of such votes for a single director or may distribute them among the number to be voted for, or for any two or more of them as the stockholder may see 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common stock are entitled to receive dividends, if any, as may be declared from time to time by the Aviragen board of directors out of legally available funds. Aviragen has never paid cash dividends and has no present intention to pay cash dividends.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the event of Aviragen’s liquidation, dissolution or winding up, holders of Aviragen common stock will be entitled to share ratably in the net assets legally available for distribution to stockholders after the payment of all of Aviragen’s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4"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color w:val="auto"/>
        </w:rPr>
        <w:t>Holders of Aviragen common stock have no preemptive, conversion or subscription rights, and there are no redemption or sinking fund provisions applicable to Aviragen common stock. The rights, preferences and privileges of the holders of Aviragen common stock are subject to, and may be adversely affected by, the rights of the holders of shares of any series of Aviragen’s preferred stock that Aviragen may designate and issue in the future.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All of Aviragen’s outstanding shares of common stock are fully paid and nonassessable.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Aviragen board of directors has the authority, without further action by the stockholders, to issue up to 5,000,000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ectPr>
          <w:pgSz w:w="11900" w:h="16838" w:orient="portrait"/>
          <w:cols w:equalWidth="0" w:num="1">
            <w:col w:w="11420"/>
          </w:cols>
          <w:pgMar w:left="240" w:top="11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2" w:name="page233"/>
    <w:bookmarkEnd w:id="23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Aviragen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Aviragen’s control that may otherwise benefit holders of Aviragen common stock and may adversely affect the market price of the common stock and the voting and other rights of the holders of common stock. As of September 30, 2017, there were no shares of preferred stock outstanding and Aviragen has no current plans to issue any shares of preferred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of September 30, 2017, there were 7,452,999 shares of common stock issuable upon the exercise of outstanding stock options, at a weighted-average exercise price of $2.35 per share. Upon the closing of the merger and/or the termination of optionholders’ employment in connection therewith, all unvested stock options will accelerate and vest in full and will remain outstanding in accordance with their terms.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no outstanding restricted stock unit awards.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there were no outstanding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Aviragen Charter Documents and Delaware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Aviragen is subject to Section 203 of the DGCL,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83" w:lineRule="exact"/>
        <w:rPr>
          <w:sz w:val="20"/>
          <w:szCs w:val="20"/>
          <w:color w:val="auto"/>
        </w:rPr>
      </w:pPr>
    </w:p>
    <w:p>
      <w:pPr>
        <w:ind w:left="660" w:right="540" w:hanging="329"/>
        <w:spacing w:after="0" w:line="276"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9" w:lineRule="exact"/>
        <w:rPr>
          <w:rFonts w:ascii="Arial" w:cs="Arial" w:eastAsia="Arial" w:hAnsi="Arial"/>
          <w:sz w:val="18"/>
          <w:szCs w:val="18"/>
          <w:color w:val="auto"/>
        </w:rPr>
      </w:pPr>
    </w:p>
    <w:p>
      <w:pPr>
        <w:ind w:left="660" w:hanging="329"/>
        <w:spacing w:after="0" w:line="258"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6" w:lineRule="exact"/>
        <w:rPr>
          <w:rFonts w:ascii="Arial" w:cs="Arial" w:eastAsia="Arial" w:hAnsi="Arial"/>
          <w:sz w:val="18"/>
          <w:szCs w:val="18"/>
          <w:color w:val="auto"/>
        </w:rPr>
      </w:pPr>
    </w:p>
    <w:p>
      <w:pPr>
        <w:ind w:left="660" w:right="20" w:hanging="329"/>
        <w:spacing w:after="0" w:line="262"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on or subsequent to the consummation of the transaction, the business combination is approved by the board and authorized at an annual or special meeting of stockholders, and not by written consent, by the affirmative vote of at least 66 2 ⁄ 3 % of the outstanding voting stock which is not owned by the interested stockholder.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224" w:lineRule="exact"/>
        <w:rPr>
          <w:sz w:val="20"/>
          <w:szCs w:val="20"/>
          <w:color w:val="auto"/>
        </w:rPr>
      </w:pPr>
    </w:p>
    <w:p>
      <w:pPr>
        <w:ind w:left="660" w:hanging="329"/>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223" w:lineRule="exact"/>
        <w:rPr>
          <w:rFonts w:ascii="Arial" w:cs="Arial" w:eastAsia="Arial" w:hAnsi="Arial"/>
          <w:sz w:val="18"/>
          <w:szCs w:val="18"/>
          <w:color w:val="auto"/>
        </w:rPr>
      </w:pPr>
    </w:p>
    <w:p>
      <w:pPr>
        <w:ind w:left="660" w:right="220" w:hanging="329"/>
        <w:spacing w:after="0" w:line="27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w:t>
      </w:r>
    </w:p>
    <w:p>
      <w:pPr>
        <w:spacing w:after="0" w:line="169" w:lineRule="exact"/>
        <w:rPr>
          <w:rFonts w:ascii="Arial" w:cs="Arial" w:eastAsia="Arial" w:hAnsi="Arial"/>
          <w:sz w:val="18"/>
          <w:szCs w:val="18"/>
          <w:color w:val="auto"/>
        </w:rPr>
      </w:pPr>
    </w:p>
    <w:p>
      <w:pPr>
        <w:ind w:left="660" w:right="520" w:hanging="329"/>
        <w:spacing w:after="0" w:line="27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169" w:lineRule="exact"/>
        <w:rPr>
          <w:rFonts w:ascii="Arial" w:cs="Arial" w:eastAsia="Arial" w:hAnsi="Arial"/>
          <w:sz w:val="18"/>
          <w:szCs w:val="18"/>
          <w:color w:val="auto"/>
        </w:rPr>
      </w:pPr>
    </w:p>
    <w:p>
      <w:pPr>
        <w:ind w:left="660" w:right="100" w:hanging="329"/>
        <w:spacing w:after="0" w:line="276"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33" w:name="page234"/>
    <w:bookmarkEnd w:id="23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Provisions of Aviragen’s certificate of incorporation and bylaws may delay or discourage transactions involving an actual or potential change in Aviragen’s control or change in Aviragen’s management, including transactions in which stockholders might otherwise receive a premium for their shares or transactions that Aviragen’s stockholders might otherwise deem to be in their best interests. Therefore, these provisions could adversely affect the price of Aviragen common stock. Among other things, Aviragen’s certificate of incorporation and bylaws:</w:t>
      </w:r>
    </w:p>
    <w:p>
      <w:pPr>
        <w:spacing w:after="0" w:line="187" w:lineRule="exact"/>
        <w:rPr>
          <w:sz w:val="20"/>
          <w:szCs w:val="20"/>
          <w:color w:val="auto"/>
        </w:rPr>
      </w:pPr>
    </w:p>
    <w:p>
      <w:pPr>
        <w:ind w:left="660" w:right="380" w:hanging="329"/>
        <w:spacing w:after="0" w:line="276"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permit the Aviragen board of directors to issue up to 5,000,000 shares of preferred stock, with any rights, preferences and privileges as they may designate (including the right to approve an acquisition or other change in Aviragen’s control);</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adopted by a majority of the board of directors;</w:t>
      </w:r>
    </w:p>
    <w:p>
      <w:pPr>
        <w:spacing w:after="0" w:line="223" w:lineRule="exact"/>
        <w:rPr>
          <w:rFonts w:ascii="Arial" w:cs="Arial" w:eastAsia="Arial" w:hAnsi="Arial"/>
          <w:sz w:val="18"/>
          <w:szCs w:val="18"/>
          <w:color w:val="auto"/>
        </w:rPr>
      </w:pPr>
    </w:p>
    <w:p>
      <w:pPr>
        <w:ind w:left="660" w:right="120" w:hanging="329"/>
        <w:spacing w:after="0" w:line="340" w:lineRule="auto"/>
        <w:tabs>
          <w:tab w:leader="none" w:pos="6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124" w:lineRule="exact"/>
        <w:rPr>
          <w:rFonts w:ascii="Arial" w:cs="Arial" w:eastAsia="Arial" w:hAnsi="Arial"/>
          <w:sz w:val="16"/>
          <w:szCs w:val="16"/>
          <w:color w:val="auto"/>
        </w:rPr>
      </w:pPr>
    </w:p>
    <w:p>
      <w:pPr>
        <w:ind w:left="660" w:right="120" w:hanging="329"/>
        <w:spacing w:after="0" w:line="276"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require that any action to be taken by Aviragen’s stockholders must be effected at a duly called annual or special meeting of stockholders and not be taken by written consent;</w:t>
      </w:r>
    </w:p>
    <w:p>
      <w:pPr>
        <w:spacing w:after="0" w:line="169" w:lineRule="exact"/>
        <w:rPr>
          <w:rFonts w:ascii="Arial" w:cs="Arial" w:eastAsia="Arial" w:hAnsi="Arial"/>
          <w:sz w:val="18"/>
          <w:szCs w:val="18"/>
          <w:color w:val="auto"/>
        </w:rPr>
      </w:pPr>
    </w:p>
    <w:p>
      <w:pPr>
        <w:ind w:left="660" w:hanging="329"/>
        <w:spacing w:after="0" w:line="262"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spacing w:after="0" w:line="183" w:lineRule="exact"/>
        <w:rPr>
          <w:rFonts w:ascii="Arial" w:cs="Arial" w:eastAsia="Arial" w:hAnsi="Arial"/>
          <w:sz w:val="18"/>
          <w:szCs w:val="18"/>
          <w:color w:val="auto"/>
        </w:rPr>
      </w:pPr>
    </w:p>
    <w:p>
      <w:pPr>
        <w:ind w:left="660" w:right="80" w:hanging="329"/>
        <w:spacing w:after="0" w:line="262" w:lineRule="auto"/>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provide that special meetings of Aviragen’s stockholders may be called only by the chairman of the board, Aviragen’s Chief Executive Officer, the president or by the Aviragen board of directors pursuant to a resolution adopted by a majority of the total number of authorized directors (whether or not there exist any vacancies); and</w:t>
      </w:r>
    </w:p>
    <w:p>
      <w:pPr>
        <w:spacing w:after="0" w:line="183" w:lineRule="exact"/>
        <w:rPr>
          <w:rFonts w:ascii="Arial" w:cs="Arial" w:eastAsia="Arial" w:hAnsi="Arial"/>
          <w:sz w:val="18"/>
          <w:szCs w:val="18"/>
          <w:color w:val="auto"/>
        </w:rPr>
      </w:pPr>
    </w:p>
    <w:p>
      <w:pPr>
        <w:ind w:left="660" w:right="100" w:hanging="329"/>
        <w:spacing w:after="0" w:line="285" w:lineRule="auto"/>
        <w:tabs>
          <w:tab w:leader="none" w:pos="6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provide that the Court of Chancery of the State of Delaware will be the sole and exclusive forum for (i) any derivative action or proceeding brought on Aviragen’s behalf, (ii) any action asserting a claim of breach of a fiduciary duty owed by any of Aviragen’s directors or officers to Aviragen or its stockholders, (iii) any action asserting a claim against Aviragen arising pursuant to any provision of the DGCL or Aviragen’s certificate of incorporation or bylaws, (iv) any action to interpret, apply, enforce or determine the validity of Aviragen’s certificate of incorporation or bylaws or</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(v) any action asserting a claim against Aviragen governed by the internal affairs doctrine.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 Listing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Aviragen common stock is currently listed on the Nasdaq Capital Market under the symbol “AVIR.”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transfer agent and registrar for Aviragen common stock is American Stock Transfer &amp; Trust Company, LLC. The transfer agent and registrar’s address is 6201 15th Avenue, Brooklyn, New York 11219.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4" w:name="page235"/>
    <w:bookmarkEnd w:id="23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RIGHTS OF HOLDERS OF AVIRAGEN STOCK AND VAXART STOCK</w:t>
      </w:r>
    </w:p>
    <w:p>
      <w:pPr>
        <w:spacing w:after="0" w:line="22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Both Aviragen and Vaxart are incorporated under the laws of the State of Delaware and, accordingly, the rights of the stockholders of each are currently, and will continue to be, governed by the DGCL. If the merger is completed, Vaxart stockholders will become stockholders of Aviragen, and their rights will be governed by the DGCL, the certificate of incorporation and bylaws of Aviragen.</w:t>
      </w:r>
    </w:p>
    <w:p>
      <w:pPr>
        <w:spacing w:after="0" w:line="183" w:lineRule="exact"/>
        <w:rPr>
          <w:sz w:val="20"/>
          <w:szCs w:val="20"/>
          <w:color w:val="auto"/>
        </w:rPr>
      </w:pPr>
    </w:p>
    <w:p>
      <w:pPr>
        <w:jc w:val="both"/>
        <w:ind w:right="540"/>
        <w:spacing w:after="0" w:line="262" w:lineRule="auto"/>
        <w:rPr>
          <w:sz w:val="20"/>
          <w:szCs w:val="20"/>
          <w:color w:val="auto"/>
        </w:rPr>
      </w:pPr>
      <w:r>
        <w:rPr>
          <w:rFonts w:ascii="Arial" w:cs="Arial" w:eastAsia="Arial" w:hAnsi="Arial"/>
          <w:sz w:val="18"/>
          <w:szCs w:val="18"/>
          <w:color w:val="auto"/>
        </w:rPr>
        <w:t>The table below summarizes the material differences between the current rights of Vaxart stockholders under the Vaxart certificate of incorporation and bylaws and the rights of Aviragen stockholders, post-merger, under the Aviragen certificate of incorporation and bylaws, as applicable, and as in effect immediately following the merger, without taking into account the reverse stock split.</w:t>
      </w:r>
    </w:p>
    <w:p>
      <w:pPr>
        <w:spacing w:after="0" w:line="18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While Aviragen and Vaxart believe that the summary tables cover the material differences between the rights of their respective stockholders prior to the merger and the rights of Aviragen stockholders following the merger, these summary tables may not contain all of the information that is important to you. You should carefully read this entire proxy statement/prospectus/information statement and the other documents referred to in this proxy statement/prospectus/information statement for a more complete understanding of the differences between being a stockholder of Aviragen or Vaxart before the merger and being a stockholder of the combined company after the merger. Aviragen has filed copies of its current certificate of incorporation and bylaws as Exhibits 3.1 and 3.2, respectively, to the registration statement of which this proxy statement/prospectus/information statement forms a part and will send copies of the documents referred to in this proxy statement/prospectus/information statement to you upon your request. Vaxart will also send copies of its organizational documents referred to in this proxy statement/prospectus/information statement to you upon your request. See the section titled “Where You Can Find More Information” in this proxy statement/prospectus/information statement.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Vaxart Rights Versus Aviragen Rights Post-Merger</w:t>
      </w:r>
    </w:p>
    <w:p>
      <w:pPr>
        <w:spacing w:after="0" w:line="224" w:lineRule="exact"/>
        <w:rPr>
          <w:sz w:val="20"/>
          <w:szCs w:val="20"/>
          <w:color w:val="auto"/>
        </w:rPr>
      </w:pPr>
    </w:p>
    <w:p>
      <w:pPr>
        <w:spacing w:after="0"/>
        <w:tabs>
          <w:tab w:leader="none" w:pos="2360" w:val="left"/>
          <w:tab w:leader="none" w:pos="716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Vaxart (Pre-Merger)</w:t>
      </w:r>
      <w:r>
        <w:rPr>
          <w:sz w:val="20"/>
          <w:szCs w:val="20"/>
          <w:color w:val="auto"/>
        </w:rPr>
        <w:tab/>
      </w:r>
      <w:r>
        <w:rPr>
          <w:rFonts w:ascii="Arial" w:cs="Arial" w:eastAsia="Arial" w:hAnsi="Arial"/>
          <w:sz w:val="16"/>
          <w:szCs w:val="16"/>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7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Elections; Voting; Procedural Matters</w:t>
      </w:r>
    </w:p>
    <w:p>
      <w:pPr>
        <w:sectPr>
          <w:pgSz w:w="11900" w:h="16838" w:orient="portrait"/>
          <w:cols w:equalWidth="0" w:num="1">
            <w:col w:w="11420"/>
          </w:cols>
          <w:pgMar w:left="240" w:top="118" w:right="239" w:bottom="1440" w:gutter="0" w:footer="0" w:header="0"/>
        </w:sectPr>
      </w:pPr>
    </w:p>
    <w:p>
      <w:pPr>
        <w:spacing w:after="0" w:line="228" w:lineRule="exact"/>
        <w:rPr>
          <w:sz w:val="20"/>
          <w:szCs w:val="20"/>
          <w:color w:val="auto"/>
        </w:rPr>
      </w:pPr>
    </w:p>
    <w:p>
      <w:pPr>
        <w:jc w:val="both"/>
        <w:ind w:left="2060" w:hanging="2058"/>
        <w:spacing w:after="0" w:line="289" w:lineRule="auto"/>
        <w:tabs>
          <w:tab w:leader="none" w:pos="2040" w:val="left"/>
        </w:tabs>
        <w:rPr>
          <w:sz w:val="20"/>
          <w:szCs w:val="20"/>
          <w:color w:val="auto"/>
        </w:rPr>
      </w:pPr>
      <w:r>
        <w:rPr>
          <w:rFonts w:ascii="Arial" w:cs="Arial" w:eastAsia="Arial" w:hAnsi="Arial"/>
          <w:sz w:val="18"/>
          <w:szCs w:val="18"/>
          <w:color w:val="auto"/>
        </w:rPr>
        <w:t>Authorized Capital Stock</w:t>
      </w:r>
      <w:r>
        <w:rPr>
          <w:sz w:val="20"/>
          <w:szCs w:val="20"/>
          <w:color w:val="auto"/>
        </w:rPr>
        <w:tab/>
      </w:r>
      <w:r>
        <w:rPr>
          <w:rFonts w:ascii="Arial" w:cs="Arial" w:eastAsia="Arial" w:hAnsi="Arial"/>
          <w:sz w:val="16"/>
          <w:szCs w:val="16"/>
          <w:color w:val="auto"/>
        </w:rPr>
        <w:t>The certificate of incorporation of Vaxart authorizes the issuance of (a) up to 110,000,000 shares of common stock, par value $0.00001 per share, and (b) up to 82,553,957 shares of preferred stock, consisting of (i) up to 4,717,978 shares of Series A Preferred Stock, $0.0001 par value per share, (ii) up to 37,105,352 shares of Series B Preferred Stock, $0.0001 par value per share and (iii) up to 40,730,627 shares of Series C Preferred Stock, $0.0001 par value per share.</w:t>
      </w:r>
    </w:p>
    <w:p>
      <w:pPr>
        <w:spacing w:after="0" w:line="166" w:lineRule="exact"/>
        <w:rPr>
          <w:sz w:val="20"/>
          <w:szCs w:val="20"/>
          <w:color w:val="auto"/>
        </w:rPr>
      </w:pPr>
    </w:p>
    <w:p>
      <w:pPr>
        <w:jc w:val="both"/>
        <w:ind w:left="2060"/>
        <w:spacing w:after="0" w:line="270" w:lineRule="auto"/>
        <w:rPr>
          <w:sz w:val="20"/>
          <w:szCs w:val="20"/>
          <w:color w:val="auto"/>
        </w:rPr>
      </w:pPr>
      <w:r>
        <w:rPr>
          <w:rFonts w:ascii="Arial" w:cs="Arial" w:eastAsia="Arial" w:hAnsi="Arial"/>
          <w:sz w:val="17"/>
          <w:szCs w:val="17"/>
          <w:color w:val="auto"/>
        </w:rPr>
        <w:t>Prior to the closing of the merger, Vaxart intends to amend and restate its certificate of incorporation, to increase the authorized number of shares of common stock thereunder, in connection with the conversion of its convertible promissory notes into shares of Vaxart common stock and the payment of cumulative accruing dividends in the form of Vaxart common stock to the holders of its Series B Preferred Stock and Series C Preferred Stock.</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Before taking into account the reverse stock split, the certificate of incorporation of Aviragen, authorizes the issuance of up to 205,000,000 shares of capital stock, of which (a) up to 200,000,000 shares are common stock, par value $0.10 per share, and (b) up to 5,000,000 shares are preferred stock, par value $0.10 per share. There are not, nor will there be immediately following the closing of the merger, any shares of preferred stock of Aviragen issued or outstanding.</w:t>
      </w:r>
    </w:p>
    <w:p>
      <w:pPr>
        <w:spacing w:after="0" w:line="2103"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20"/>
                <w:szCs w:val="20"/>
                <w:color w:val="auto"/>
              </w:rPr>
            </w:pPr>
            <w:r>
              <w:rPr>
                <w:rFonts w:ascii="Arial" w:cs="Arial" w:eastAsia="Arial" w:hAnsi="Arial"/>
                <w:sz w:val="18"/>
                <w:szCs w:val="18"/>
                <w:color w:val="auto"/>
              </w:rPr>
              <w:t>Number of Directors</w:t>
            </w: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The bylaws of Vaxart currently provide that the board of</w:t>
            </w:r>
          </w:p>
        </w:tc>
      </w:tr>
      <w:tr>
        <w:trPr>
          <w:trHeight w:val="215"/>
        </w:trPr>
        <w:tc>
          <w:tcPr>
            <w:tcW w:w="1780" w:type="dxa"/>
            <w:vAlign w:val="bottom"/>
          </w:tcPr>
          <w:p>
            <w:pPr>
              <w:spacing w:after="0"/>
              <w:rPr>
                <w:sz w:val="18"/>
                <w:szCs w:val="18"/>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w w:val="96"/>
              </w:rPr>
              <w:t>directors shall consist of one or more members and that the</w:t>
            </w:r>
          </w:p>
        </w:tc>
      </w:tr>
      <w:tr>
        <w:trPr>
          <w:trHeight w:val="215"/>
        </w:trPr>
        <w:tc>
          <w:tcPr>
            <w:tcW w:w="178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number of</w:t>
            </w:r>
          </w:p>
        </w:tc>
        <w:tc>
          <w:tcPr>
            <w:tcW w:w="1100" w:type="dxa"/>
            <w:vAlign w:val="bottom"/>
          </w:tcPr>
          <w:p>
            <w:pPr>
              <w:ind w:left="40"/>
              <w:spacing w:after="0"/>
              <w:rPr>
                <w:sz w:val="20"/>
                <w:szCs w:val="20"/>
                <w:color w:val="auto"/>
              </w:rPr>
            </w:pPr>
            <w:r>
              <w:rPr>
                <w:rFonts w:ascii="Arial" w:cs="Arial" w:eastAsia="Arial" w:hAnsi="Arial"/>
                <w:sz w:val="18"/>
                <w:szCs w:val="18"/>
                <w:color w:val="auto"/>
                <w:w w:val="96"/>
              </w:rPr>
              <w:t>directors may</w:t>
            </w:r>
          </w:p>
        </w:tc>
        <w:tc>
          <w:tcPr>
            <w:tcW w:w="2640" w:type="dxa"/>
            <w:vAlign w:val="bottom"/>
          </w:tcPr>
          <w:p>
            <w:pPr>
              <w:ind w:left="40"/>
              <w:spacing w:after="0"/>
              <w:rPr>
                <w:sz w:val="20"/>
                <w:szCs w:val="20"/>
                <w:color w:val="auto"/>
              </w:rPr>
            </w:pPr>
            <w:r>
              <w:rPr>
                <w:rFonts w:ascii="Arial" w:cs="Arial" w:eastAsia="Arial" w:hAnsi="Arial"/>
                <w:sz w:val="18"/>
                <w:szCs w:val="18"/>
                <w:color w:val="auto"/>
              </w:rPr>
              <w:t>be changed from time to time by</w:t>
            </w:r>
          </w:p>
        </w:tc>
      </w:tr>
      <w:tr>
        <w:trPr>
          <w:trHeight w:val="215"/>
        </w:trPr>
        <w:tc>
          <w:tcPr>
            <w:tcW w:w="178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4"/>
              </w:rPr>
              <w:t>resolutions</w:t>
            </w:r>
          </w:p>
        </w:tc>
        <w:tc>
          <w:tcPr>
            <w:tcW w:w="1100" w:type="dxa"/>
            <w:vAlign w:val="bottom"/>
          </w:tcPr>
          <w:p>
            <w:pPr>
              <w:ind w:left="40"/>
              <w:spacing w:after="0"/>
              <w:rPr>
                <w:sz w:val="20"/>
                <w:szCs w:val="20"/>
                <w:color w:val="auto"/>
              </w:rPr>
            </w:pPr>
            <w:r>
              <w:rPr>
                <w:rFonts w:ascii="Arial" w:cs="Arial" w:eastAsia="Arial" w:hAnsi="Arial"/>
                <w:sz w:val="18"/>
                <w:szCs w:val="18"/>
                <w:color w:val="auto"/>
              </w:rPr>
              <w:t>of a majority</w:t>
            </w:r>
          </w:p>
        </w:tc>
        <w:tc>
          <w:tcPr>
            <w:tcW w:w="2640" w:type="dxa"/>
            <w:vAlign w:val="bottom"/>
          </w:tcPr>
          <w:p>
            <w:pPr>
              <w:ind w:left="40"/>
              <w:spacing w:after="0"/>
              <w:rPr>
                <w:sz w:val="20"/>
                <w:szCs w:val="20"/>
                <w:color w:val="auto"/>
              </w:rPr>
            </w:pPr>
            <w:r>
              <w:rPr>
                <w:rFonts w:ascii="Arial" w:cs="Arial" w:eastAsia="Arial" w:hAnsi="Arial"/>
                <w:sz w:val="18"/>
                <w:szCs w:val="18"/>
                <w:color w:val="auto"/>
                <w:w w:val="99"/>
              </w:rPr>
              <w:t>of the total number of authorized</w:t>
            </w:r>
          </w:p>
        </w:tc>
      </w:tr>
      <w:tr>
        <w:trPr>
          <w:trHeight w:val="230"/>
        </w:trPr>
        <w:tc>
          <w:tcPr>
            <w:tcW w:w="1780" w:type="dxa"/>
            <w:vAlign w:val="bottom"/>
          </w:tcPr>
          <w:p>
            <w:pPr>
              <w:spacing w:after="0"/>
              <w:rPr>
                <w:sz w:val="19"/>
                <w:szCs w:val="19"/>
                <w:color w:val="auto"/>
              </w:rPr>
            </w:pPr>
          </w:p>
        </w:tc>
        <w:tc>
          <w:tcPr>
            <w:tcW w:w="4860" w:type="dxa"/>
            <w:vAlign w:val="bottom"/>
            <w:gridSpan w:val="3"/>
          </w:tcPr>
          <w:p>
            <w:pPr>
              <w:ind w:left="280"/>
              <w:spacing w:after="0"/>
              <w:rPr>
                <w:sz w:val="20"/>
                <w:szCs w:val="20"/>
                <w:color w:val="auto"/>
              </w:rPr>
            </w:pPr>
            <w:r>
              <w:rPr>
                <w:rFonts w:ascii="Arial" w:cs="Arial" w:eastAsia="Arial" w:hAnsi="Arial"/>
                <w:sz w:val="18"/>
                <w:szCs w:val="18"/>
                <w:color w:val="auto"/>
              </w:rPr>
              <w:t>directors on the Vaxart board of directors.</w:t>
            </w:r>
          </w:p>
        </w:tc>
      </w:tr>
    </w:tbl>
    <w:p>
      <w:pPr>
        <w:spacing w:after="0" w:line="201" w:lineRule="exact"/>
        <w:rPr>
          <w:sz w:val="20"/>
          <w:szCs w:val="20"/>
          <w:color w:val="auto"/>
        </w:rPr>
      </w:pPr>
    </w:p>
    <w:p>
      <w:pPr>
        <w:jc w:val="both"/>
        <w:ind w:left="2060"/>
        <w:spacing w:after="0" w:line="268" w:lineRule="auto"/>
        <w:rPr>
          <w:sz w:val="20"/>
          <w:szCs w:val="20"/>
          <w:color w:val="auto"/>
        </w:rPr>
      </w:pPr>
      <w:r>
        <w:rPr>
          <w:rFonts w:ascii="Arial" w:cs="Arial" w:eastAsia="Arial" w:hAnsi="Arial"/>
          <w:sz w:val="17"/>
          <w:szCs w:val="17"/>
          <w:color w:val="auto"/>
        </w:rPr>
        <w:t>The certificate of incorporation of Vaxart provides that (a) for so long as Care Capital Investment III LP and Care Capital Offshore Investment III LP (together, “Care Capital”) continues to hold at least one (1) share of Series B Preferred Stock, Care Capital shall be entitled to appoint one “Series B” director; (b) for so long as Care Capital continues to hold at least one share of Series C Preferred Stock, Care Capital shall be entitled to appoint one “Series C” director; (c) the holders of Series A Preferred Stock shall be entitled to elect one “Series A” director; (d) the holders of common stock shall be entitled to elect one director; and (e) then current chief executive officer of Vaxart shall serve as a director.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8"/>
          <w:szCs w:val="18"/>
          <w:color w:val="auto"/>
        </w:rPr>
        <w:t>The bylaws of Aviragen currently provide that the board of directors shall consist of one or more directors, with the exact number of directors to be fixed from time to time by the majority of directors.</w:t>
      </w:r>
    </w:p>
    <w:p>
      <w:pPr>
        <w:spacing w:after="0" w:line="3221"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5" w:name="page236"/>
    <w:bookmarkEnd w:id="23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Provision</w:t>
            </w:r>
          </w:p>
        </w:tc>
        <w:tc>
          <w:tcPr>
            <w:tcW w:w="220" w:type="dxa"/>
            <w:vAlign w:val="bottom"/>
          </w:tcPr>
          <w:p>
            <w:pPr>
              <w:spacing w:after="0"/>
              <w:rPr>
                <w:sz w:val="20"/>
                <w:szCs w:val="20"/>
                <w:color w:val="auto"/>
              </w:rPr>
            </w:pP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Vaxart (Pre-Merger)</w:t>
            </w:r>
          </w:p>
        </w:tc>
      </w:tr>
      <w:tr>
        <w:trPr>
          <w:trHeight w:val="410"/>
        </w:trPr>
        <w:tc>
          <w:tcPr>
            <w:tcW w:w="1840" w:type="dxa"/>
            <w:vAlign w:val="bottom"/>
          </w:tcPr>
          <w:p>
            <w:pPr>
              <w:spacing w:after="0"/>
              <w:rPr>
                <w:sz w:val="20"/>
                <w:szCs w:val="20"/>
                <w:color w:val="auto"/>
              </w:rPr>
            </w:pPr>
            <w:r>
              <w:rPr>
                <w:rFonts w:ascii="Arial" w:cs="Arial" w:eastAsia="Arial" w:hAnsi="Arial"/>
                <w:sz w:val="18"/>
                <w:szCs w:val="18"/>
                <w:color w:val="auto"/>
              </w:rPr>
              <w:t>Stockholder</w:t>
            </w:r>
          </w:p>
        </w:tc>
        <w:tc>
          <w:tcPr>
            <w:tcW w:w="2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Except as provided above, the certificate of incorporation and</w:t>
            </w: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Nominations and</w:t>
            </w: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bylaws of Vaxart do not provide for procedures with respect to</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Proposals</w:t>
            </w:r>
          </w:p>
        </w:tc>
        <w:tc>
          <w:tcPr>
            <w:tcW w:w="2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stockholder proposals or director nominations.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896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bylaws of Aviragen provide that in order for a stockholder to make a director nomination or propose business at an annual meeting of stockholders, the stockholder must give written notice to Aviragen’s secretary not fewer than 90 days prior to the meeting; provided, however, that in the event that fewer than 100 days’ notice or prior public disclosure of the date of the meeting is given or made to stockholders, notice by the stockholder must be received by the secretary no later than the close of business on the 10th day following the day on which such notice of the date of the meeting was mailed or such public disclosure was made.</w:t>
      </w:r>
    </w:p>
    <w:p>
      <w:pPr>
        <w:spacing w:after="0" w:line="172" w:lineRule="exact"/>
        <w:rPr>
          <w:sz w:val="20"/>
          <w:szCs w:val="20"/>
          <w:color w:val="auto"/>
        </w:rPr>
      </w:pPr>
    </w:p>
    <w:p>
      <w:pPr>
        <w:sectPr>
          <w:pgSz w:w="11900" w:h="16838" w:orient="portrait"/>
          <w:cols w:equalWidth="0" w:num="2">
            <w:col w:w="6640" w:space="220"/>
            <w:col w:w="4560"/>
          </w:cols>
          <w:pgMar w:left="240" w:top="118" w:right="239" w:bottom="1440" w:gutter="0" w:footer="0" w:header="0"/>
        </w:sectPr>
      </w:pPr>
    </w:p>
    <w:p>
      <w:pPr>
        <w:spacing w:after="0"/>
        <w:tabs>
          <w:tab w:leader="none" w:pos="2040" w:val="left"/>
        </w:tabs>
        <w:rPr>
          <w:sz w:val="20"/>
          <w:szCs w:val="20"/>
          <w:color w:val="auto"/>
        </w:rPr>
      </w:pPr>
      <w:r>
        <w:rPr>
          <w:rFonts w:ascii="Arial" w:cs="Arial" w:eastAsia="Arial" w:hAnsi="Arial"/>
          <w:sz w:val="18"/>
          <w:szCs w:val="18"/>
          <w:color w:val="auto"/>
        </w:rPr>
        <w:t>Removal of Directors</w:t>
      </w:r>
      <w:r>
        <w:rPr>
          <w:sz w:val="20"/>
          <w:szCs w:val="20"/>
          <w:color w:val="auto"/>
        </w:rPr>
        <w:tab/>
      </w:r>
      <w:r>
        <w:rPr>
          <w:rFonts w:ascii="Arial" w:cs="Arial" w:eastAsia="Arial" w:hAnsi="Arial"/>
          <w:sz w:val="17"/>
          <w:szCs w:val="17"/>
          <w:color w:val="auto"/>
        </w:rPr>
        <w:t>Vaxart’s bylaws provide that directors shall hold office for a</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term of one year and until their successors are duly elected and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qualified, subject to their earlier death, resignation or removal.</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Any director may resign at any time upon notice to Vaxart.</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Vaxart’s bylaws also provide that a director may be removed,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with or without cause, by the holders of a majority of the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shares then entitled to vote at an election of directors.</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Arial" w:cs="Arial" w:eastAsia="Arial" w:hAnsi="Arial"/>
          <w:sz w:val="17"/>
          <w:szCs w:val="17"/>
          <w:color w:val="auto"/>
        </w:rPr>
        <w:t>Under the bylaws of Aviragen, a director may be removed at any time with or without cause by the vote of the holders of at least seventy-five percent (75%) of the shares issued and outstanding and entitled to vote in the election of directors.</w:t>
      </w:r>
    </w:p>
    <w:p>
      <w:pPr>
        <w:spacing w:after="0" w:line="807"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Special Meeting of the</w:t>
      </w:r>
      <w:r>
        <w:rPr>
          <w:sz w:val="20"/>
          <w:szCs w:val="20"/>
          <w:color w:val="auto"/>
        </w:rPr>
        <w:tab/>
      </w:r>
      <w:r>
        <w:rPr>
          <w:rFonts w:ascii="Arial" w:cs="Arial" w:eastAsia="Arial" w:hAnsi="Arial"/>
          <w:sz w:val="17"/>
          <w:szCs w:val="17"/>
          <w:color w:val="auto"/>
        </w:rPr>
        <w:t>The  bylaws  of  Vaxart  provide  that  special  meetings  of</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color w:val="auto"/>
        </w:rPr>
        <w:t>Stockholders</w:t>
      </w:r>
      <w:r>
        <w:rPr>
          <w:sz w:val="20"/>
          <w:szCs w:val="20"/>
          <w:color w:val="auto"/>
        </w:rPr>
        <w:tab/>
      </w:r>
      <w:r>
        <w:rPr>
          <w:rFonts w:ascii="Arial" w:cs="Arial" w:eastAsia="Arial" w:hAnsi="Arial"/>
          <w:sz w:val="16"/>
          <w:szCs w:val="16"/>
          <w:color w:val="auto"/>
        </w:rPr>
        <w:t>stockholders may be called at any time by the Chairperson of</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Board, the Chief Executive Officer, the President, the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holders of shares of the Corporation that are entitled to cast not</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less than ten percent (10%) of the total number of votes entitled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to be cast by all stockholders at such meeting, or by a majority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of the total number of authorized directors, whether or not</w:t>
      </w:r>
    </w:p>
    <w:p>
      <w:pPr>
        <w:spacing w:after="0" w:line="20" w:lineRule="exact"/>
        <w:rPr>
          <w:sz w:val="20"/>
          <w:szCs w:val="20"/>
          <w:color w:val="auto"/>
        </w:rPr>
      </w:pPr>
    </w:p>
    <w:p>
      <w:pPr>
        <w:ind w:left="2060"/>
        <w:spacing w:after="0"/>
        <w:tabs>
          <w:tab w:leader="none" w:pos="2620" w:val="left"/>
          <w:tab w:leader="none" w:pos="3160" w:val="left"/>
          <w:tab w:leader="none" w:pos="3640" w:val="left"/>
          <w:tab w:leader="none" w:pos="4540" w:val="left"/>
          <w:tab w:leader="none" w:pos="4900" w:val="left"/>
          <w:tab w:leader="none" w:pos="5860" w:val="left"/>
        </w:tabs>
        <w:rPr>
          <w:sz w:val="20"/>
          <w:szCs w:val="20"/>
          <w:color w:val="auto"/>
        </w:rPr>
      </w:pPr>
      <w:r>
        <w:rPr>
          <w:rFonts w:ascii="Arial" w:cs="Arial" w:eastAsia="Arial" w:hAnsi="Arial"/>
          <w:sz w:val="18"/>
          <w:szCs w:val="18"/>
          <w:color w:val="auto"/>
        </w:rPr>
        <w:t>there</w:t>
        <w:tab/>
        <w:t>exist</w:t>
        <w:tab/>
        <w:t>any</w:t>
        <w:tab/>
        <w:t>vacancies</w:t>
        <w:tab/>
        <w:t>in</w:t>
        <w:tab/>
        <w:t>previously</w:t>
      </w:r>
      <w:r>
        <w:rPr>
          <w:sz w:val="20"/>
          <w:szCs w:val="20"/>
          <w:color w:val="auto"/>
        </w:rPr>
        <w:tab/>
      </w:r>
      <w:r>
        <w:rPr>
          <w:rFonts w:ascii="Arial" w:cs="Arial" w:eastAsia="Arial" w:hAnsi="Arial"/>
          <w:sz w:val="16"/>
          <w:szCs w:val="16"/>
          <w:color w:val="auto"/>
        </w:rPr>
        <w:t>authorized</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directorships.</w:t>
      </w:r>
    </w:p>
    <w:p>
      <w:pPr>
        <w:spacing w:after="0" w:line="20" w:lineRule="exact"/>
        <w:rPr>
          <w:sz w:val="20"/>
          <w:szCs w:val="20"/>
          <w:color w:val="auto"/>
        </w:rPr>
      </w:pPr>
      <w:r>
        <w:rPr>
          <w:sz w:val="20"/>
          <w:szCs w:val="20"/>
          <w:color w:val="auto"/>
        </w:rPr>
        <w:br w:type="column"/>
      </w:r>
    </w:p>
    <w:p>
      <w:pPr>
        <w:jc w:val="both"/>
        <w:spacing w:after="0" w:line="300" w:lineRule="auto"/>
        <w:rPr>
          <w:sz w:val="20"/>
          <w:szCs w:val="20"/>
          <w:color w:val="auto"/>
        </w:rPr>
      </w:pPr>
      <w:r>
        <w:rPr>
          <w:rFonts w:ascii="Arial" w:cs="Arial" w:eastAsia="Arial" w:hAnsi="Arial"/>
          <w:sz w:val="16"/>
          <w:szCs w:val="16"/>
          <w:color w:val="auto"/>
        </w:rPr>
        <w:t>The bylaws of Aviragen provide that a special meeting of the stockholders may be called by the chairman of the board of directors, the president, or by the board of directors pursuant to a resolution adopted by a majority of the board of directors.</w:t>
      </w:r>
    </w:p>
    <w:p>
      <w:pPr>
        <w:spacing w:after="0" w:line="1224"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Cumulative Voting</w:t>
      </w:r>
      <w:r>
        <w:rPr>
          <w:sz w:val="20"/>
          <w:szCs w:val="20"/>
          <w:color w:val="auto"/>
        </w:rPr>
        <w:tab/>
      </w:r>
      <w:r>
        <w:rPr>
          <w:rFonts w:ascii="Arial" w:cs="Arial" w:eastAsia="Arial" w:hAnsi="Arial"/>
          <w:sz w:val="17"/>
          <w:szCs w:val="17"/>
          <w:color w:val="auto"/>
        </w:rPr>
        <w:t>The certificate of incorporation and bylaws of Vaxart do not</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allow cumulative voting rights in the election of its directors.</w:t>
      </w:r>
    </w:p>
    <w:p>
      <w:pPr>
        <w:spacing w:after="0" w:line="221"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Vacancies</w:t>
      </w:r>
      <w:r>
        <w:rPr>
          <w:sz w:val="20"/>
          <w:szCs w:val="20"/>
          <w:color w:val="auto"/>
        </w:rPr>
        <w:tab/>
      </w:r>
      <w:r>
        <w:rPr>
          <w:rFonts w:ascii="Arial" w:cs="Arial" w:eastAsia="Arial" w:hAnsi="Arial"/>
          <w:sz w:val="18"/>
          <w:szCs w:val="18"/>
          <w:color w:val="auto"/>
        </w:rPr>
        <w:t>The bylaws of Vaxart provide that any vacancy or newly</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created directorships on the board of directors may be filled by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 stockholders, by a majority of directors then in office, even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if  less  than  a  quorum,  or  by  a  sole  remaining  director.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Notwithstanding the foregoing, the certificate of incorporation</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of Vaxart provides that certain stockholders shall have the right</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to fill specific board seats (see “Number of Directors” above).</w:t>
      </w:r>
    </w:p>
    <w:p>
      <w:pPr>
        <w:spacing w:after="0" w:line="20" w:lineRule="exact"/>
        <w:rPr>
          <w:sz w:val="20"/>
          <w:szCs w:val="20"/>
          <w:color w:val="auto"/>
        </w:rPr>
      </w:pPr>
      <w:r>
        <w:rPr>
          <w:sz w:val="20"/>
          <w:szCs w:val="20"/>
          <w:color w:val="auto"/>
        </w:rPr>
        <w:br w:type="column"/>
      </w:r>
    </w:p>
    <w:p>
      <w:pPr>
        <w:jc w:val="both"/>
        <w:spacing w:after="0" w:line="340" w:lineRule="auto"/>
        <w:rPr>
          <w:sz w:val="20"/>
          <w:szCs w:val="20"/>
          <w:color w:val="auto"/>
        </w:rPr>
      </w:pPr>
      <w:r>
        <w:rPr>
          <w:rFonts w:ascii="Arial" w:cs="Arial" w:eastAsia="Arial" w:hAnsi="Arial"/>
          <w:sz w:val="16"/>
          <w:szCs w:val="16"/>
          <w:color w:val="auto"/>
        </w:rPr>
        <w:t>The certificate of incorporation and bylaws of Aviragen do not allow cumulative voting rights in the election of its directors.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bylaws of Aviragen provide that any vacancy or newly created directorships on the board of directors may be filled solely by vote of a majority of the directors then in office, whether or not a quorum.</w:t>
      </w:r>
    </w:p>
    <w:p>
      <w:pPr>
        <w:spacing w:after="0" w:line="811"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21"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Voting Agreement</w:t>
      </w:r>
      <w:r>
        <w:rPr>
          <w:sz w:val="20"/>
          <w:szCs w:val="20"/>
          <w:color w:val="auto"/>
        </w:rPr>
        <w:tab/>
      </w:r>
      <w:r>
        <w:rPr>
          <w:rFonts w:ascii="Arial" w:cs="Arial" w:eastAsia="Arial" w:hAnsi="Arial"/>
          <w:sz w:val="16"/>
          <w:szCs w:val="16"/>
          <w:color w:val="auto"/>
        </w:rPr>
        <w:t>The Vaxart Stockholder Support Agreement provides that the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officers, directors and certain stockholders of Vaxart (solely in</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their capacity as stockholders of Vaxart) agreed to vote all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their shares of Vaxart capital stock in favor of the adoption of</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Merger Agreement and thereby approve the Contemplated</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Transactions and against any competing proposals.</w:t>
      </w:r>
    </w:p>
    <w:p>
      <w:pPr>
        <w:spacing w:after="0" w:line="20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Pursuant to the certificate of incorporation of Vaxart, each</w:t>
      </w:r>
    </w:p>
    <w:p>
      <w:pPr>
        <w:spacing w:after="0" w:line="34"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holder of shares of common stock shall be entitled to one vote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for each share of common, and holders of preferred stock shall</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have the right to vote their preferred stock on an as-converted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basis with the common.</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Aviragen Stockholder Support Agreement provides that the officers and directors of Aviragen (solely in their capacity as stockholders of Aviragen) executed support agreements in favor of Vaxart, pursuant to which such persons have, subject to the terms and conditions set forth therein, agreed to vote all of their shares of Aviragen capital stock in favor of the issuance of the shares of Aviragen common stock to the stockholders of Vaxart pursuant to the terms of the Merger Agreement.</w:t>
      </w:r>
    </w:p>
    <w:p>
      <w:pPr>
        <w:sectPr>
          <w:pgSz w:w="11900" w:h="16838" w:orient="portrait"/>
          <w:cols w:equalWidth="0" w:num="2">
            <w:col w:w="6640" w:space="220"/>
            <w:col w:w="4560"/>
          </w:cols>
          <w:pgMar w:left="240" w:top="118" w:right="239" w:bottom="1440" w:gutter="0" w:footer="0" w:header="0"/>
          <w:type w:val="continuous"/>
        </w:sectPr>
      </w:pPr>
    </w:p>
    <w:bookmarkStart w:id="236" w:name="page237"/>
    <w:bookmarkEnd w:id="23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tabs>
          <w:tab w:leader="none" w:pos="2360" w:val="left"/>
          <w:tab w:leader="none" w:pos="716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Vaxart (Pre-Merger)</w:t>
      </w:r>
      <w:r>
        <w:rPr>
          <w:sz w:val="20"/>
          <w:szCs w:val="20"/>
          <w:color w:val="auto"/>
        </w:rPr>
        <w:tab/>
      </w:r>
      <w:r>
        <w:rPr>
          <w:rFonts w:ascii="Arial" w:cs="Arial" w:eastAsia="Arial" w:hAnsi="Arial"/>
          <w:sz w:val="16"/>
          <w:szCs w:val="16"/>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7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Vaxart’s  Amended  and  Restated  Voting  and  Drag-Along</w:t>
      </w:r>
    </w:p>
    <w:p>
      <w:pPr>
        <w:spacing w:after="0" w:line="34"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Agreement dated July 24, 2013, or Voting Agreement, provides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for the election of five directors, with the exact number to be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fixed by resolution of the board of directors and stockholders.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Pursuant to the Voting Agreement, at each election of directors: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(i) Care Capital Investments III, LP and Care Capital Offshore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Investments III, LP are entitled to elect two directors, (ii) the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holders of a majority of the issued and outstanding Series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Preferred Stock are entitled to elect one director, (iii) and the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holders of a majority of the issued and outstanding common</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stock are entitled to elect two directors, one of whom shall be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then serving Chief Executive Officer of Vaxart.</w:t>
      </w:r>
    </w:p>
    <w:p>
      <w:pPr>
        <w:spacing w:after="0" w:line="209" w:lineRule="exact"/>
        <w:rPr>
          <w:sz w:val="20"/>
          <w:szCs w:val="20"/>
          <w:color w:val="auto"/>
        </w:rPr>
      </w:pPr>
    </w:p>
    <w:p>
      <w:pPr>
        <w:ind w:left="2060" w:right="200"/>
        <w:spacing w:after="0" w:line="276" w:lineRule="auto"/>
        <w:rPr>
          <w:sz w:val="20"/>
          <w:szCs w:val="20"/>
          <w:color w:val="auto"/>
        </w:rPr>
      </w:pPr>
      <w:r>
        <w:rPr>
          <w:rFonts w:ascii="Arial" w:cs="Arial" w:eastAsia="Arial" w:hAnsi="Arial"/>
          <w:sz w:val="18"/>
          <w:szCs w:val="18"/>
          <w:color w:val="auto"/>
        </w:rPr>
        <w:t>The Voting Agreement will terminate upon the closing of the merger.</w:t>
      </w:r>
    </w:p>
    <w:p>
      <w:pPr>
        <w:spacing w:after="0" w:line="170"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Drag Along</w:t>
      </w:r>
      <w:r>
        <w:rPr>
          <w:sz w:val="20"/>
          <w:szCs w:val="20"/>
          <w:color w:val="auto"/>
        </w:rPr>
        <w:tab/>
      </w:r>
      <w:r>
        <w:rPr>
          <w:rFonts w:ascii="Arial" w:cs="Arial" w:eastAsia="Arial" w:hAnsi="Arial"/>
          <w:sz w:val="18"/>
          <w:szCs w:val="18"/>
          <w:color w:val="auto"/>
        </w:rPr>
        <w:t>Under the Voting Agreement, if a majority of the board of</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directors and the holders of at least a majority of the Series B</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Preferred Stock and Series C Preferred Stock, voting together</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as single class, on an as-converted to common stock basis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approve a sale of the company, each stockholder party to the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Voting Agreement is required to vote in favor of, and otherwise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facilitate, such transaction or sell their shares, as applicable.</w:t>
      </w:r>
    </w:p>
    <w:p>
      <w:pPr>
        <w:spacing w:after="0" w:line="22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 Drag Along will terminate upon the closing of the merger.</w:t>
      </w:r>
    </w:p>
    <w:p>
      <w:pPr>
        <w:spacing w:after="0" w:line="247"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Registration Rights</w:t>
      </w:r>
      <w:r>
        <w:rPr>
          <w:sz w:val="20"/>
          <w:szCs w:val="20"/>
          <w:color w:val="auto"/>
        </w:rPr>
        <w:tab/>
      </w:r>
      <w:r>
        <w:rPr>
          <w:rFonts w:ascii="Arial" w:cs="Arial" w:eastAsia="Arial" w:hAnsi="Arial"/>
          <w:sz w:val="16"/>
          <w:szCs w:val="16"/>
          <w:color w:val="auto"/>
        </w:rPr>
        <w:t>Vaxart is a party to a certain Amended and Restated Investors'</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Rights Agreement dated July 24, 2013, which provides that</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holders of its preferred stock, including certain holders of 10%</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of its capital stock and entities affiliated with certain of its</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directors, have certain registration rights, including the right to</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demand that Vaxart file a registration statement, so called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"demand" registration rights, or request that their shares be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covered by a registration statement that Vaxart is otherwise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filing, so-called "piggyback" registration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Aviragen does not have drag along terms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937"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Stockholder Action by</w:t>
      </w:r>
      <w:r>
        <w:rPr>
          <w:sz w:val="20"/>
          <w:szCs w:val="20"/>
          <w:color w:val="auto"/>
        </w:rPr>
        <w:tab/>
      </w:r>
      <w:r>
        <w:rPr>
          <w:rFonts w:ascii="Arial" w:cs="Arial" w:eastAsia="Arial" w:hAnsi="Arial"/>
          <w:sz w:val="18"/>
          <w:szCs w:val="18"/>
          <w:color w:val="auto"/>
        </w:rPr>
        <w:t>The bylaws of Vaxart provide that any action required or</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Written Consent</w:t>
      </w:r>
      <w:r>
        <w:rPr>
          <w:sz w:val="20"/>
          <w:szCs w:val="20"/>
          <w:color w:val="auto"/>
        </w:rPr>
        <w:tab/>
      </w:r>
      <w:r>
        <w:rPr>
          <w:rFonts w:ascii="Arial" w:cs="Arial" w:eastAsia="Arial" w:hAnsi="Arial"/>
          <w:sz w:val="18"/>
          <w:szCs w:val="18"/>
          <w:color w:val="auto"/>
        </w:rPr>
        <w:t>permitted to be taken at any annual or special meeting of</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stockholders may be taken without a meeting, without prior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notice and without a vote, if a consent in writing, setting forth</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 action so taken, is signed by the holders of outstanding</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stock having not less than the number of votes that would be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necessary to authorize or take such action at a meeting at which</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all shares entitled to vote on such action were present and</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voted.</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18"/>
          <w:szCs w:val="18"/>
          <w:color w:val="auto"/>
        </w:rPr>
        <w:t>Under the DGCL, stockholders may vote by unanimous written consent as voting by written consent is not prohibited by Aviragen’s certificate of incorporation.</w:t>
      </w:r>
    </w:p>
    <w:p>
      <w:pPr>
        <w:sectPr>
          <w:pgSz w:w="11900" w:h="16838" w:orient="portrait"/>
          <w:cols w:equalWidth="0" w:num="2">
            <w:col w:w="6640" w:space="220"/>
            <w:col w:w="4560"/>
          </w:cols>
          <w:pgMar w:left="240" w:top="118" w:right="239" w:bottom="1440" w:gutter="0" w:footer="0" w:header="0"/>
          <w:type w:val="continuous"/>
        </w:sectPr>
      </w:pPr>
    </w:p>
    <w:bookmarkStart w:id="237" w:name="page238"/>
    <w:bookmarkEnd w:id="23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Provision</w:t>
            </w:r>
          </w:p>
        </w:tc>
        <w:tc>
          <w:tcPr>
            <w:tcW w:w="220" w:type="dxa"/>
            <w:vAlign w:val="bottom"/>
          </w:tcPr>
          <w:p>
            <w:pPr>
              <w:spacing w:after="0"/>
              <w:rPr>
                <w:sz w:val="20"/>
                <w:szCs w:val="20"/>
                <w:color w:val="auto"/>
              </w:rPr>
            </w:pP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Vaxart (Pre-Merger)</w:t>
            </w:r>
          </w:p>
        </w:tc>
      </w:tr>
      <w:tr>
        <w:trPr>
          <w:trHeight w:val="410"/>
        </w:trPr>
        <w:tc>
          <w:tcPr>
            <w:tcW w:w="1840" w:type="dxa"/>
            <w:vAlign w:val="bottom"/>
          </w:tcPr>
          <w:p>
            <w:pPr>
              <w:spacing w:after="0"/>
              <w:rPr>
                <w:sz w:val="20"/>
                <w:szCs w:val="20"/>
                <w:color w:val="auto"/>
              </w:rPr>
            </w:pPr>
            <w:r>
              <w:rPr>
                <w:rFonts w:ascii="Arial" w:cs="Arial" w:eastAsia="Arial" w:hAnsi="Arial"/>
                <w:sz w:val="18"/>
                <w:szCs w:val="18"/>
                <w:color w:val="auto"/>
              </w:rPr>
              <w:t>Notice of Stockholder</w:t>
            </w:r>
          </w:p>
        </w:tc>
        <w:tc>
          <w:tcPr>
            <w:tcW w:w="2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The bylaws of Vaxart provide that notice of all meetings of</w:t>
            </w:r>
          </w:p>
        </w:tc>
      </w:tr>
      <w:tr>
        <w:trPr>
          <w:trHeight w:val="215"/>
        </w:trPr>
        <w:tc>
          <w:tcPr>
            <w:tcW w:w="1840" w:type="dxa"/>
            <w:vAlign w:val="bottom"/>
          </w:tcPr>
          <w:p>
            <w:pPr>
              <w:spacing w:after="0"/>
              <w:rPr>
                <w:sz w:val="20"/>
                <w:szCs w:val="20"/>
                <w:color w:val="auto"/>
              </w:rPr>
            </w:pPr>
            <w:r>
              <w:rPr>
                <w:rFonts w:ascii="Arial" w:cs="Arial" w:eastAsia="Arial" w:hAnsi="Arial"/>
                <w:sz w:val="18"/>
                <w:szCs w:val="18"/>
                <w:color w:val="auto"/>
              </w:rPr>
              <w:t>Meeting</w:t>
            </w: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stockholders  shall  be  given  in  writing  or  by  electronic</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transmission in the manner provided by law stating the date,</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4"/>
              </w:rPr>
              <w:t>time and place, if any, of the meeting. The notice of a special</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meeting shall state, in addition, the purpose or purposes for</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which the meeting is called. The bylaws of Vaxart provide that</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notice of each meeting of stockholders shall be given not less</w:t>
            </w:r>
          </w:p>
        </w:tc>
      </w:tr>
      <w:tr>
        <w:trPr>
          <w:trHeight w:val="215"/>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9"/>
              </w:rPr>
              <w:t>than 10 nor more than 60 days before the date of the meeting to</w:t>
            </w:r>
          </w:p>
        </w:tc>
      </w:tr>
      <w:tr>
        <w:trPr>
          <w:trHeight w:val="230"/>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each stockholder of record entitled to vote at such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896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bylaws of Aviragen provide that notice of all meetings of stockholders shall be given in writing stating the date, time and place, if any, of the meeting and the means of remote communications, if any, by which stockholders may be deemed to be present in person and vote at such meeting. The notice of a special meeting shall state, in addition, the purpose or purposes for which the meeting is called. The bylaws of Aviragen provide that notice of each meeting of stockholders shall be given not less than 10 nor more than 60 days before the date of the meeting to each stockholder of record entitled to vote at such meeting.</w:t>
      </w:r>
    </w:p>
    <w:p>
      <w:pPr>
        <w:spacing w:after="0" w:line="183" w:lineRule="exact"/>
        <w:rPr>
          <w:sz w:val="20"/>
          <w:szCs w:val="20"/>
          <w:color w:val="auto"/>
        </w:rPr>
      </w:pPr>
    </w:p>
    <w:p>
      <w:pPr>
        <w:sectPr>
          <w:pgSz w:w="11900" w:h="16838" w:orient="portrait"/>
          <w:cols w:equalWidth="0" w:num="2">
            <w:col w:w="6640" w:space="220"/>
            <w:col w:w="4560"/>
          </w:cols>
          <w:pgMar w:left="240" w:top="118" w:right="239" w:bottom="1440" w:gutter="0" w:footer="0" w:header="0"/>
        </w:sectPr>
      </w:pPr>
    </w:p>
    <w:p>
      <w:pPr>
        <w:spacing w:after="0"/>
        <w:tabs>
          <w:tab w:leader="none" w:pos="2040" w:val="left"/>
        </w:tabs>
        <w:rPr>
          <w:sz w:val="20"/>
          <w:szCs w:val="20"/>
          <w:color w:val="auto"/>
        </w:rPr>
      </w:pPr>
      <w:r>
        <w:rPr>
          <w:rFonts w:ascii="Arial" w:cs="Arial" w:eastAsia="Arial" w:hAnsi="Arial"/>
          <w:sz w:val="18"/>
          <w:szCs w:val="18"/>
          <w:color w:val="auto"/>
        </w:rPr>
        <w:t>Conversion Rights and</w:t>
      </w:r>
      <w:r>
        <w:rPr>
          <w:sz w:val="20"/>
          <w:szCs w:val="20"/>
          <w:color w:val="auto"/>
        </w:rPr>
        <w:tab/>
      </w:r>
      <w:r>
        <w:rPr>
          <w:rFonts w:ascii="Arial" w:cs="Arial" w:eastAsia="Arial" w:hAnsi="Arial"/>
          <w:sz w:val="16"/>
          <w:szCs w:val="16"/>
          <w:color w:val="auto"/>
        </w:rPr>
        <w:t>The holders of Vaxart common stock do not have preemptive,</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Protective Provisions</w:t>
      </w:r>
      <w:r>
        <w:rPr>
          <w:sz w:val="20"/>
          <w:szCs w:val="20"/>
          <w:color w:val="auto"/>
        </w:rPr>
        <w:tab/>
      </w:r>
      <w:r>
        <w:rPr>
          <w:rFonts w:ascii="Arial" w:cs="Arial" w:eastAsia="Arial" w:hAnsi="Arial"/>
          <w:sz w:val="16"/>
          <w:szCs w:val="16"/>
          <w:color w:val="auto"/>
        </w:rPr>
        <w:t>conversion or other protective rights.</w:t>
      </w:r>
    </w:p>
    <w:p>
      <w:pPr>
        <w:spacing w:after="0" w:line="20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certificate of incorporation of Vaxart provides that the</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outstanding shares of preferred stock are convertible into</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shares of common stock at any time in accordance with the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certificate of incorporation. In addition, immediately prior to</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 closing of a firm commitment underwritten public offering</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resulting in at least $30 million of proceeds, or upon the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election of holders of at least a majority of the preferred stock</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then outstanding, all outstanding shares shall be automatically</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converted into shares of common stock. There are also other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provisions in certain of incorporation relating to conversion</w:t>
      </w:r>
    </w:p>
    <w:p>
      <w:pPr>
        <w:spacing w:after="0" w:line="20" w:lineRule="exact"/>
        <w:rPr>
          <w:sz w:val="20"/>
          <w:szCs w:val="20"/>
          <w:color w:val="auto"/>
        </w:rPr>
      </w:pPr>
    </w:p>
    <w:p>
      <w:pPr>
        <w:ind w:left="2060"/>
        <w:spacing w:after="0"/>
        <w:tabs>
          <w:tab w:leader="none" w:pos="2660" w:val="left"/>
          <w:tab w:leader="none" w:pos="3760" w:val="left"/>
          <w:tab w:leader="none" w:pos="4220" w:val="left"/>
          <w:tab w:leader="none" w:pos="5580" w:val="left"/>
          <w:tab w:leader="none" w:pos="6360" w:val="left"/>
        </w:tabs>
        <w:rPr>
          <w:sz w:val="20"/>
          <w:szCs w:val="20"/>
          <w:color w:val="auto"/>
        </w:rPr>
      </w:pPr>
      <w:r>
        <w:rPr>
          <w:rFonts w:ascii="Arial" w:cs="Arial" w:eastAsia="Arial" w:hAnsi="Arial"/>
          <w:sz w:val="18"/>
          <w:szCs w:val="18"/>
          <w:color w:val="auto"/>
        </w:rPr>
        <w:t>price,</w:t>
        <w:tab/>
        <w:t>adjustments,</w:t>
        <w:tab/>
        <w:t>and</w:t>
        <w:tab/>
        <w:t>reorganizations,</w:t>
        <w:tab/>
        <w:t>mergers</w:t>
      </w:r>
      <w:r>
        <w:rPr>
          <w:sz w:val="20"/>
          <w:szCs w:val="20"/>
          <w:color w:val="auto"/>
        </w:rPr>
        <w:tab/>
      </w:r>
      <w:r>
        <w:rPr>
          <w:rFonts w:ascii="Arial" w:cs="Arial" w:eastAsia="Arial" w:hAnsi="Arial"/>
          <w:sz w:val="13"/>
          <w:szCs w:val="13"/>
          <w:color w:val="auto"/>
        </w:rPr>
        <w:t>and</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consolidations.</w:t>
      </w:r>
    </w:p>
    <w:p>
      <w:pPr>
        <w:spacing w:after="0" w:line="20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In addition, the holders of shares of preferred stock of Vaxart</w:t>
      </w:r>
    </w:p>
    <w:p>
      <w:pPr>
        <w:spacing w:after="0" w:line="3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have certain liquidation rights in respect of such shares. The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liquidation rights are triggered in the event of any liquidation,</w:t>
      </w:r>
    </w:p>
    <w:p>
      <w:pPr>
        <w:spacing w:after="0" w:line="20" w:lineRule="exact"/>
        <w:rPr>
          <w:sz w:val="20"/>
          <w:szCs w:val="20"/>
          <w:color w:val="auto"/>
        </w:rPr>
      </w:pPr>
    </w:p>
    <w:p>
      <w:pPr>
        <w:ind w:left="2060"/>
        <w:spacing w:after="0"/>
        <w:tabs>
          <w:tab w:leader="none" w:pos="2860" w:val="left"/>
          <w:tab w:leader="none" w:pos="3880" w:val="left"/>
          <w:tab w:leader="none" w:pos="4800" w:val="left"/>
          <w:tab w:leader="none" w:pos="5040" w:val="left"/>
          <w:tab w:leader="none" w:pos="5720" w:val="left"/>
          <w:tab w:leader="none" w:pos="6040" w:val="left"/>
        </w:tabs>
        <w:rPr>
          <w:sz w:val="20"/>
          <w:szCs w:val="20"/>
          <w:color w:val="auto"/>
        </w:rPr>
      </w:pPr>
      <w:r>
        <w:rPr>
          <w:rFonts w:ascii="Arial" w:cs="Arial" w:eastAsia="Arial" w:hAnsi="Arial"/>
          <w:sz w:val="18"/>
          <w:szCs w:val="18"/>
          <w:color w:val="auto"/>
        </w:rPr>
        <w:t>“deemed</w:t>
        <w:tab/>
        <w:t>liquidation”</w:t>
        <w:tab/>
        <w:t>(including</w:t>
        <w:tab/>
        <w:t>a</w:t>
        <w:tab/>
        <w:t>merger</w:t>
        <w:tab/>
        <w:t>of</w:t>
      </w:r>
      <w:r>
        <w:rPr>
          <w:sz w:val="20"/>
          <w:szCs w:val="20"/>
          <w:color w:val="auto"/>
        </w:rPr>
        <w:tab/>
      </w:r>
      <w:r>
        <w:rPr>
          <w:rFonts w:ascii="Arial" w:cs="Arial" w:eastAsia="Arial" w:hAnsi="Arial"/>
          <w:sz w:val="16"/>
          <w:szCs w:val="16"/>
          <w:color w:val="auto"/>
        </w:rPr>
        <w:t>Vaxart),</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dissolution or winding up of Vaxart, whether voluntary or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involuntary.</w:t>
      </w:r>
    </w:p>
    <w:p>
      <w:pPr>
        <w:spacing w:after="0" w:line="209"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Right of First Refusal</w:t>
      </w:r>
      <w:r>
        <w:rPr>
          <w:sz w:val="20"/>
          <w:szCs w:val="20"/>
          <w:color w:val="auto"/>
        </w:rPr>
        <w:tab/>
      </w:r>
      <w:r>
        <w:rPr>
          <w:rFonts w:ascii="Arial" w:cs="Arial" w:eastAsia="Arial" w:hAnsi="Arial"/>
          <w:sz w:val="16"/>
          <w:szCs w:val="16"/>
          <w:color w:val="auto"/>
        </w:rPr>
        <w:t>Vaxart’s Amended and Restated Right of First Refusal and Co-</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Sale Agreement dated July 24, 2013, or Co-Sale Agreement,</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provides that certain holders of Vaxart common stock wishing</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to transfer any shares of Vaxart common stock or preferred</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stock must first provide Vaxart and then the holders of Vaxart’s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Series B Preferred Stock and Series C Preferred Stock with the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opportunity to purchase such shares.</w:t>
      </w:r>
    </w:p>
    <w:p>
      <w:pPr>
        <w:spacing w:after="0" w:line="209" w:lineRule="exact"/>
        <w:rPr>
          <w:sz w:val="20"/>
          <w:szCs w:val="20"/>
          <w:color w:val="auto"/>
        </w:rPr>
      </w:pPr>
    </w:p>
    <w:p>
      <w:pPr>
        <w:ind w:left="2060"/>
        <w:spacing w:after="0" w:line="276" w:lineRule="auto"/>
        <w:rPr>
          <w:sz w:val="20"/>
          <w:szCs w:val="20"/>
          <w:color w:val="auto"/>
        </w:rPr>
      </w:pPr>
      <w:r>
        <w:rPr>
          <w:rFonts w:ascii="Arial" w:cs="Arial" w:eastAsia="Arial" w:hAnsi="Arial"/>
          <w:sz w:val="18"/>
          <w:szCs w:val="18"/>
          <w:color w:val="auto"/>
        </w:rPr>
        <w:t>The right of first refusal will terminate upon the closing of the merger.</w:t>
      </w:r>
    </w:p>
    <w:p>
      <w:pPr>
        <w:spacing w:after="0" w:line="17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Under the Co-Sale Agreement, following the expiration of any</w:t>
      </w:r>
    </w:p>
    <w:p>
      <w:pPr>
        <w:spacing w:after="0" w:line="46"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right of first refusal described under “Right of First Refusal”</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above, if any of these holders of common stock or preferred</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subject to the Co-Sale Agreement propose to transfer shares of</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common stock or preferred, then any holder of Vaxart Series B</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Preferred Stock and Series C Preferred shall have the right to</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participate in such contemplated transfer.</w:t>
      </w:r>
    </w:p>
    <w:p>
      <w:pPr>
        <w:spacing w:after="0" w:line="209" w:lineRule="exact"/>
        <w:rPr>
          <w:sz w:val="20"/>
          <w:szCs w:val="20"/>
          <w:color w:val="auto"/>
        </w:rPr>
      </w:pPr>
    </w:p>
    <w:p>
      <w:pPr>
        <w:ind w:left="2060"/>
        <w:spacing w:after="0" w:line="276" w:lineRule="auto"/>
        <w:rPr>
          <w:sz w:val="20"/>
          <w:szCs w:val="20"/>
          <w:color w:val="auto"/>
        </w:rPr>
      </w:pPr>
      <w:r>
        <w:rPr>
          <w:rFonts w:ascii="Arial" w:cs="Arial" w:eastAsia="Arial" w:hAnsi="Arial"/>
          <w:sz w:val="18"/>
          <w:szCs w:val="18"/>
          <w:color w:val="auto"/>
        </w:rPr>
        <w:t>The co-sale rights will terminate upon the closing of the merger.</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18"/>
          <w:szCs w:val="18"/>
          <w:color w:val="auto"/>
        </w:rPr>
        <w:t>There are not, nor will there be immediately following the closing of the merger, any shares of preferred stock of Aviragen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Aviragen does not have a right of first refusal in place.</w:t>
      </w:r>
    </w:p>
    <w:p>
      <w:pPr>
        <w:spacing w:after="0" w:line="4557"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8" w:name="page239"/>
    <w:bookmarkEnd w:id="238"/>
    <w:p>
      <w:pPr>
        <w:spacing w:after="0"/>
        <w:rPr>
          <w:rFonts w:ascii="Arial" w:cs="Arial" w:eastAsia="Arial" w:hAnsi="Arial"/>
          <w:sz w:val="19"/>
          <w:szCs w:val="19"/>
          <w:u w:val="single" w:color="auto"/>
          <w:color w:val="0000EE"/>
        </w:rPr>
      </w:pPr>
      <w:hyperlink w:anchor="page8">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Provision</w:t>
            </w:r>
          </w:p>
        </w:tc>
        <w:tc>
          <w:tcPr>
            <w:tcW w:w="220" w:type="dxa"/>
            <w:vAlign w:val="bottom"/>
          </w:tcPr>
          <w:p>
            <w:pPr>
              <w:spacing w:after="0"/>
              <w:rPr>
                <w:sz w:val="20"/>
                <w:szCs w:val="20"/>
                <w:color w:val="auto"/>
              </w:rPr>
            </w:pPr>
          </w:p>
        </w:tc>
        <w:tc>
          <w:tcPr>
            <w:tcW w:w="45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Vaxart (Pre-Merger)</w:t>
            </w:r>
          </w:p>
        </w:tc>
      </w:tr>
      <w:tr>
        <w:trPr>
          <w:trHeight w:val="410"/>
        </w:trPr>
        <w:tc>
          <w:tcPr>
            <w:tcW w:w="1840" w:type="dxa"/>
            <w:vAlign w:val="bottom"/>
          </w:tcPr>
          <w:p>
            <w:pPr>
              <w:spacing w:after="0"/>
              <w:rPr>
                <w:sz w:val="20"/>
                <w:szCs w:val="20"/>
                <w:color w:val="auto"/>
              </w:rPr>
            </w:pPr>
            <w:r>
              <w:rPr>
                <w:rFonts w:ascii="Arial" w:cs="Arial" w:eastAsia="Arial" w:hAnsi="Arial"/>
                <w:sz w:val="18"/>
                <w:szCs w:val="18"/>
                <w:color w:val="auto"/>
              </w:rPr>
              <w:t>Forum Selection</w:t>
            </w:r>
          </w:p>
        </w:tc>
        <w:tc>
          <w:tcPr>
            <w:tcW w:w="22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7"/>
              </w:rPr>
              <w:t>Neither the certificate of incorporation nor bylaws of Vaxart</w:t>
            </w:r>
          </w:p>
        </w:tc>
      </w:tr>
      <w:tr>
        <w:trPr>
          <w:trHeight w:val="230"/>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include a forum selection provision.</w:t>
            </w: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896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2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Neither the certificate of incorporation nor bylaws of Aviragen include a forum selection provision.</w:t>
      </w:r>
    </w:p>
    <w:p>
      <w:pPr>
        <w:spacing w:after="0" w:line="166"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Indemnification of Officers and Directors and Advancement of Expenses; Limitation on Personal Liability</w:t>
      </w:r>
    </w:p>
    <w:p>
      <w:pPr>
        <w:sectPr>
          <w:pgSz w:w="11900" w:h="16838" w:orient="portrait"/>
          <w:cols w:equalWidth="0" w:num="1">
            <w:col w:w="11420"/>
          </w:cols>
          <w:pgMar w:left="240" w:top="118" w:right="239" w:bottom="1440" w:gutter="0" w:footer="0" w:header="0"/>
          <w:type w:val="continuous"/>
        </w:sectPr>
      </w:pPr>
    </w:p>
    <w:p>
      <w:pPr>
        <w:spacing w:after="0" w:line="251"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Indemnification</w:t>
      </w:r>
      <w:r>
        <w:rPr>
          <w:sz w:val="20"/>
          <w:szCs w:val="20"/>
          <w:color w:val="auto"/>
        </w:rPr>
        <w:tab/>
      </w:r>
      <w:r>
        <w:rPr>
          <w:rFonts w:ascii="Arial" w:cs="Arial" w:eastAsia="Arial" w:hAnsi="Arial"/>
          <w:sz w:val="18"/>
          <w:szCs w:val="18"/>
          <w:color w:val="auto"/>
        </w:rPr>
        <w:t>The certificate of incorporation and the bylaws of Vaxart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that Vaxart shall indemnify its directors and officers to</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 fullest extent permitted by applicable law, provided that</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such indemnitee acted in good faith and in a manner which he</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or she reasonably believed to be in or not opposed to the best</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interests of the corporation, and, with respect to any criminal</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action or proceeding, had no reasonable cause to believe that</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his or her conduct was unlawful.</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certificate of incorporation and bylaws of Aviragen provide that Aviragen shall indemnify its directors and officers to the fullest extent permitted by the DGCL or any other applicable law. The bylaws provide that Aviragen will indemnify a director or officer if he or she acted in good faith and in a manner which he or she reasonably believed to be in or not opposed to the best interests of the corporation, and, with respect to any criminal action or proceeding, had reasonable cause to believe that his or her conduct was not unlawful.</w:t>
      </w:r>
    </w:p>
    <w:p>
      <w:pPr>
        <w:spacing w:after="0" w:line="195"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tabs>
          <w:tab w:leader="none" w:pos="2040" w:val="left"/>
        </w:tabs>
        <w:rPr>
          <w:sz w:val="20"/>
          <w:szCs w:val="20"/>
          <w:color w:val="auto"/>
        </w:rPr>
      </w:pPr>
      <w:r>
        <w:rPr>
          <w:rFonts w:ascii="Arial" w:cs="Arial" w:eastAsia="Arial" w:hAnsi="Arial"/>
          <w:sz w:val="18"/>
          <w:szCs w:val="18"/>
          <w:color w:val="auto"/>
        </w:rPr>
        <w:t>Advancement of</w:t>
      </w:r>
      <w:r>
        <w:rPr>
          <w:sz w:val="20"/>
          <w:szCs w:val="20"/>
          <w:color w:val="auto"/>
        </w:rPr>
        <w:tab/>
      </w:r>
      <w:r>
        <w:rPr>
          <w:rFonts w:ascii="Arial" w:cs="Arial" w:eastAsia="Arial" w:hAnsi="Arial"/>
          <w:sz w:val="17"/>
          <w:szCs w:val="17"/>
          <w:color w:val="auto"/>
        </w:rPr>
        <w:t>The  bylaws  of  Vaxart  provide  that  Vaxart  shall  pay  the</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7"/>
          <w:szCs w:val="17"/>
          <w:color w:val="auto"/>
        </w:rPr>
        <w:t>Expenses</w:t>
      </w:r>
      <w:r>
        <w:rPr>
          <w:sz w:val="20"/>
          <w:szCs w:val="20"/>
          <w:color w:val="auto"/>
        </w:rPr>
        <w:tab/>
      </w:r>
      <w:r>
        <w:rPr>
          <w:rFonts w:ascii="Arial" w:cs="Arial" w:eastAsia="Arial" w:hAnsi="Arial"/>
          <w:sz w:val="17"/>
          <w:szCs w:val="17"/>
          <w:color w:val="auto"/>
        </w:rPr>
        <w:t>expenses incurred by a director or officer in defending any</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proceeding in advance of its final disposition, provided, that, to</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the extent required by law, such payment of expenses in</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advance of the final disposition of the proceeding shall be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made only upon receipt of an undertaking by the director or</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officer to repay all amounts advanced if it should be ultimately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determined that such director or officer is not entitled to be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indemnified. The bylaws also provide that Vaxart shall not be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required to advance any expenses to a person against whom</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Vaxart directly brings a claim alleging that such person has</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breached  such  person’s  duty  of  loyalty  to  the  company,</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committed an act or omission not in good faith or that involves</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intentional misconduct or a knowing violation of law, or</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derived an improper personal benefit from a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0"/>
          <w:szCs w:val="20"/>
          <w:color w:val="auto"/>
        </w:rPr>
      </w:pPr>
      <w:r>
        <w:rPr>
          <w:sz w:val="20"/>
          <w:szCs w:val="20"/>
          <w:color w:val="auto"/>
        </w:rPr>
        <w:br w:type="column"/>
      </w:r>
    </w:p>
    <w:p>
      <w:pPr>
        <w:jc w:val="both"/>
        <w:ind w:right="20"/>
        <w:spacing w:after="0" w:line="270" w:lineRule="auto"/>
        <w:rPr>
          <w:sz w:val="20"/>
          <w:szCs w:val="20"/>
          <w:color w:val="auto"/>
        </w:rPr>
      </w:pPr>
      <w:r>
        <w:rPr>
          <w:rFonts w:ascii="Arial" w:cs="Arial" w:eastAsia="Arial" w:hAnsi="Arial"/>
          <w:sz w:val="17"/>
          <w:szCs w:val="17"/>
          <w:color w:val="auto"/>
        </w:rPr>
        <w:t>The bylaws of Aviragen provide that Aviragen will advance expenses to any director or officer prior to the final disposition of the proceeding, provided, however, that such advancements shall be made only upon receipt of an undertaking by such director or officer to repay all amounts advanced if it should be ultimately determined that such director or officer is not entitled to indemnification under the bylaws of Aviragen or otherwise.</w:t>
      </w:r>
    </w:p>
    <w:p>
      <w:pPr>
        <w:spacing w:after="0" w:line="2089"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2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Declaration and Payment</w:t>
      </w:r>
      <w:r>
        <w:rPr>
          <w:sz w:val="20"/>
          <w:szCs w:val="20"/>
          <w:color w:val="auto"/>
        </w:rPr>
        <w:tab/>
      </w:r>
      <w:r>
        <w:rPr>
          <w:rFonts w:ascii="Arial" w:cs="Arial" w:eastAsia="Arial" w:hAnsi="Arial"/>
          <w:sz w:val="16"/>
          <w:szCs w:val="16"/>
          <w:color w:val="auto"/>
        </w:rPr>
        <w:t>The amended and restated certificate of incorporation of Vaxart</w:t>
      </w:r>
    </w:p>
    <w:p>
      <w:pPr>
        <w:spacing w:after="0" w:line="2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of Dividends</w:t>
      </w:r>
      <w:r>
        <w:rPr>
          <w:sz w:val="20"/>
          <w:szCs w:val="20"/>
          <w:color w:val="auto"/>
        </w:rPr>
        <w:tab/>
      </w:r>
      <w:r>
        <w:rPr>
          <w:rFonts w:ascii="Arial" w:cs="Arial" w:eastAsia="Arial" w:hAnsi="Arial"/>
          <w:sz w:val="17"/>
          <w:szCs w:val="17"/>
          <w:color w:val="auto"/>
        </w:rPr>
        <w:t>provides that holders of Series C Preferred Stock shall be</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entitled to receive a non-compounding cumulative dividend at</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an annual rate of $0.053239 per year, senior to any rights to</w:t>
      </w:r>
    </w:p>
    <w:p>
      <w:pPr>
        <w:spacing w:after="0" w:line="20" w:lineRule="exact"/>
        <w:rPr>
          <w:sz w:val="20"/>
          <w:szCs w:val="20"/>
          <w:color w:val="auto"/>
        </w:rPr>
      </w:pPr>
    </w:p>
    <w:p>
      <w:pPr>
        <w:ind w:left="2060"/>
        <w:spacing w:after="0"/>
        <w:tabs>
          <w:tab w:leader="none" w:pos="2960" w:val="left"/>
          <w:tab w:leader="none" w:pos="3320" w:val="left"/>
          <w:tab w:leader="none" w:pos="3700" w:val="left"/>
          <w:tab w:leader="none" w:pos="4280" w:val="left"/>
          <w:tab w:leader="none" w:pos="5440" w:val="left"/>
          <w:tab w:leader="none" w:pos="5920" w:val="left"/>
        </w:tabs>
        <w:rPr>
          <w:sz w:val="20"/>
          <w:szCs w:val="20"/>
          <w:color w:val="auto"/>
        </w:rPr>
      </w:pPr>
      <w:r>
        <w:rPr>
          <w:rFonts w:ascii="Arial" w:cs="Arial" w:eastAsia="Arial" w:hAnsi="Arial"/>
          <w:sz w:val="18"/>
          <w:szCs w:val="18"/>
          <w:color w:val="auto"/>
        </w:rPr>
        <w:t>dividends</w:t>
        <w:tab/>
        <w:t>of</w:t>
        <w:tab/>
        <w:t>all</w:t>
        <w:tab/>
        <w:t>other</w:t>
        <w:tab/>
        <w:t>stockholders.</w:t>
        <w:tab/>
        <w:t>The</w:t>
      </w:r>
      <w:r>
        <w:rPr>
          <w:sz w:val="20"/>
          <w:szCs w:val="20"/>
          <w:color w:val="auto"/>
        </w:rPr>
        <w:tab/>
      </w:r>
      <w:r>
        <w:rPr>
          <w:rFonts w:ascii="Arial" w:cs="Arial" w:eastAsia="Arial" w:hAnsi="Arial"/>
          <w:sz w:val="16"/>
          <w:szCs w:val="16"/>
          <w:color w:val="auto"/>
        </w:rPr>
        <w:t>dividends</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automatically accrue from and after the date of issuance until</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they are paid in cash or additional shares of Series C Preferred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Stock, whether or not earned or declared by the board of</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directors. If the board of directors declares any additional cash</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dividend, the holders of Series C Preferred Stock shall receive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such  dividends  in  preference  to  the  rights  of  any  other</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stockholder. After payment of any dividends to the holders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Series C Preferred Stock, the holders of Series B Preferred</w:t>
      </w:r>
    </w:p>
    <w:p>
      <w:pPr>
        <w:spacing w:after="0" w:line="20" w:lineRule="exact"/>
        <w:rPr>
          <w:sz w:val="20"/>
          <w:szCs w:val="20"/>
          <w:color w:val="auto"/>
        </w:rPr>
      </w:pPr>
    </w:p>
    <w:p>
      <w:pPr>
        <w:ind w:left="2060"/>
        <w:spacing w:after="0"/>
        <w:tabs>
          <w:tab w:leader="none" w:pos="2600" w:val="left"/>
          <w:tab w:leader="none" w:pos="3100" w:val="left"/>
          <w:tab w:leader="none" w:pos="3420" w:val="left"/>
          <w:tab w:leader="none" w:pos="4120" w:val="left"/>
          <w:tab w:leader="none" w:pos="4400" w:val="left"/>
          <w:tab w:leader="none" w:pos="5080" w:val="left"/>
          <w:tab w:leader="none" w:pos="5300" w:val="left"/>
        </w:tabs>
        <w:rPr>
          <w:sz w:val="20"/>
          <w:szCs w:val="20"/>
          <w:color w:val="auto"/>
        </w:rPr>
      </w:pPr>
      <w:r>
        <w:rPr>
          <w:rFonts w:ascii="Arial" w:cs="Arial" w:eastAsia="Arial" w:hAnsi="Arial"/>
          <w:sz w:val="18"/>
          <w:szCs w:val="18"/>
          <w:color w:val="auto"/>
        </w:rPr>
        <w:t>Stock</w:t>
        <w:tab/>
        <w:t>shall</w:t>
        <w:tab/>
        <w:t>be</w:t>
        <w:tab/>
        <w:t>entitled</w:t>
        <w:tab/>
        <w:t>to</w:t>
        <w:tab/>
        <w:t>receive</w:t>
        <w:tab/>
        <w:t>a</w:t>
      </w:r>
      <w:r>
        <w:rPr>
          <w:sz w:val="20"/>
          <w:szCs w:val="20"/>
          <w:color w:val="auto"/>
        </w:rPr>
        <w:tab/>
      </w:r>
      <w:r>
        <w:rPr>
          <w:rFonts w:ascii="Arial" w:cs="Arial" w:eastAsia="Arial" w:hAnsi="Arial"/>
          <w:sz w:val="16"/>
          <w:szCs w:val="16"/>
          <w:color w:val="auto"/>
        </w:rPr>
        <w:t>non-compounding</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cumulative dividend at an annual rate of $0.053239 per year,</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senior to any rights to dividends of the holders of Vaxart’s</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Series A Preferred Stock or common stock. The dividends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automatically accrue from and after the date of issuance until</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they are paid in cash or additional shares of Series B Preferred</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Stock, whether or not earned or declared by the board of</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directors. If the board of directors declares any additional cash</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dividend, the holders of Series B Preferred Stock shall receive</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such dividends in preference to the holders of Vaxart’s Series A</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Preferred Stock or common stock but after the Series C</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dividends are paid in full.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are not, nor will there be immediately following the closing of the merger, any shares of preferred stock of Aviragen issued or outstanding.</w:t>
      </w:r>
    </w:p>
    <w:p>
      <w:pPr>
        <w:spacing w:after="0" w:line="4911" w:lineRule="exact"/>
        <w:rPr>
          <w:sz w:val="20"/>
          <w:szCs w:val="20"/>
          <w:color w:val="auto"/>
        </w:rPr>
      </w:pPr>
    </w:p>
    <w:p>
      <w:pPr>
        <w:sectPr>
          <w:pgSz w:w="11900" w:h="16838" w:orient="portrait"/>
          <w:cols w:equalWidth="0" w:num="2">
            <w:col w:w="6640" w:space="220"/>
            <w:col w:w="4560"/>
          </w:cols>
          <w:pgMar w:left="240" w:top="118" w:right="2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39" w:name="page240"/>
    <w:bookmarkEnd w:id="23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340"/>
        <w:spacing w:after="0"/>
        <w:tabs>
          <w:tab w:leader="none" w:pos="2360" w:val="left"/>
          <w:tab w:leader="none" w:pos="716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Vaxart (Pre-Merger)</w:t>
      </w:r>
      <w:r>
        <w:rPr>
          <w:sz w:val="20"/>
          <w:szCs w:val="20"/>
          <w:color w:val="auto"/>
        </w:rPr>
        <w:tab/>
      </w:r>
      <w:r>
        <w:rPr>
          <w:rFonts w:ascii="Arial" w:cs="Arial" w:eastAsia="Arial" w:hAnsi="Arial"/>
          <w:sz w:val="16"/>
          <w:szCs w:val="16"/>
          <w:b w:val="1"/>
          <w:bCs w:val="1"/>
          <w:color w:val="auto"/>
        </w:rPr>
        <w:t>Aviragen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7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4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After payment of any dividends to the holders of Series C</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Preferred Stock and Series B Preferred Stock, the holders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Series  A  Preferred  Stock  shall  be  entitled  to  receive  a</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noncumulative dividend at an annual rate of $0.0464 per year,</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senior to any right to dividends by the holders of Vaxart</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common stock. If the board of directors declares any dividends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 holders of common stock, the holders of preferred stock</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shall receive such dividends on a pari passu pro rata basis.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Certificate of Incorporation or Bylaws</w:t>
      </w:r>
    </w:p>
    <w:p>
      <w:pPr>
        <w:spacing w:after="0" w:line="228"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General Provisions</w:t>
      </w:r>
      <w:r>
        <w:rPr>
          <w:sz w:val="20"/>
          <w:szCs w:val="20"/>
          <w:color w:val="auto"/>
        </w:rPr>
        <w:tab/>
      </w:r>
      <w:r>
        <w:rPr>
          <w:rFonts w:ascii="Arial" w:cs="Arial" w:eastAsia="Arial" w:hAnsi="Arial"/>
          <w:sz w:val="16"/>
          <w:szCs w:val="16"/>
          <w:color w:val="auto"/>
        </w:rPr>
        <w:t>Vaxart may not amend the amended and restated certificate of</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incorporation or bylaws in any manner, or change the rights,</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preferences or privileges of the preferred stock without the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written consent or affirmative vote of holders of a majority of</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the Series B Preferred Stock and Series C Preferred Stock,</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voting together as single class, on an as-converted to common</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stock basis. The holders of Vaxart preferred stock also have</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other protective rights, such as approval of certain loans and</w:t>
      </w:r>
    </w:p>
    <w:p>
      <w:pPr>
        <w:spacing w:after="0" w:line="2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other strategic transactions.</w:t>
      </w:r>
    </w:p>
    <w:p>
      <w:pPr>
        <w:spacing w:after="0" w:line="209" w:lineRule="exact"/>
        <w:rPr>
          <w:sz w:val="20"/>
          <w:szCs w:val="20"/>
          <w:color w:val="auto"/>
        </w:rPr>
      </w:pPr>
    </w:p>
    <w:p>
      <w:pPr>
        <w:jc w:val="both"/>
        <w:ind w:left="2060"/>
        <w:spacing w:after="0" w:line="254" w:lineRule="auto"/>
        <w:rPr>
          <w:sz w:val="20"/>
          <w:szCs w:val="20"/>
          <w:color w:val="auto"/>
        </w:rPr>
      </w:pPr>
      <w:r>
        <w:rPr>
          <w:rFonts w:ascii="Arial" w:cs="Arial" w:eastAsia="Arial" w:hAnsi="Arial"/>
          <w:sz w:val="18"/>
          <w:szCs w:val="18"/>
          <w:color w:val="auto"/>
        </w:rPr>
        <w:t>Holders of common stock are not entitled to vote on any amendment to the amended and restated certificate of incorporation which relates solely to the terms of one or more outstanding series of preferred stock if the holders of such affected series are entitled, either separately or together with another series, to vote thereon.</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certificate of incorporation of Aviragen may be amended in any manner permitted under law.</w:t>
      </w:r>
    </w:p>
    <w:p>
      <w:pPr>
        <w:sectPr>
          <w:pgSz w:w="11900" w:h="16838" w:orient="portrait"/>
          <w:cols w:equalWidth="0" w:num="2">
            <w:col w:w="6640" w:space="220"/>
            <w:col w:w="4540"/>
          </w:cols>
          <w:pgMar w:left="240" w:top="118" w:right="259" w:bottom="1440" w:gutter="0" w:footer="0" w:header="0"/>
          <w:type w:val="continuous"/>
        </w:sectPr>
      </w:pPr>
    </w:p>
    <w:bookmarkStart w:id="240" w:name="page241"/>
    <w:bookmarkEnd w:id="24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 OF AVIRAGEN</w:t>
      </w:r>
    </w:p>
    <w:p>
      <w:pPr>
        <w:spacing w:after="0" w:line="228"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i w:val="1"/>
          <w:iCs w:val="1"/>
          <w:color w:val="auto"/>
        </w:rPr>
        <w:t>Except where specifically noted, the following information and all other information contained in this proxy statement/prospectus/information statement do not give effect to the proposed reverse stock split described in the Reverse Stock Split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Aviragen common stock as of December 7, 2017, by:</w:t>
      </w:r>
    </w:p>
    <w:p>
      <w:pPr>
        <w:spacing w:after="0" w:line="224" w:lineRule="exact"/>
        <w:rPr>
          <w:sz w:val="20"/>
          <w:szCs w:val="20"/>
          <w:color w:val="auto"/>
        </w:rPr>
      </w:pPr>
    </w:p>
    <w:p>
      <w:pPr>
        <w:ind w:left="660" w:hanging="329"/>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person, entity or group known to Aviragen to beneficially own more than 5% of its common stock;</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of Aviragen’s named executive officers;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of Aviragen’s directors;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of Aviragen’s executive officers and directors as a group.</w:t>
      </w:r>
    </w:p>
    <w:p>
      <w:pPr>
        <w:spacing w:after="0" w:line="22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percentage of shares beneficially owned is based on 38,649,237 shares of Aviragen common stock outstanding as of December 7, 2017. Beneficial ownership is determined according to the rules of the SEC and generally means that a person has beneficial ownership of a security if he, she or it possesses sole or shared voting or investment power of that security, including options that are exercisable within 60 days of December 7, 2017. Shares of Aviragen common stock issuable pursuant to stock options are deemed outstanding for computing the percentage of the person holding such options and the percentage of any group of which the person is a member but are not deemed outstanding for computing the percentage of any other person. Except as indicated by the footnotes below, Aviragen believes, based on the information furnished to it,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The information provided in the table is based on Aviragen’s records and information filed with the SEC, unless otherwise noted.</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Aviragen Therapeutics, Inc., 2500 Northwinds Parkway, Suite 100, Alpharetta, Georgia 30009.</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3440" w:type="dxa"/>
            <w:vAlign w:val="bottom"/>
            <w:gridSpan w:val="4"/>
          </w:tcPr>
          <w:p>
            <w:pPr>
              <w:ind w:left="78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09"/>
        </w:trPr>
        <w:tc>
          <w:tcPr>
            <w:tcW w:w="5700" w:type="dxa"/>
            <w:vAlign w:val="bottom"/>
            <w:gridSpan w:val="3"/>
            <w:vMerge w:val="continue"/>
          </w:tcPr>
          <w:p>
            <w:pPr>
              <w:spacing w:after="0"/>
              <w:rPr>
                <w:sz w:val="18"/>
                <w:szCs w:val="18"/>
                <w:color w:val="auto"/>
              </w:rPr>
            </w:pPr>
          </w:p>
        </w:tc>
        <w:tc>
          <w:tcPr>
            <w:tcW w:w="15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70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Greater than 5% Stockholders:</w:t>
            </w:r>
          </w:p>
        </w:tc>
        <w:tc>
          <w:tcPr>
            <w:tcW w:w="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East Hill Management Company, LLC (1)</w:t>
            </w:r>
          </w:p>
        </w:tc>
        <w:tc>
          <w:tcPr>
            <w:tcW w:w="1540" w:type="dxa"/>
            <w:vAlign w:val="bottom"/>
          </w:tcPr>
          <w:p>
            <w:pPr>
              <w:jc w:val="right"/>
              <w:spacing w:after="0"/>
              <w:rPr>
                <w:sz w:val="20"/>
                <w:szCs w:val="20"/>
                <w:color w:val="auto"/>
              </w:rPr>
            </w:pPr>
            <w:r>
              <w:rPr>
                <w:rFonts w:ascii="Arial" w:cs="Arial" w:eastAsia="Arial" w:hAnsi="Arial"/>
                <w:sz w:val="18"/>
                <w:szCs w:val="18"/>
                <w:color w:val="auto"/>
              </w:rPr>
              <w:t>3,396,030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Krensavage Asset Management, LLC (2)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2,836,326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SC Fundamental, L.L.C. (3)</w:t>
            </w:r>
          </w:p>
        </w:tc>
        <w:tc>
          <w:tcPr>
            <w:tcW w:w="1540" w:type="dxa"/>
            <w:vAlign w:val="bottom"/>
          </w:tcPr>
          <w:p>
            <w:pPr>
              <w:jc w:val="right"/>
              <w:spacing w:after="0"/>
              <w:rPr>
                <w:sz w:val="20"/>
                <w:szCs w:val="20"/>
                <w:color w:val="auto"/>
              </w:rPr>
            </w:pPr>
            <w:r>
              <w:rPr>
                <w:rFonts w:ascii="Arial" w:cs="Arial" w:eastAsia="Arial" w:hAnsi="Arial"/>
                <w:sz w:val="18"/>
                <w:szCs w:val="18"/>
                <w:color w:val="auto"/>
              </w:rPr>
              <w:t>2,429,864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Joseph M. Patti, M.S.P.H., Ph.D. (4)</w:t>
            </w:r>
          </w:p>
        </w:tc>
        <w:tc>
          <w:tcPr>
            <w:tcW w:w="1540" w:type="dxa"/>
            <w:vAlign w:val="bottom"/>
          </w:tcPr>
          <w:p>
            <w:pPr>
              <w:jc w:val="right"/>
              <w:spacing w:after="0"/>
              <w:rPr>
                <w:sz w:val="20"/>
                <w:szCs w:val="20"/>
                <w:color w:val="auto"/>
              </w:rPr>
            </w:pPr>
            <w:r>
              <w:rPr>
                <w:rFonts w:ascii="Arial" w:cs="Arial" w:eastAsia="Arial" w:hAnsi="Arial"/>
                <w:sz w:val="18"/>
                <w:szCs w:val="18"/>
                <w:color w:val="auto"/>
              </w:rPr>
              <w:t>1,754,665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Russell H. Plumb (5)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805,666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Mark P. Colonnese (6)</w:t>
            </w:r>
          </w:p>
        </w:tc>
        <w:tc>
          <w:tcPr>
            <w:tcW w:w="1540" w:type="dxa"/>
            <w:vAlign w:val="bottom"/>
          </w:tcPr>
          <w:p>
            <w:pPr>
              <w:jc w:val="right"/>
              <w:spacing w:after="0"/>
              <w:rPr>
                <w:sz w:val="20"/>
                <w:szCs w:val="20"/>
                <w:color w:val="auto"/>
              </w:rPr>
            </w:pPr>
            <w:r>
              <w:rPr>
                <w:rFonts w:ascii="Arial" w:cs="Arial" w:eastAsia="Arial" w:hAnsi="Arial"/>
                <w:sz w:val="18"/>
                <w:szCs w:val="18"/>
                <w:color w:val="auto"/>
              </w:rPr>
              <w:t>515,666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Anne M. VanLent (7)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Michael Dougherty (8)</w:t>
            </w:r>
          </w:p>
        </w:tc>
        <w:tc>
          <w:tcPr>
            <w:tcW w:w="1540" w:type="dxa"/>
            <w:vAlign w:val="bottom"/>
          </w:tcPr>
          <w:p>
            <w:pPr>
              <w:jc w:val="right"/>
              <w:spacing w:after="0"/>
              <w:rPr>
                <w:sz w:val="20"/>
                <w:szCs w:val="20"/>
                <w:color w:val="auto"/>
              </w:rPr>
            </w:pPr>
            <w:r>
              <w:rPr>
                <w:rFonts w:ascii="Arial" w:cs="Arial" w:eastAsia="Arial" w:hAnsi="Arial"/>
                <w:sz w:val="18"/>
                <w:szCs w:val="18"/>
                <w:color w:val="auto"/>
              </w:rPr>
              <w:t>85,000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John P. Richard (8)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Geoffrey F. Cox, Ph.D. (9)</w:t>
            </w:r>
          </w:p>
        </w:tc>
        <w:tc>
          <w:tcPr>
            <w:tcW w:w="1540" w:type="dxa"/>
            <w:vAlign w:val="bottom"/>
          </w:tcPr>
          <w:p>
            <w:pPr>
              <w:jc w:val="right"/>
              <w:spacing w:after="0"/>
              <w:rPr>
                <w:sz w:val="20"/>
                <w:szCs w:val="20"/>
                <w:color w:val="auto"/>
              </w:rPr>
            </w:pPr>
            <w:r>
              <w:rPr>
                <w:rFonts w:ascii="Arial" w:cs="Arial" w:eastAsia="Arial" w:hAnsi="Arial"/>
                <w:sz w:val="18"/>
                <w:szCs w:val="18"/>
                <w:color w:val="auto"/>
              </w:rPr>
              <w:t>76,666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Armando Anido (10)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Michael W. Dunne, M.D. (10)</w:t>
            </w:r>
          </w:p>
        </w:tc>
        <w:tc>
          <w:tcPr>
            <w:tcW w:w="1540" w:type="dxa"/>
            <w:vAlign w:val="bottom"/>
          </w:tcPr>
          <w:p>
            <w:pPr>
              <w:jc w:val="right"/>
              <w:spacing w:after="0"/>
              <w:rPr>
                <w:sz w:val="20"/>
                <w:szCs w:val="20"/>
                <w:color w:val="auto"/>
              </w:rPr>
            </w:pPr>
            <w:r>
              <w:rPr>
                <w:rFonts w:ascii="Arial" w:cs="Arial" w:eastAsia="Arial" w:hAnsi="Arial"/>
                <w:sz w:val="18"/>
                <w:szCs w:val="18"/>
                <w:color w:val="auto"/>
              </w:rPr>
              <w:t>43,100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All current executive officers and directors as a group (9 persons) (11)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3,528,863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4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02"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4" w:lineRule="exact"/>
        <w:rPr>
          <w:sz w:val="20"/>
          <w:szCs w:val="20"/>
          <w:color w:val="auto"/>
        </w:rPr>
      </w:pPr>
    </w:p>
    <w:p>
      <w:pPr>
        <w:jc w:val="both"/>
        <w:ind w:left="500" w:hanging="492"/>
        <w:spacing w:after="0" w:line="254" w:lineRule="auto"/>
        <w:tabs>
          <w:tab w:leader="none" w:pos="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solely upon information contained in a Schedule 13D filed with the SEC on June 19, 2017 by Landon T. Clay, Thomas M. Clay and East Hill Management, LLC as to ownership of shares of Aviragen common stock as of June 7, 2017. The address of each Landon T. Clay and East Hill Hedge Fund, LLC is c/o East Hill Management Company, LLC 70 Main Street, Suite 300, Peterborough, NH 03458. Landon T. Clay is the managing member of East Hill Management Company, LLC (“EHM”). EHM has six (6) investment advisory clients (the “Clients”), including East Hill Hedge Fund, LLC (“EHHF”) each of which own shares of Aviragen common stock. As a result of such relationships, Landon T. Clay may be deemed to beneficially own the shares held by Landon T. Clay 2009 Revocable Trust which Mr. Clay is a trustee of, shares held by EHM, shares held by the Clients shares held by Lavinia Clay, the spouse of Landon T. Clay.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1" w:name="page242"/>
    <w:bookmarkEnd w:id="24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500" w:hanging="492"/>
        <w:spacing w:after="0" w:line="262" w:lineRule="auto"/>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solely upon information contained in a Schedule 13F filed with the SEC on November 14, 2017 by Krensavage Asset Management as to ownership of the shares of Aviragen common stock as of September 30, 2017. The address of Krensavage Asset Management is 130 East 59th St, 11th Floor, New York, NY 10022.</w:t>
      </w:r>
    </w:p>
    <w:p>
      <w:pPr>
        <w:spacing w:after="0" w:line="183" w:lineRule="exact"/>
        <w:rPr>
          <w:rFonts w:ascii="Arial" w:cs="Arial" w:eastAsia="Arial" w:hAnsi="Arial"/>
          <w:sz w:val="18"/>
          <w:szCs w:val="18"/>
          <w:color w:val="auto"/>
        </w:rPr>
      </w:pPr>
    </w:p>
    <w:p>
      <w:pPr>
        <w:jc w:val="both"/>
        <w:ind w:left="500" w:hanging="492"/>
        <w:spacing w:after="0" w:line="274" w:lineRule="auto"/>
        <w:tabs>
          <w:tab w:leader="none" w:pos="5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solely upon information contained in a Schedule 13D filed with the SEC on November 9, 2017 by SC Fundamental as to ownership of Aviragen common stock as of November 7, 2017. The address of 747 Third Avenue, 27th Floor, New York, New York 10017. SC Fundamental, LLC (SCFLLC) is a New York limited liability company and is the general partner of SC Fundamental Value Fund, L.P., a Delaware limited partnership. Employee members of SCFLLC and SCFMLLC (SC Fund Management LLC) are Peter M. Collery, Neil H. Koffler, John T. Bird and David A. Hurwitz. SC Fund Management Profit Sharing Plan is also part of the beneficial ownership group.</w:t>
      </w:r>
    </w:p>
    <w:p>
      <w:pPr>
        <w:spacing w:after="0" w:line="176" w:lineRule="exact"/>
        <w:rPr>
          <w:rFonts w:ascii="Arial" w:cs="Arial" w:eastAsia="Arial" w:hAnsi="Arial"/>
          <w:sz w:val="17"/>
          <w:szCs w:val="17"/>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Includes (a) 126,128 shares owned directly and (b) 1,628,537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Includes (a) 203,213 shares owned directly and (b) 602,453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Includes (a) 7,000 shares owned directly and (b) 508,666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Includes (a) 35,000 shares owned directly and (b) 85,000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Represents 85,000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Represents 76,666 options exercisable within 60 days of December 7, 2017.</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Represents 43,100 options exercisable within 60 days of December 7, 2017.</w:t>
      </w:r>
    </w:p>
    <w:p>
      <w:pPr>
        <w:spacing w:after="0" w:line="223" w:lineRule="exact"/>
        <w:rPr>
          <w:rFonts w:ascii="Arial" w:cs="Arial" w:eastAsia="Arial" w:hAnsi="Arial"/>
          <w:sz w:val="18"/>
          <w:szCs w:val="18"/>
          <w:color w:val="auto"/>
        </w:rPr>
      </w:pPr>
    </w:p>
    <w:p>
      <w:pPr>
        <w:ind w:left="500" w:right="20" w:hanging="492"/>
        <w:spacing w:after="0" w:line="276" w:lineRule="auto"/>
        <w:tabs>
          <w:tab w:leader="none" w:pos="5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Represents for the current officers and directors as a group, (a) 371,341 shares owned directly as indicated above, and (b) 3,157,522 options exercisable within 60 days of December 7,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2" w:name="page243"/>
    <w:bookmarkEnd w:id="24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 OF VAXART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Vaxart common stock as of December 31, 2017 by:</w:t>
      </w:r>
    </w:p>
    <w:p>
      <w:pPr>
        <w:spacing w:after="0" w:line="224" w:lineRule="exact"/>
        <w:rPr>
          <w:sz w:val="20"/>
          <w:szCs w:val="20"/>
          <w:color w:val="auto"/>
        </w:rPr>
      </w:pPr>
    </w:p>
    <w:p>
      <w:pPr>
        <w:ind w:left="660" w:hanging="329"/>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person, entity or group of affiliated persons, known by Vaxart to beneficially own more than 5% of its common stock;</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of Vaxart’s named executive officers;</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of Vaxart’s directors;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of Vaxart’s executive officers and directors as a group.</w:t>
      </w:r>
    </w:p>
    <w:p>
      <w:pPr>
        <w:spacing w:after="0" w:line="2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percentage of shares beneficially owned is based on 67,525,074 shares of common stock outstanding as of December 31, 2017, after giving effect to the conversion of all outstanding shares of preferred stock into common stock immediately prior to the closing of this merger, but it excludes: (1) the accrued cumulative dividend on Vaxart’s Series B Preferred Stock and Series C Preferred Stock payable in shares of Vaxart common stock upon the conversion of the Series B Preferred and Series C Preferred Stock and (2) the conversion of the outstanding principal and accrued interest on the unsecured subordinated convertible notes into shares of Vaxart common stock.</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exercisable within 60 days of December 31, 2017. Shares of Vaxart common stock issuable pursuant to stock options are deemed outstanding for computing the percentage of the person holding such options and the percentage of any group of which the person is a member but are not deemed outstanding for computing the percentage of any other person. Except as indicated by the footnotes below, Vaxart believes, based on the information furnished to it,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66"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Vaxart, Inc., 385 Oyster Point Blvd., Suite 9A, South San Francisco, California 94080.</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3360" w:type="dxa"/>
            <w:vAlign w:val="bottom"/>
            <w:gridSpan w:val="4"/>
          </w:tcPr>
          <w:p>
            <w:pPr>
              <w:ind w:left="800"/>
              <w:spacing w:after="0"/>
              <w:rPr>
                <w:sz w:val="20"/>
                <w:szCs w:val="20"/>
                <w:color w:val="auto"/>
              </w:rPr>
            </w:pPr>
            <w:r>
              <w:rPr>
                <w:rFonts w:ascii="Arial" w:cs="Arial" w:eastAsia="Arial" w:hAnsi="Arial"/>
                <w:sz w:val="18"/>
                <w:szCs w:val="18"/>
                <w:b w:val="1"/>
                <w:bCs w:val="1"/>
                <w:color w:val="auto"/>
              </w:rPr>
              <w:t>Beneficial Ownership</w:t>
            </w:r>
          </w:p>
        </w:tc>
        <w:tc>
          <w:tcPr>
            <w:tcW w:w="0" w:type="dxa"/>
            <w:vAlign w:val="bottom"/>
          </w:tcPr>
          <w:p>
            <w:pPr>
              <w:spacing w:after="0"/>
              <w:rPr>
                <w:sz w:val="1"/>
                <w:szCs w:val="1"/>
                <w:color w:val="auto"/>
              </w:rPr>
            </w:pPr>
          </w:p>
        </w:tc>
      </w:tr>
      <w:tr>
        <w:trPr>
          <w:trHeight w:val="209"/>
        </w:trPr>
        <w:tc>
          <w:tcPr>
            <w:tcW w:w="5780" w:type="dxa"/>
            <w:vAlign w:val="bottom"/>
            <w:gridSpan w:val="3"/>
            <w:vMerge w:val="continue"/>
          </w:tcPr>
          <w:p>
            <w:pPr>
              <w:spacing w:after="0"/>
              <w:rPr>
                <w:sz w:val="18"/>
                <w:szCs w:val="18"/>
                <w:color w:val="auto"/>
              </w:rPr>
            </w:pPr>
          </w:p>
        </w:tc>
        <w:tc>
          <w:tcPr>
            <w:tcW w:w="15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7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Greater than 5% Stockholders:</w:t>
            </w: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tcPr>
          <w:p>
            <w:pPr>
              <w:ind w:left="280"/>
              <w:spacing w:after="0" w:line="256" w:lineRule="exact"/>
              <w:rPr>
                <w:sz w:val="20"/>
                <w:szCs w:val="20"/>
                <w:color w:val="auto"/>
              </w:rPr>
            </w:pPr>
            <w:r>
              <w:rPr>
                <w:rFonts w:ascii="Arial" w:cs="Arial" w:eastAsia="Arial" w:hAnsi="Arial"/>
                <w:sz w:val="18"/>
                <w:szCs w:val="18"/>
                <w:color w:val="auto"/>
              </w:rPr>
              <w:t xml:space="preserve">Entities affiliated with Care Capital </w:t>
            </w:r>
            <w:r>
              <w:rPr>
                <w:rFonts w:ascii="Arial" w:cs="Arial" w:eastAsia="Arial" w:hAnsi="Arial"/>
                <w:sz w:val="29"/>
                <w:szCs w:val="29"/>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45,067,660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shd w:val="clear" w:color="auto" w:fill="CCEEFF"/>
          </w:tcPr>
          <w:p>
            <w:pPr>
              <w:ind w:left="300"/>
              <w:spacing w:after="0" w:line="256" w:lineRule="exact"/>
              <w:rPr>
                <w:sz w:val="20"/>
                <w:szCs w:val="20"/>
                <w:color w:val="auto"/>
              </w:rPr>
            </w:pPr>
            <w:r>
              <w:rPr>
                <w:rFonts w:ascii="Arial" w:cs="Arial" w:eastAsia="Arial" w:hAnsi="Arial"/>
                <w:sz w:val="18"/>
                <w:szCs w:val="18"/>
                <w:color w:val="auto"/>
              </w:rPr>
              <w:t xml:space="preserve">Life Science Angel Investors III, LLC </w:t>
            </w:r>
            <w:r>
              <w:rPr>
                <w:rFonts w:ascii="Arial" w:cs="Arial" w:eastAsia="Arial" w:hAnsi="Arial"/>
                <w:sz w:val="29"/>
                <w:szCs w:val="29"/>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3,894,081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tcPr>
          <w:p>
            <w:pPr>
              <w:ind w:left="300"/>
              <w:spacing w:after="0" w:line="256" w:lineRule="exact"/>
              <w:rPr>
                <w:sz w:val="20"/>
                <w:szCs w:val="20"/>
                <w:color w:val="auto"/>
              </w:rPr>
            </w:pPr>
            <w:r>
              <w:rPr>
                <w:rFonts w:ascii="Arial" w:cs="Arial" w:eastAsia="Arial" w:hAnsi="Arial"/>
                <w:sz w:val="18"/>
                <w:szCs w:val="18"/>
                <w:color w:val="auto"/>
              </w:rPr>
              <w:t xml:space="preserve">Michael J. Finney, Ph.D. </w:t>
            </w:r>
            <w:r>
              <w:rPr>
                <w:rFonts w:ascii="Arial" w:cs="Arial" w:eastAsia="Arial" w:hAnsi="Arial"/>
                <w:sz w:val="29"/>
                <w:szCs w:val="29"/>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5,127,602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shd w:val="clear" w:color="auto" w:fill="CCEEFF"/>
          </w:tcPr>
          <w:p>
            <w:pPr>
              <w:ind w:left="300"/>
              <w:spacing w:after="0" w:line="256" w:lineRule="exact"/>
              <w:rPr>
                <w:sz w:val="20"/>
                <w:szCs w:val="20"/>
                <w:color w:val="auto"/>
              </w:rPr>
            </w:pPr>
            <w:r>
              <w:rPr>
                <w:rFonts w:ascii="Arial" w:cs="Arial" w:eastAsia="Arial" w:hAnsi="Arial"/>
                <w:sz w:val="18"/>
                <w:szCs w:val="18"/>
                <w:color w:val="auto"/>
              </w:rPr>
              <w:t xml:space="preserve">Sean N. Tucker, Ph.D. </w:t>
            </w:r>
            <w:r>
              <w:rPr>
                <w:rFonts w:ascii="Arial" w:cs="Arial" w:eastAsia="Arial" w:hAnsi="Arial"/>
                <w:sz w:val="29"/>
                <w:szCs w:val="29"/>
                <w:color w:val="auto"/>
                <w:vertAlign w:val="superscript"/>
              </w:rPr>
              <w:t>(4)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FF00FF"/>
              </w:rPr>
              <w:t>5,671,340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Named Executive Officers and Directors: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shd w:val="clear" w:color="auto" w:fill="CCEEFF"/>
          </w:tcPr>
          <w:p>
            <w:pPr>
              <w:ind w:left="300"/>
              <w:spacing w:after="0" w:line="256" w:lineRule="exact"/>
              <w:rPr>
                <w:sz w:val="20"/>
                <w:szCs w:val="20"/>
                <w:color w:val="auto"/>
              </w:rPr>
            </w:pPr>
            <w:r>
              <w:rPr>
                <w:rFonts w:ascii="Arial" w:cs="Arial" w:eastAsia="Arial" w:hAnsi="Arial"/>
                <w:sz w:val="18"/>
                <w:szCs w:val="18"/>
                <w:color w:val="auto"/>
              </w:rPr>
              <w:t xml:space="preserve">Wouter W. Latour, M.D. </w:t>
            </w:r>
            <w:r>
              <w:rPr>
                <w:rFonts w:ascii="Arial" w:cs="Arial" w:eastAsia="Arial" w:hAnsi="Arial"/>
                <w:sz w:val="29"/>
                <w:szCs w:val="29"/>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2,910,828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tcPr>
          <w:p>
            <w:pPr>
              <w:ind w:left="300"/>
              <w:spacing w:after="0" w:line="256" w:lineRule="exact"/>
              <w:rPr>
                <w:sz w:val="20"/>
                <w:szCs w:val="20"/>
                <w:color w:val="auto"/>
              </w:rPr>
            </w:pPr>
            <w:r>
              <w:rPr>
                <w:rFonts w:ascii="Arial" w:cs="Arial" w:eastAsia="Arial" w:hAnsi="Arial"/>
                <w:sz w:val="18"/>
                <w:szCs w:val="18"/>
                <w:color w:val="auto"/>
              </w:rPr>
              <w:t xml:space="preserve">Jan Leschly </w:t>
            </w:r>
            <w:r>
              <w:rPr>
                <w:rFonts w:ascii="Arial" w:cs="Arial" w:eastAsia="Arial" w:hAnsi="Arial"/>
                <w:sz w:val="29"/>
                <w:szCs w:val="29"/>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45,067,660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shd w:val="clear" w:color="auto" w:fill="CCEEFF"/>
          </w:tcPr>
          <w:p>
            <w:pPr>
              <w:ind w:left="300"/>
              <w:spacing w:after="0" w:line="256" w:lineRule="exact"/>
              <w:rPr>
                <w:sz w:val="20"/>
                <w:szCs w:val="20"/>
                <w:color w:val="auto"/>
              </w:rPr>
            </w:pPr>
            <w:r>
              <w:rPr>
                <w:rFonts w:ascii="Arial" w:cs="Arial" w:eastAsia="Arial" w:hAnsi="Arial"/>
                <w:sz w:val="18"/>
                <w:szCs w:val="18"/>
                <w:color w:val="auto"/>
              </w:rPr>
              <w:t xml:space="preserve">David Liebowitz, M.D., Ph.D. </w:t>
            </w:r>
            <w:r>
              <w:rPr>
                <w:rFonts w:ascii="Arial" w:cs="Arial" w:eastAsia="Arial" w:hAnsi="Arial"/>
                <w:sz w:val="29"/>
                <w:szCs w:val="29"/>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1,110,519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tcPr>
          <w:p>
            <w:pPr>
              <w:ind w:left="300"/>
              <w:spacing w:after="0" w:line="256" w:lineRule="exact"/>
              <w:rPr>
                <w:sz w:val="20"/>
                <w:szCs w:val="20"/>
                <w:color w:val="auto"/>
              </w:rPr>
            </w:pPr>
            <w:r>
              <w:rPr>
                <w:rFonts w:ascii="Arial" w:cs="Arial" w:eastAsia="Arial" w:hAnsi="Arial"/>
                <w:sz w:val="18"/>
                <w:szCs w:val="18"/>
                <w:color w:val="auto"/>
              </w:rPr>
              <w:t xml:space="preserve">Richard J. Markham </w:t>
            </w:r>
            <w:r>
              <w:rPr>
                <w:rFonts w:ascii="Arial" w:cs="Arial" w:eastAsia="Arial" w:hAnsi="Arial"/>
                <w:sz w:val="29"/>
                <w:szCs w:val="29"/>
                <w:color w:val="auto"/>
                <w:vertAlign w:val="superscript"/>
              </w:rPr>
              <w:t>(8)</w:t>
            </w:r>
          </w:p>
        </w:tc>
        <w:tc>
          <w:tcPr>
            <w:tcW w:w="1560" w:type="dxa"/>
            <w:vAlign w:val="bottom"/>
          </w:tcPr>
          <w:p>
            <w:pPr>
              <w:jc w:val="right"/>
              <w:spacing w:after="0"/>
              <w:rPr>
                <w:sz w:val="20"/>
                <w:szCs w:val="20"/>
                <w:color w:val="auto"/>
              </w:rPr>
            </w:pPr>
            <w:r>
              <w:rPr>
                <w:rFonts w:ascii="Arial" w:cs="Arial" w:eastAsia="Arial" w:hAnsi="Arial"/>
                <w:sz w:val="18"/>
                <w:szCs w:val="18"/>
                <w:color w:val="auto"/>
              </w:rPr>
              <w:t>45,067,660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60" w:type="dxa"/>
            <w:vAlign w:val="bottom"/>
            <w:gridSpan w:val="2"/>
            <w:shd w:val="clear" w:color="auto" w:fill="CCEEFF"/>
          </w:tcPr>
          <w:p>
            <w:pPr>
              <w:ind w:left="300"/>
              <w:spacing w:after="0" w:line="256" w:lineRule="exact"/>
              <w:rPr>
                <w:sz w:val="20"/>
                <w:szCs w:val="20"/>
                <w:color w:val="auto"/>
              </w:rPr>
            </w:pPr>
            <w:r>
              <w:rPr>
                <w:rFonts w:ascii="Arial" w:cs="Arial" w:eastAsia="Arial" w:hAnsi="Arial"/>
                <w:sz w:val="18"/>
                <w:szCs w:val="18"/>
                <w:color w:val="auto"/>
              </w:rPr>
              <w:t xml:space="preserve">John M. Harland </w:t>
            </w:r>
            <w:r>
              <w:rPr>
                <w:rFonts w:ascii="Arial" w:cs="Arial" w:eastAsia="Arial" w:hAnsi="Arial"/>
                <w:sz w:val="29"/>
                <w:szCs w:val="29"/>
                <w:color w:val="auto"/>
                <w:vertAlign w:val="superscript"/>
              </w:rPr>
              <w:t>(9)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790,374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w w:val="98"/>
              </w:rPr>
              <w:t>All current executive officers and directors as a group (7 persons)</w:t>
            </w:r>
            <w:r>
              <w:rPr>
                <w:rFonts w:ascii="Arial" w:cs="Arial" w:eastAsia="Arial" w:hAnsi="Arial"/>
                <w:sz w:val="29"/>
                <w:szCs w:val="29"/>
                <w:color w:val="auto"/>
                <w:w w:val="98"/>
                <w:vertAlign w:val="superscript"/>
              </w:rPr>
              <w:t>(10)</w:t>
            </w:r>
          </w:p>
        </w:tc>
        <w:tc>
          <w:tcPr>
            <w:tcW w:w="1560" w:type="dxa"/>
            <w:vAlign w:val="bottom"/>
          </w:tcPr>
          <w:p>
            <w:pPr>
              <w:jc w:val="right"/>
              <w:spacing w:after="0"/>
              <w:rPr>
                <w:sz w:val="20"/>
                <w:szCs w:val="20"/>
                <w:color w:val="auto"/>
              </w:rPr>
            </w:pPr>
            <w:r>
              <w:rPr>
                <w:rFonts w:ascii="Arial" w:cs="Arial" w:eastAsia="Arial" w:hAnsi="Arial"/>
                <w:sz w:val="18"/>
                <w:szCs w:val="18"/>
                <w:color w:val="auto"/>
              </w:rPr>
              <w:t>60,113,721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64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84" w:lineRule="exact"/>
        <w:rPr>
          <w:sz w:val="20"/>
          <w:szCs w:val="20"/>
          <w:color w:val="auto"/>
        </w:rPr>
      </w:pPr>
    </w:p>
    <w:p>
      <w:pPr>
        <w:jc w:val="both"/>
        <w:ind w:left="500" w:hanging="492"/>
        <w:spacing w:after="0" w:line="285" w:lineRule="auto"/>
        <w:tabs>
          <w:tab w:leader="none" w:pos="5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Includes (a) 44,327,381 shares held by Care Capital Investments III, LP and (b) 740,279 shares held by Care Capital Offshore Investments III, LP. Mr. Leschly, a member of the Vaxart board of directors, is the Chairman and Managing Partner of Care Capital. Mr. Markham, a member of the Vaxart board of directors, is a partner of Care Capital. The address for each of these entities is P.O. Box 792 Pennington, New Jersey 08534.</w:t>
      </w:r>
    </w:p>
    <w:p>
      <w:pPr>
        <w:spacing w:after="0" w:line="164" w:lineRule="exact"/>
        <w:rPr>
          <w:rFonts w:ascii="Arial" w:cs="Arial" w:eastAsia="Arial" w:hAnsi="Arial"/>
          <w:sz w:val="17"/>
          <w:szCs w:val="17"/>
          <w:color w:val="auto"/>
        </w:rPr>
      </w:pPr>
    </w:p>
    <w:p>
      <w:pPr>
        <w:ind w:left="500" w:hanging="492"/>
        <w:spacing w:after="0"/>
        <w:tabs>
          <w:tab w:leader="none" w:pos="5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address for Life Science Angel Investors III, LLC is 1230 Bordeux Drive, Sunnyvale, California 94089.</w:t>
      </w:r>
    </w:p>
    <w:p>
      <w:pPr>
        <w:spacing w:after="0" w:line="223" w:lineRule="exact"/>
        <w:rPr>
          <w:rFonts w:ascii="Arial" w:cs="Arial" w:eastAsia="Arial" w:hAnsi="Arial"/>
          <w:sz w:val="18"/>
          <w:szCs w:val="18"/>
          <w:color w:val="auto"/>
        </w:rPr>
      </w:pPr>
    </w:p>
    <w:p>
      <w:pPr>
        <w:ind w:left="500" w:hanging="492"/>
        <w:spacing w:after="0"/>
        <w:tabs>
          <w:tab w:leader="none" w:pos="5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Dr. Finney is also a member of the board of directors of Vaxart.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3" w:name="page244"/>
    <w:bookmarkEnd w:id="24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500" w:hanging="492"/>
        <w:spacing w:after="0" w:line="262" w:lineRule="auto"/>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Includes (a) 2,138,620 shares held directly by Dr. Tucker, (b) 450,000 shares held by Frances Chang, Sean Tucker’s wife, 1,063,242 shares held in a joint trust with Sean Tucker and Frances Chang, and (c) 2,019,478 shares issuable pursuant to stock options exercisable within 60 days of December 31, 2017. Dr. Tucker is the Chief Scientific Officer of Vaxart.</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Represents 2,910,828 shares issuable pursuant to stock options exercisable within 60 days of December 31, 2017.</w:t>
      </w:r>
    </w:p>
    <w:p>
      <w:pPr>
        <w:spacing w:after="0" w:line="223"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Mr. Leschly, a member of the Vaxart board of directors, is the Chairman and Managing Partner of Care Capital. See footnote (1). Mr. Leschly disclaims beneficial ownership of the shares held by Care Capital except to the extent of his pecuniary interest therein.</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Represents 1,110,519 shares issuable pursuant to stock options exercisable within 60 days of December 31, 2017.</w:t>
      </w:r>
    </w:p>
    <w:p>
      <w:pPr>
        <w:spacing w:after="0" w:line="223"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Mr. Markham, a member of the Vaxart board of directors, is a partner of Care Capital. See footnote (1). Mr. Markham disclaims beneficial ownership of the shares held by Care Capital except to the extent of his pecuniary interest therein.</w:t>
      </w:r>
    </w:p>
    <w:p>
      <w:pPr>
        <w:spacing w:after="0" w:line="169" w:lineRule="exact"/>
        <w:rPr>
          <w:rFonts w:ascii="Arial" w:cs="Arial" w:eastAsia="Arial" w:hAnsi="Arial"/>
          <w:sz w:val="18"/>
          <w:szCs w:val="18"/>
          <w:color w:val="auto"/>
        </w:rPr>
      </w:pPr>
    </w:p>
    <w:p>
      <w:pPr>
        <w:ind w:left="500" w:hanging="492"/>
        <w:spacing w:after="0"/>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Represents 790,374 shares issuable pursuant to stock options exercisable within 60 days of December 31, 2017.</w:t>
      </w:r>
    </w:p>
    <w:p>
      <w:pPr>
        <w:spacing w:after="0" w:line="223"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Includes (a) 53,282,522 shares held by Vaxart’s directors, executive officers and their affiliates, and (b) 6,831,199 shares issuable pursuant to stock options exercisable within 60 days of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4" w:name="page245"/>
    <w:bookmarkEnd w:id="24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 OF THE COMBINED COMPANY</w:t>
      </w:r>
    </w:p>
    <w:p>
      <w:pPr>
        <w:spacing w:after="0" w:line="228"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i w:val="1"/>
          <w:iCs w:val="1"/>
          <w:color w:val="auto"/>
        </w:rPr>
        <w:t>Except where specifically noted, the following information and all other information contained in this proxy statement/prospectus/information statement do not give effect to the reverse stock split described in the Reverse Stock Split Proposal.</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sets forth information with respect to the beneficial ownership of the combined company’s common stock immediately after the closing of the merger, assuming the closing of the merger occurs on February 7, 2018 by:</w:t>
      </w:r>
    </w:p>
    <w:p>
      <w:pPr>
        <w:spacing w:after="0" w:line="170" w:lineRule="exact"/>
        <w:rPr>
          <w:sz w:val="20"/>
          <w:szCs w:val="20"/>
          <w:color w:val="auto"/>
        </w:rPr>
      </w:pPr>
    </w:p>
    <w:p>
      <w:pPr>
        <w:ind w:left="660" w:right="360" w:hanging="329"/>
        <w:spacing w:after="0" w:line="276"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person, or group of affiliated persons, expected by Aviragen and Vaxart to become the beneficial owner of more than 5% of the outstanding common stock of the combined company;</w:t>
      </w:r>
    </w:p>
    <w:p>
      <w:pPr>
        <w:spacing w:after="0" w:line="169" w:lineRule="exact"/>
        <w:rPr>
          <w:rFonts w:ascii="Arial" w:cs="Arial" w:eastAsia="Arial" w:hAnsi="Arial"/>
          <w:sz w:val="18"/>
          <w:szCs w:val="18"/>
          <w:color w:val="auto"/>
        </w:rPr>
      </w:pPr>
    </w:p>
    <w:p>
      <w:pPr>
        <w:ind w:left="660" w:hanging="32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executive officer and director of the combined company; and</w:t>
      </w:r>
    </w:p>
    <w:p>
      <w:pPr>
        <w:spacing w:after="0" w:line="223" w:lineRule="exact"/>
        <w:rPr>
          <w:rFonts w:ascii="Arial" w:cs="Arial" w:eastAsia="Arial" w:hAnsi="Arial"/>
          <w:sz w:val="18"/>
          <w:szCs w:val="18"/>
          <w:color w:val="auto"/>
        </w:rPr>
      </w:pPr>
    </w:p>
    <w:p>
      <w:pPr>
        <w:ind w:left="660" w:hanging="329"/>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of the combined company’s executive officers and directors as a group.</w:t>
      </w:r>
    </w:p>
    <w:p>
      <w:pPr>
        <w:spacing w:after="0" w:line="2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exercisable within 60 days of February 7, 2018. Shares of common stock issuable pursuant to stock options are deemed outstanding for computing the percentage of the person holding such options and the percentage of any group of which the person is a member but are not deemed outstanding for computing the percentage of any other person. Except as indicated by the footnotes below, the combined company believes, based on the information furnished to it,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66" w:lineRule="exact"/>
        <w:rPr>
          <w:sz w:val="20"/>
          <w:szCs w:val="20"/>
          <w:color w:val="auto"/>
        </w:rPr>
      </w:pPr>
    </w:p>
    <w:p>
      <w:pPr>
        <w:jc w:val="both"/>
        <w:ind w:right="480"/>
        <w:spacing w:after="0" w:line="310" w:lineRule="auto"/>
        <w:rPr>
          <w:sz w:val="20"/>
          <w:szCs w:val="20"/>
          <w:color w:val="auto"/>
        </w:rPr>
      </w:pPr>
      <w:r>
        <w:rPr>
          <w:rFonts w:ascii="Arial" w:cs="Arial" w:eastAsia="Arial" w:hAnsi="Arial"/>
          <w:sz w:val="16"/>
          <w:szCs w:val="16"/>
          <w:color w:val="auto"/>
        </w:rPr>
        <w:t>The percentage of shares beneficially owned is based on 97,735,856 shares of common stock expected to be outstanding upon the closing of the merger, excluding the effect of the reserve stock split, if approved, adjusted as required by the rules promulgated by the SEC to determine beneficial ownership. Neither Aviragen nor Vaxart know of any arrangements, including any pledge by any person of securities of the combined company.</w:t>
      </w:r>
    </w:p>
    <w:p>
      <w:pPr>
        <w:spacing w:after="0" w:line="1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Immediately after the closing of the merger, based on the exchange ratio, Vaxart stockholders, warrantholders and optionholders will own approximately 60% of the fully-diluted common stock of the combined companies with Aviragen stockholders and optionholders holding approximately 40% of the fully-diluted common stock of the combined company. The following table and the related notes assume that, at the Effective Time, each share of Vaxart common stock will convert into the right to receive approximately 0.3198 shares of Aviragen common stock based on the closing price of $0.59 of Aviragen common stock of December 19, 2017 and to account for the occurrence of certain events discussed elsewhere in this proxy statement/prospectus/information statement. The estimated exchange ratio calculation used herein is based upon Aviragen's and Vaxart's capitalization immediately prior to the date of this proxy statement/prospectus/information statement, and will be adjusted to account for the issuance of any additional shares of Aviragen and Vaxant's common stock prior to the closing of the merger. See "The Merger Agreement—Merger Consideration" for more information regarding the exchange ratio.</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Except as indicated in footnotes to this table, Aviragen and Vaxart believe that the stockholders named in this table have sole voting and investment power with respect to all shares of common stock of the combined company shown as beneficially owned by them, based on information provided to Aviragen and Vaxart by such stockholders and subject to community property laws where applicable.</w:t>
      </w:r>
    </w:p>
    <w:p>
      <w:pPr>
        <w:spacing w:after="0" w:line="183"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Vaxart, Inc., 385 Oyster Point Blvd., Suite 9A, South San Francisco, California 94080.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5" w:name="page246"/>
    <w:bookmarkEnd w:id="24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7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3340" w:type="dxa"/>
            <w:vAlign w:val="bottom"/>
            <w:gridSpan w:val="4"/>
          </w:tcPr>
          <w:p>
            <w:pPr>
              <w:ind w:left="680"/>
              <w:spacing w:after="0"/>
              <w:rPr>
                <w:sz w:val="20"/>
                <w:szCs w:val="20"/>
                <w:color w:val="auto"/>
              </w:rPr>
            </w:pPr>
            <w:r>
              <w:rPr>
                <w:rFonts w:ascii="Arial" w:cs="Arial" w:eastAsia="Arial" w:hAnsi="Arial"/>
                <w:sz w:val="18"/>
                <w:szCs w:val="18"/>
                <w:b w:val="1"/>
                <w:bCs w:val="1"/>
                <w:color w:val="auto"/>
              </w:rPr>
              <w:t xml:space="preserve">Beneficial Ownership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9"/>
        </w:trPr>
        <w:tc>
          <w:tcPr>
            <w:tcW w:w="7500" w:type="dxa"/>
            <w:vAlign w:val="bottom"/>
            <w:gridSpan w:val="3"/>
            <w:vMerge w:val="continue"/>
          </w:tcPr>
          <w:p>
            <w:pPr>
              <w:spacing w:after="0"/>
              <w:rPr>
                <w:sz w:val="18"/>
                <w:szCs w:val="18"/>
                <w:color w:val="auto"/>
              </w:rPr>
            </w:pPr>
          </w:p>
        </w:tc>
        <w:tc>
          <w:tcPr>
            <w:tcW w:w="1720" w:type="dxa"/>
            <w:vAlign w:val="bottom"/>
            <w:tcBorders>
              <w:top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Shares</w:t>
            </w:r>
          </w:p>
        </w:tc>
        <w:tc>
          <w:tcPr>
            <w:tcW w:w="15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Greater than 5% Stockholders:</w:t>
            </w:r>
          </w:p>
        </w:tc>
        <w:tc>
          <w:tcPr>
            <w:tcW w:w="1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Entities affiliated with Care Capital </w:t>
            </w:r>
            <w:r>
              <w:rPr>
                <w:rFonts w:ascii="Arial" w:cs="Arial" w:eastAsia="Arial" w:hAnsi="Arial"/>
                <w:sz w:val="29"/>
                <w:szCs w:val="29"/>
                <w:color w:val="auto"/>
                <w:vertAlign w:val="superscript"/>
              </w:rPr>
              <w:t>(2)</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44,397,365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Geoffrey F. Cox, Ph.D. </w:t>
            </w:r>
            <w:r>
              <w:rPr>
                <w:rFonts w:ascii="Arial" w:cs="Arial" w:eastAsia="Arial" w:hAnsi="Arial"/>
                <w:sz w:val="29"/>
                <w:szCs w:val="29"/>
                <w:color w:val="auto"/>
                <w:vertAlign w:val="superscript"/>
              </w:rPr>
              <w:t>(3)</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76,666</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Michael J. Finney, Ph.D. </w:t>
            </w:r>
            <w:r>
              <w:rPr>
                <w:rFonts w:ascii="Arial" w:cs="Arial" w:eastAsia="Arial" w:hAnsi="Arial"/>
                <w:sz w:val="29"/>
                <w:szCs w:val="29"/>
                <w:color w:val="auto"/>
                <w:vertAlign w:val="superscript"/>
              </w:rPr>
              <w:t>(4)</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3,631,989</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John M. Harland </w:t>
            </w:r>
            <w:r>
              <w:rPr>
                <w:rFonts w:ascii="Arial" w:cs="Arial" w:eastAsia="Arial" w:hAnsi="Arial"/>
                <w:sz w:val="29"/>
                <w:szCs w:val="29"/>
                <w:color w:val="auto"/>
                <w:vertAlign w:val="superscript"/>
              </w:rPr>
              <w:t>(5)</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21,670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Jan Leschly </w:t>
            </w:r>
            <w:r>
              <w:rPr>
                <w:rFonts w:ascii="Arial" w:cs="Arial" w:eastAsia="Arial" w:hAnsi="Arial"/>
                <w:sz w:val="29"/>
                <w:szCs w:val="29"/>
                <w:color w:val="auto"/>
                <w:vertAlign w:val="superscript"/>
              </w:rPr>
              <w:t>(6)</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44,397,365</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Wouter W. Latour, M.D. </w:t>
            </w:r>
            <w:r>
              <w:rPr>
                <w:rFonts w:ascii="Arial" w:cs="Arial" w:eastAsia="Arial" w:hAnsi="Arial"/>
                <w:sz w:val="29"/>
                <w:szCs w:val="29"/>
                <w:color w:val="auto"/>
                <w:vertAlign w:val="superscript"/>
              </w:rPr>
              <w:t>(7)</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136,405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David Liebowitz, M.D., Ph.D. </w:t>
            </w:r>
            <w:r>
              <w:rPr>
                <w:rFonts w:ascii="Arial" w:cs="Arial" w:eastAsia="Arial" w:hAnsi="Arial"/>
                <w:sz w:val="29"/>
                <w:szCs w:val="29"/>
                <w:color w:val="auto"/>
                <w:vertAlign w:val="superscript"/>
              </w:rPr>
              <w:t>(8)</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42,125</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Richard J. Markham </w:t>
            </w:r>
            <w:r>
              <w:rPr>
                <w:rFonts w:ascii="Arial" w:cs="Arial" w:eastAsia="Arial" w:hAnsi="Arial"/>
                <w:sz w:val="29"/>
                <w:szCs w:val="29"/>
                <w:color w:val="auto"/>
                <w:vertAlign w:val="superscript"/>
              </w:rPr>
              <w:t>(9)</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44,397,365</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John P. Richard </w:t>
            </w:r>
            <w:r>
              <w:rPr>
                <w:rFonts w:ascii="Arial" w:cs="Arial" w:eastAsia="Arial" w:hAnsi="Arial"/>
                <w:sz w:val="29"/>
                <w:szCs w:val="29"/>
                <w:color w:val="auto"/>
                <w:vertAlign w:val="superscript"/>
              </w:rPr>
              <w:t>(10)</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tcPr>
          <w:p>
            <w:pPr>
              <w:ind w:left="320"/>
              <w:spacing w:after="0" w:line="256" w:lineRule="exact"/>
              <w:rPr>
                <w:sz w:val="20"/>
                <w:szCs w:val="20"/>
                <w:color w:val="auto"/>
              </w:rPr>
            </w:pPr>
            <w:r>
              <w:rPr>
                <w:rFonts w:ascii="Arial" w:cs="Arial" w:eastAsia="Arial" w:hAnsi="Arial"/>
                <w:sz w:val="18"/>
                <w:szCs w:val="18"/>
                <w:color w:val="auto"/>
              </w:rPr>
              <w:t xml:space="preserve">Sean N. Tucker, Ph.D. </w:t>
            </w:r>
            <w:r>
              <w:rPr>
                <w:rFonts w:ascii="Arial" w:cs="Arial" w:eastAsia="Arial" w:hAnsi="Arial"/>
                <w:sz w:val="29"/>
                <w:szCs w:val="29"/>
                <w:color w:val="auto"/>
                <w:vertAlign w:val="superscript"/>
              </w:rPr>
              <w:t>(11)</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1,391,212</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gridSpan w:val="2"/>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Anne M. VanLent </w:t>
            </w:r>
            <w:r>
              <w:rPr>
                <w:rFonts w:ascii="Arial" w:cs="Arial" w:eastAsia="Arial" w:hAnsi="Arial"/>
                <w:sz w:val="29"/>
                <w:szCs w:val="29"/>
                <w:color w:val="auto"/>
                <w:vertAlign w:val="superscript"/>
              </w:rPr>
              <w:t>(12)</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All executive officers and directors as a group (10 persons)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49,880,763</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64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329" w:lineRule="exact"/>
        <w:rPr>
          <w:sz w:val="20"/>
          <w:szCs w:val="20"/>
          <w:color w:val="auto"/>
        </w:rPr>
      </w:pPr>
    </w:p>
    <w:p>
      <w:pPr>
        <w:ind w:left="320" w:hanging="312"/>
        <w:spacing w:after="0"/>
        <w:tabs>
          <w:tab w:leader="none" w:pos="3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24" w:lineRule="exact"/>
        <w:rPr>
          <w:sz w:val="20"/>
          <w:szCs w:val="20"/>
          <w:color w:val="auto"/>
        </w:rPr>
      </w:pPr>
    </w:p>
    <w:p>
      <w:pPr>
        <w:ind w:left="660" w:right="160" w:hanging="652"/>
        <w:spacing w:after="0" w:line="289"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number of shares for each beneficial owner includes: (a) the conversion of all outstanding shares of Vaxart’s Series A Preferred Stock, Series B Preferred Stock and Series C Preferred Stock into shares of Aviragen common stock, (b) the accrued cumulative dividend on Vaxart’s Series B Preferred Stock and Series C Preferred Stock payable in shares of Vaxart common stock upon the conversion of the Series B Preferred Stock and Series C Preferred Stock , (c) the conversion of Vaxart’s outstanding principal and accrued interest on the unsecured subordinated convertible notes into shares of Vaxart common stock and (d) the adjustment to the conversion ratios for Vaxart’s Series A Preferred Stock, Series B Preferred Stock and Series C Preferred Stock based on an anti-dilution adjustment, which will take effect immediately prior to the closing of the merger. See the sections titled "Market Price and Dividend Information—Dividend Policy," "The Merger Agreement—Treatment of Vaxart Stock Options and Warrant" and "The Merger—Interests of the Vaxart Directors and Executive Officers in the Merger" for more information.</w:t>
      </w:r>
    </w:p>
    <w:p>
      <w:pPr>
        <w:spacing w:after="0" w:line="165" w:lineRule="exact"/>
        <w:rPr>
          <w:rFonts w:ascii="Arial" w:cs="Arial" w:eastAsia="Arial" w:hAnsi="Arial"/>
          <w:sz w:val="16"/>
          <w:szCs w:val="16"/>
          <w:color w:val="auto"/>
        </w:rPr>
      </w:pPr>
    </w:p>
    <w:p>
      <w:pPr>
        <w:ind w:left="660" w:hanging="652"/>
        <w:spacing w:after="0" w:line="295"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Includes (a) 44,327,381 shares held by Care Capital Investments III, LP and (b) 740,279 shares held by Care Capital Offshore Investments III, LP. The number of shares beneficially owned after this offering assumes the issuance of an aggregate of 6,647,113 shares of common stock in payment of cumulative accrued dividends and the issuance of 21,177,994 shares of common stock upon the conversion of convertible promissory notes. Mr. Leschly, a member of the Vaxart board of directors, is the Chairman and Managing Partner of Care Capital. Mr. Markham, a member of the Vaxart board of directors, is a partner of Care Capital. The address for each of these entities is P.O. Box 792 Pennington, New Jersey 08534.</w:t>
      </w:r>
    </w:p>
    <w:p>
      <w:pPr>
        <w:spacing w:after="0" w:line="161" w:lineRule="exact"/>
        <w:rPr>
          <w:rFonts w:ascii="Arial" w:cs="Arial" w:eastAsia="Arial" w:hAnsi="Arial"/>
          <w:sz w:val="16"/>
          <w:szCs w:val="16"/>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76,666 shares issuable pursuant to stock options exercisable within 60 days of February 7, 2018.</w:t>
      </w:r>
    </w:p>
    <w:p>
      <w:pPr>
        <w:spacing w:after="0" w:line="223"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number of shares beneficially owned after the closing of the merger assumes the issuance of an aggregate of 491,312 shares of common stock in payment of cumulative accrued dividends and the issuance of 1,493,565 shares of common stock upon the conversion of convertible promissory notes.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21,670 shares issuable pursuant to stock options exercisable within 60 days of February 7, 2018.</w:t>
      </w:r>
    </w:p>
    <w:p>
      <w:pPr>
        <w:spacing w:after="0" w:line="223" w:lineRule="exact"/>
        <w:rPr>
          <w:rFonts w:ascii="Arial" w:cs="Arial" w:eastAsia="Arial" w:hAnsi="Arial"/>
          <w:sz w:val="18"/>
          <w:szCs w:val="18"/>
          <w:color w:val="auto"/>
        </w:rPr>
      </w:pPr>
    </w:p>
    <w:p>
      <w:pPr>
        <w:ind w:left="660" w:right="600" w:hanging="652"/>
        <w:spacing w:after="0" w:line="306" w:lineRule="auto"/>
        <w:tabs>
          <w:tab w:leader="none" w:pos="6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Mr. Leschly, a member of the Vaxart board of directors, is the Chairman and Managing Partner of Care Capital. See footnote (2). Mr. Leschly disclaims beneficial ownership of the shares held by Care Capital except to the extent of his pecuniary interest therein.</w:t>
      </w:r>
    </w:p>
    <w:p>
      <w:pPr>
        <w:spacing w:after="0" w:line="147" w:lineRule="exact"/>
        <w:rPr>
          <w:rFonts w:ascii="Arial" w:cs="Arial" w:eastAsia="Arial" w:hAnsi="Arial"/>
          <w:sz w:val="17"/>
          <w:szCs w:val="17"/>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36,405 shares issuable pursuant to stock options exercisable within 60 days of February 7, 2018.</w:t>
      </w:r>
    </w:p>
    <w:p>
      <w:pPr>
        <w:spacing w:after="0" w:line="223"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42,126 shares issuable pursuant to stock options exercisable within 60 days of February 7, 2018.</w:t>
      </w:r>
    </w:p>
    <w:p>
      <w:pPr>
        <w:spacing w:after="0" w:line="223" w:lineRule="exact"/>
        <w:rPr>
          <w:rFonts w:ascii="Arial" w:cs="Arial" w:eastAsia="Arial" w:hAnsi="Arial"/>
          <w:sz w:val="18"/>
          <w:szCs w:val="18"/>
          <w:color w:val="auto"/>
        </w:rPr>
      </w:pPr>
    </w:p>
    <w:p>
      <w:pPr>
        <w:ind w:left="660" w:right="40" w:hanging="652"/>
        <w:spacing w:after="0" w:line="276"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Mr. Markham, a member of the Vaxart board of directors, is a partner of Care Capital. See footnote (2). Mr. Markham disclaims beneficial ownership of the shares held by Care Capital except to the extent of his pecuniary interest therein.</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85,000 shares issuable pursuant to stock options exercisable within 60 days of February 7, 2018.</w:t>
      </w:r>
    </w:p>
    <w:p>
      <w:pPr>
        <w:spacing w:after="0" w:line="223" w:lineRule="exact"/>
        <w:rPr>
          <w:rFonts w:ascii="Arial" w:cs="Arial" w:eastAsia="Arial" w:hAnsi="Arial"/>
          <w:sz w:val="18"/>
          <w:szCs w:val="18"/>
          <w:color w:val="auto"/>
        </w:rPr>
      </w:pPr>
    </w:p>
    <w:p>
      <w:pPr>
        <w:ind w:left="660" w:right="160" w:hanging="652"/>
        <w:spacing w:after="0" w:line="258"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Includes (a) 681,282 shares held directly by Dr. Tucker, (b) 314,520 shares held by Frances Chang and Sean Tucker and (c) 119,266 shares issuable pursuant to stock options exercisable within 60 days of February 7, 2018. The number of shares beneficially owned after this offering assumes the issuance of an aggregate of 40,591 shares of common stock in payment of cumulative accrued dividends and the issuance of 41,945 shares of common stock upon the conversion of convertible promissory notes.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Consists of 85,000 shares issuable pursuant to stock options exercisable within 60 days of February 7, 2018.</w:t>
      </w:r>
    </w:p>
    <w:p>
      <w:pPr>
        <w:sectPr>
          <w:pgSz w:w="11900" w:h="16838" w:orient="portrait"/>
          <w:cols w:equalWidth="0" w:num="1">
            <w:col w:w="11400"/>
          </w:cols>
          <w:pgMar w:left="240" w:top="118" w:right="25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725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46" w:name="page247"/>
    <w:bookmarkEnd w:id="24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LEGAL MATTERS</w:t>
      </w:r>
    </w:p>
    <w:p>
      <w:pPr>
        <w:spacing w:after="0" w:line="200" w:lineRule="exact"/>
        <w:rPr>
          <w:sz w:val="20"/>
          <w:szCs w:val="20"/>
          <w:color w:val="auto"/>
        </w:rPr>
      </w:pPr>
    </w:p>
    <w:p>
      <w:pPr>
        <w:spacing w:after="0" w:line="233"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Dechert LLP, New York, New York, will pass upon the validity of the Aviragen common stock offered by this proxy statement/prospectus/information statement.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8"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The consolidated financial statements of Aviragen Therapeutics, Inc. at June 30, 2017 and 2016, and for each of the two years in the period ended June 30, 2017, included in this Proxy Statement of Aviragen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financial statements of Vaxart, Inc. as of December 31, 2016 and 2015, and for each of the years in the two-year period ended December 31, 2016, have been included in this proxy statement/prospectus/information statement in reliance on the report of KPMG LLP, independent auditors, appearing elsewhere herein, and upon authority of such firm as experts in accounting and auditing. The audit report covering the December 31, 2016 consolidated financial statements contains an explanatory paragraph that states that the Company’s recurring losses from operations and has debt obligations that raise substantial doubt about the entity’s ability to continue as a going concern. The financial statements do not include any adjustments that might result from the outcome of that uncertainty.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Aviragen files annual, quarterly and special reports, proxy statements and other information with the SEC. You may read and copy any reports, statements or other information that Aviragen files at the SEC public reference room in at 100 F Street, N.E., Washington, D.C. 20549. Please call the SEC at 1-800-SEC-0330 for further information on the public reference rooms. Aviragen SEC filings are also available to the public from commercial document retrieval services and on the website maintained by the SEC at http://www.sec.gov. Reports, proxy statements and other information concerning Aviragen also may be inspected at the offices of the National Association of Securities Dealers, Inc., Listing Section, 1735 K Street, Washington, D.C. 20006.</w:t>
      </w:r>
    </w:p>
    <w:p>
      <w:pPr>
        <w:spacing w:after="0" w:line="161"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As of the date of this proxy statement/prospectus/information statement, Aviragen has filed a registration statement on Form S-4 to register with the SEC the Aviragen common stock that Aviragen will issue to Vaxart stockholders in the merger. This proxy statement/prospectus/information statement is a part of that registration statement and constitutes a prospectus of Aviragen, as well as a proxy statement of Aviragen for its special meeting and an information statement for the purpose of Vaxart for its written consent.</w:t>
      </w:r>
    </w:p>
    <w:p>
      <w:pPr>
        <w:spacing w:after="0" w:line="187"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Aviragen has supplied all information contained in this proxy statement/prospectus/information statement relating to Aviragen and Vaxart has supplied all information contained in this proxy statement/prospectus/information statement relating to Vaxart.</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If you would like to request documents from Aviragen or Vaxart, please send a request in writing or by telephone to either Aviragen or Vaxart at the following addresses: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215"/>
        </w:trPr>
        <w:tc>
          <w:tcPr>
            <w:tcW w:w="4340" w:type="dxa"/>
            <w:vAlign w:val="bottom"/>
          </w:tcPr>
          <w:p>
            <w:pPr>
              <w:jc w:val="center"/>
              <w:ind w:right="1550"/>
              <w:spacing w:after="0"/>
              <w:rPr>
                <w:sz w:val="20"/>
                <w:szCs w:val="20"/>
                <w:color w:val="auto"/>
              </w:rPr>
            </w:pPr>
            <w:r>
              <w:rPr>
                <w:rFonts w:ascii="Arial" w:cs="Arial" w:eastAsia="Arial" w:hAnsi="Arial"/>
                <w:sz w:val="18"/>
                <w:szCs w:val="18"/>
                <w:color w:val="auto"/>
                <w:w w:val="90"/>
              </w:rPr>
              <w:t>Aviragen Therapeutics, Inc.</w:t>
            </w:r>
          </w:p>
        </w:tc>
        <w:tc>
          <w:tcPr>
            <w:tcW w:w="4080" w:type="dxa"/>
            <w:vAlign w:val="bottom"/>
          </w:tcPr>
          <w:p>
            <w:pPr>
              <w:jc w:val="center"/>
              <w:ind w:left="1570"/>
              <w:spacing w:after="0"/>
              <w:rPr>
                <w:sz w:val="20"/>
                <w:szCs w:val="20"/>
                <w:color w:val="auto"/>
              </w:rPr>
            </w:pPr>
            <w:r>
              <w:rPr>
                <w:rFonts w:ascii="Arial" w:cs="Arial" w:eastAsia="Arial" w:hAnsi="Arial"/>
                <w:sz w:val="18"/>
                <w:szCs w:val="18"/>
                <w:color w:val="auto"/>
                <w:w w:val="90"/>
              </w:rPr>
              <w:t>Vaxart, Inc.</w:t>
            </w:r>
          </w:p>
        </w:tc>
      </w:tr>
      <w:tr>
        <w:trPr>
          <w:trHeight w:val="215"/>
        </w:trPr>
        <w:tc>
          <w:tcPr>
            <w:tcW w:w="4340" w:type="dxa"/>
            <w:vAlign w:val="bottom"/>
          </w:tcPr>
          <w:p>
            <w:pPr>
              <w:jc w:val="center"/>
              <w:ind w:right="1570"/>
              <w:spacing w:after="0"/>
              <w:rPr>
                <w:sz w:val="20"/>
                <w:szCs w:val="20"/>
                <w:color w:val="auto"/>
              </w:rPr>
            </w:pPr>
            <w:r>
              <w:rPr>
                <w:rFonts w:ascii="Arial" w:cs="Arial" w:eastAsia="Arial" w:hAnsi="Arial"/>
                <w:sz w:val="18"/>
                <w:szCs w:val="18"/>
                <w:color w:val="auto"/>
                <w:w w:val="90"/>
              </w:rPr>
              <w:t>2500 Northwinds Parkway, Suite 100</w:t>
            </w:r>
          </w:p>
        </w:tc>
        <w:tc>
          <w:tcPr>
            <w:tcW w:w="4080" w:type="dxa"/>
            <w:vAlign w:val="bottom"/>
          </w:tcPr>
          <w:p>
            <w:pPr>
              <w:jc w:val="center"/>
              <w:ind w:left="1570"/>
              <w:spacing w:after="0"/>
              <w:rPr>
                <w:sz w:val="20"/>
                <w:szCs w:val="20"/>
                <w:color w:val="auto"/>
              </w:rPr>
            </w:pPr>
            <w:r>
              <w:rPr>
                <w:rFonts w:ascii="Arial" w:cs="Arial" w:eastAsia="Arial" w:hAnsi="Arial"/>
                <w:sz w:val="18"/>
                <w:szCs w:val="18"/>
                <w:color w:val="auto"/>
                <w:w w:val="91"/>
              </w:rPr>
              <w:t>395 Oyster Point Blvd., Suite 405</w:t>
            </w:r>
          </w:p>
        </w:tc>
      </w:tr>
      <w:tr>
        <w:trPr>
          <w:trHeight w:val="215"/>
        </w:trPr>
        <w:tc>
          <w:tcPr>
            <w:tcW w:w="4340" w:type="dxa"/>
            <w:vAlign w:val="bottom"/>
          </w:tcPr>
          <w:p>
            <w:pPr>
              <w:jc w:val="center"/>
              <w:ind w:right="1570"/>
              <w:spacing w:after="0"/>
              <w:rPr>
                <w:sz w:val="20"/>
                <w:szCs w:val="20"/>
                <w:color w:val="auto"/>
              </w:rPr>
            </w:pPr>
            <w:r>
              <w:rPr>
                <w:rFonts w:ascii="Arial" w:cs="Arial" w:eastAsia="Arial" w:hAnsi="Arial"/>
                <w:sz w:val="18"/>
                <w:szCs w:val="18"/>
                <w:color w:val="auto"/>
                <w:w w:val="90"/>
              </w:rPr>
              <w:t>Alpharetta, Georgia 30009</w:t>
            </w:r>
          </w:p>
        </w:tc>
        <w:tc>
          <w:tcPr>
            <w:tcW w:w="4080" w:type="dxa"/>
            <w:vAlign w:val="bottom"/>
          </w:tcPr>
          <w:p>
            <w:pPr>
              <w:jc w:val="center"/>
              <w:ind w:left="1570"/>
              <w:spacing w:after="0"/>
              <w:rPr>
                <w:sz w:val="20"/>
                <w:szCs w:val="20"/>
                <w:color w:val="auto"/>
              </w:rPr>
            </w:pPr>
            <w:r>
              <w:rPr>
                <w:rFonts w:ascii="Arial" w:cs="Arial" w:eastAsia="Arial" w:hAnsi="Arial"/>
                <w:sz w:val="18"/>
                <w:szCs w:val="18"/>
                <w:color w:val="auto"/>
                <w:w w:val="89"/>
              </w:rPr>
              <w:t>South San Francisco, CA 94080</w:t>
            </w:r>
          </w:p>
        </w:tc>
      </w:tr>
      <w:tr>
        <w:trPr>
          <w:trHeight w:val="215"/>
        </w:trPr>
        <w:tc>
          <w:tcPr>
            <w:tcW w:w="4340" w:type="dxa"/>
            <w:vAlign w:val="bottom"/>
          </w:tcPr>
          <w:p>
            <w:pPr>
              <w:jc w:val="center"/>
              <w:ind w:right="1570"/>
              <w:spacing w:after="0"/>
              <w:rPr>
                <w:sz w:val="20"/>
                <w:szCs w:val="20"/>
                <w:color w:val="auto"/>
              </w:rPr>
            </w:pPr>
            <w:r>
              <w:rPr>
                <w:rFonts w:ascii="Arial" w:cs="Arial" w:eastAsia="Arial" w:hAnsi="Arial"/>
                <w:sz w:val="18"/>
                <w:szCs w:val="18"/>
                <w:color w:val="auto"/>
                <w:w w:val="89"/>
              </w:rPr>
              <w:t>Telephone: (678) 221-3343</w:t>
            </w:r>
          </w:p>
        </w:tc>
        <w:tc>
          <w:tcPr>
            <w:tcW w:w="4080" w:type="dxa"/>
            <w:vAlign w:val="bottom"/>
          </w:tcPr>
          <w:p>
            <w:pPr>
              <w:jc w:val="center"/>
              <w:ind w:left="1550"/>
              <w:spacing w:after="0"/>
              <w:rPr>
                <w:sz w:val="20"/>
                <w:szCs w:val="20"/>
                <w:color w:val="auto"/>
              </w:rPr>
            </w:pPr>
            <w:r>
              <w:rPr>
                <w:rFonts w:ascii="Arial" w:cs="Arial" w:eastAsia="Arial" w:hAnsi="Arial"/>
                <w:sz w:val="18"/>
                <w:szCs w:val="18"/>
                <w:color w:val="auto"/>
                <w:w w:val="89"/>
              </w:rPr>
              <w:t>Telephone: (650) 550-3500</w:t>
            </w:r>
          </w:p>
        </w:tc>
      </w:tr>
      <w:tr>
        <w:trPr>
          <w:trHeight w:val="230"/>
        </w:trPr>
        <w:tc>
          <w:tcPr>
            <w:tcW w:w="4340" w:type="dxa"/>
            <w:vAlign w:val="bottom"/>
          </w:tcPr>
          <w:p>
            <w:pPr>
              <w:jc w:val="center"/>
              <w:ind w:right="1570"/>
              <w:spacing w:after="0"/>
              <w:rPr>
                <w:sz w:val="20"/>
                <w:szCs w:val="20"/>
                <w:color w:val="auto"/>
              </w:rPr>
            </w:pPr>
            <w:r>
              <w:rPr>
                <w:rFonts w:ascii="Arial" w:cs="Arial" w:eastAsia="Arial" w:hAnsi="Arial"/>
                <w:sz w:val="18"/>
                <w:szCs w:val="18"/>
                <w:color w:val="auto"/>
                <w:w w:val="92"/>
              </w:rPr>
              <w:t>Attn: Investor Relations</w:t>
            </w:r>
          </w:p>
        </w:tc>
        <w:tc>
          <w:tcPr>
            <w:tcW w:w="4080" w:type="dxa"/>
            <w:vAlign w:val="bottom"/>
          </w:tcPr>
          <w:p>
            <w:pPr>
              <w:jc w:val="center"/>
              <w:ind w:left="1570"/>
              <w:spacing w:after="0"/>
              <w:rPr>
                <w:sz w:val="20"/>
                <w:szCs w:val="20"/>
                <w:color w:val="auto"/>
              </w:rPr>
            </w:pPr>
            <w:r>
              <w:rPr>
                <w:rFonts w:ascii="Arial" w:cs="Arial" w:eastAsia="Arial" w:hAnsi="Arial"/>
                <w:sz w:val="18"/>
                <w:szCs w:val="18"/>
                <w:color w:val="auto"/>
                <w:w w:val="96"/>
              </w:rPr>
              <w:t>Attn: CEO</w:t>
            </w:r>
          </w:p>
        </w:tc>
      </w:tr>
    </w:tbl>
    <w:p>
      <w:pPr>
        <w:spacing w:after="0" w:line="20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If you are an Aviragen stockholder and would like additional copies, without charge, of this proxy statement/prospectus/information statement or if you have questions about the merger, including the procedures for voting your shares, you should contact Aviragen’s proxy solicitor: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D.F. &amp; King &amp; Co., Inc.</w:t>
      </w:r>
    </w:p>
    <w:p>
      <w:pPr>
        <w:spacing w:after="0" w:line="23" w:lineRule="exact"/>
        <w:rPr>
          <w:sz w:val="20"/>
          <w:szCs w:val="20"/>
          <w:color w:val="auto"/>
        </w:rPr>
      </w:pPr>
    </w:p>
    <w:p>
      <w:pPr>
        <w:ind w:left="5220" w:hanging="430"/>
        <w:spacing w:after="0"/>
        <w:tabs>
          <w:tab w:leader="none" w:pos="52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967-5074 (toll free)</w:t>
      </w:r>
    </w:p>
    <w:p>
      <w:pPr>
        <w:spacing w:after="0" w:line="8" w:lineRule="exact"/>
        <w:rPr>
          <w:rFonts w:ascii="Arial" w:cs="Arial" w:eastAsia="Arial" w:hAnsi="Arial"/>
          <w:sz w:val="18"/>
          <w:szCs w:val="18"/>
          <w:color w:val="auto"/>
        </w:rPr>
      </w:pPr>
    </w:p>
    <w:p>
      <w:pPr>
        <w:ind w:left="5260" w:hanging="428"/>
        <w:spacing w:after="0"/>
        <w:tabs>
          <w:tab w:leader="none" w:pos="52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269-5550 (collect)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7" w:name="page248"/>
    <w:bookmarkEnd w:id="24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OTHER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to Be Presented at the Next Annual Meeting of Aviragen</w:t>
      </w:r>
    </w:p>
    <w:p>
      <w:pPr>
        <w:spacing w:after="0" w:line="2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Rule 14a-8 of the Exchange Act, some stockholder proposals may be eligible for inclusion in the proxy statement for Aviragen’s next annual meeting of the stockholders. For a proposal of a stockholder to be considered for inclusion in next year’s proxy statement, it must be submitted in writing, with the proof of stock ownership in accordance with Rule 14a-8 and received by the Secretary of Aviragen a reasonable time before Aviragen begins to print and send proxy materials.</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Aviragen’s bylaws, if a stockholder wants to submit a proposal for the next annual meeting of stockholders under Rule 14a-8, or wants to nominate candidates for election as directors at an annual meeting of stockholders, the stockholder must provide timely notice of his or her intention in writing. To be timely, a stockholder’s notice must be delivered to the Secretary, at Aviragen’s principal executive offices, not less than 90 days prior to the date of the annual meeting of stockholders. However, in the event that less than 100 days’ notice or prior public announcement of the date of the meeting is given or made to stockholders, then a proposal shall be received no later than the close of business on the tenth day following the date on which notice of the date of the meeting was mailed or a public announcement was made. Aviragen’s bylaws also specify requirements as to the form and content of a stockholder’s notice. Aviragen will not entertain any proposals or nominations that do not meet these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8" w:name="page249"/>
    <w:bookmarkEnd w:id="24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left="2840"/>
        <w:spacing w:after="0"/>
        <w:rPr>
          <w:sz w:val="20"/>
          <w:szCs w:val="20"/>
          <w:color w:val="auto"/>
        </w:rPr>
      </w:pPr>
      <w:r>
        <w:rPr>
          <w:rFonts w:ascii="Arial" w:cs="Arial" w:eastAsia="Arial" w:hAnsi="Arial"/>
          <w:sz w:val="18"/>
          <w:szCs w:val="18"/>
          <w:b w:val="1"/>
          <w:bCs w:val="1"/>
          <w:color w:val="auto"/>
        </w:rPr>
        <w:t>Aviragen Therapeutics, Inc.</w:t>
      </w:r>
    </w:p>
    <w:p>
      <w:pPr>
        <w:spacing w:after="0" w:line="224" w:lineRule="exact"/>
        <w:rPr>
          <w:sz w:val="20"/>
          <w:szCs w:val="20"/>
          <w:color w:val="auto"/>
        </w:rPr>
      </w:pPr>
    </w:p>
    <w:p>
      <w:pPr>
        <w:jc w:val="right"/>
        <w:ind w:right="1280"/>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3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Consolidated Financial Statements:</w:t>
      </w:r>
    </w:p>
    <w:p>
      <w:pPr>
        <w:spacing w:after="0" w:line="228" w:lineRule="exact"/>
        <w:rPr>
          <w:sz w:val="20"/>
          <w:szCs w:val="20"/>
          <w:color w:val="auto"/>
        </w:rPr>
      </w:pPr>
    </w:p>
    <w:p>
      <w:pPr>
        <w:ind w:left="1600"/>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1600"/>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Consolidated Balance Sheets</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52">
        <w:r>
          <w:rPr>
            <w:rFonts w:ascii="Arial" w:cs="Arial" w:eastAsia="Arial" w:hAnsi="Arial"/>
            <w:sz w:val="18"/>
            <w:szCs w:val="18"/>
            <w:u w:val="single" w:color="auto"/>
            <w:color w:val="0000EE"/>
          </w:rPr>
          <w:t>Consolidated Statements of Operations</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53">
        <w:r>
          <w:rPr>
            <w:rFonts w:ascii="Arial" w:cs="Arial" w:eastAsia="Arial" w:hAnsi="Arial"/>
            <w:sz w:val="18"/>
            <w:szCs w:val="18"/>
            <w:u w:val="single" w:color="auto"/>
            <w:color w:val="0000EE"/>
          </w:rPr>
          <w:t>Consolidated Statement of Changes in Stockholders' Equity</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Consolidated Statements of Cash Flows</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Notes to Consolidated Financial Statements</w:t>
        </w:r>
      </w:hyperlink>
    </w:p>
    <w:p>
      <w:pPr>
        <w:spacing w:after="0" w:line="2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Unaudited Interim Consolidated Financial Statements:</w:t>
      </w:r>
    </w:p>
    <w:p>
      <w:pPr>
        <w:spacing w:after="0" w:line="200" w:lineRule="exact"/>
        <w:rPr>
          <w:sz w:val="20"/>
          <w:szCs w:val="20"/>
          <w:color w:val="auto"/>
        </w:rPr>
      </w:pPr>
    </w:p>
    <w:p>
      <w:pPr>
        <w:spacing w:after="0" w:line="243" w:lineRule="exact"/>
        <w:rPr>
          <w:sz w:val="20"/>
          <w:szCs w:val="20"/>
          <w:color w:val="auto"/>
        </w:rPr>
      </w:pPr>
    </w:p>
    <w:p>
      <w:pPr>
        <w:ind w:left="160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Condensed Consolidated Balance Sheets</w:t>
        </w:r>
      </w:hyperlink>
    </w:p>
    <w:p>
      <w:pPr>
        <w:spacing w:after="0" w:line="23" w:lineRule="exact"/>
        <w:rPr>
          <w:sz w:val="20"/>
          <w:szCs w:val="20"/>
          <w:color w:val="auto"/>
        </w:rPr>
      </w:pPr>
    </w:p>
    <w:p>
      <w:pPr>
        <w:ind w:left="1600"/>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Condensed Consolidated Statements of Operations</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Condensed Consolidated Statements of Cash Flows</w:t>
        </w:r>
      </w:hyperlink>
    </w:p>
    <w:p>
      <w:pPr>
        <w:spacing w:after="0" w:line="8" w:lineRule="exact"/>
        <w:rPr>
          <w:sz w:val="20"/>
          <w:szCs w:val="20"/>
          <w:color w:val="auto"/>
        </w:rPr>
      </w:pPr>
    </w:p>
    <w:p>
      <w:pPr>
        <w:ind w:left="1600"/>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F-A-2</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F-A-3</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F-A-4</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F-A-5</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F-A-6</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F-A-7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F-A-21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F-A-22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F-A-23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F-A-25</w:t>
      </w:r>
    </w:p>
    <w:p>
      <w:pPr>
        <w:sectPr>
          <w:pgSz w:w="11900" w:h="16838" w:orient="portrait"/>
          <w:cols w:equalWidth="0" w:num="2">
            <w:col w:w="8580" w:space="720"/>
            <w:col w:w="919"/>
          </w:cols>
          <w:pgMar w:left="240" w:top="118" w:right="1440" w:bottom="1440" w:gutter="0" w:footer="0" w:header="0"/>
        </w:sectPr>
      </w:pPr>
    </w:p>
    <w:bookmarkStart w:id="249" w:name="page250"/>
    <w:bookmarkEnd w:id="24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Aviragen Therapeutics, Inc.</w:t>
      </w:r>
    </w:p>
    <w:p>
      <w:pPr>
        <w:spacing w:after="0" w:line="22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We have audited the accompanying consolidated balance sheets of Aviragen Therapeutics, Inc. as of June 30, 2017 and 2016, and the related consolidated statements of operations and comprehensive loss, stockholders’ equity and cash flows for each of the two years in the period ended June 30, 2017.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Aviragen Therapeutics, Inc. at June 30, 2017 and 2016, and the consolidated results of its operations and its cash flows for each of the two years in the period ended June 30, 2017, in conformity with U.S. generally accepted accounting principles.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0" w:name="page251"/>
    <w:bookmarkEnd w:id="25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0"/>
              </w:rPr>
              <w:t>As of 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Other accounts receivable, net of allowance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Short-term note payable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Liability related to sale of future royalties, current portion</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note payable, net of current portion</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Liability related to sale of future royalties, net of current portion</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long-term liabilities, net of current portion</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Preferred stock, $0.10 par value; 5,000,000 shares authorized; no shares issued and outstanding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2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$0.10 par value; 200,000,000 shares authorized; 38,649,237 shares and 38,640,487 shares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issued and outstanding at June 30, 2017 and June 30, 2016, respectively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1" w:name="page252"/>
    <w:bookmarkEnd w:id="25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7"/>
              </w:rPr>
              <w:t>Fiscal Years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Royalty revenue</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Non-cash royalty revenue related to the sale of future royalties</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revenue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Foreign exchange loss</w:t>
            </w:r>
          </w:p>
        </w:tc>
        <w:tc>
          <w:tcPr>
            <w:tcW w:w="1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Non-cash interest expense on liability related to sale of future royalties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1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other expense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gridSpan w:val="2"/>
          </w:tcPr>
          <w:p>
            <w:pPr>
              <w:spacing w:after="0" w:line="195" w:lineRule="exact"/>
              <w:rPr>
                <w:sz w:val="20"/>
                <w:szCs w:val="20"/>
                <w:color w:val="auto"/>
              </w:rPr>
            </w:pPr>
            <w:r>
              <w:rPr>
                <w:rFonts w:ascii="Arial" w:cs="Arial" w:eastAsia="Arial" w:hAnsi="Arial"/>
                <w:sz w:val="18"/>
                <w:szCs w:val="18"/>
                <w:color w:val="auto"/>
              </w:rPr>
              <w:t>Basic and diluted weighted average shares outstanding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38,644,395</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38,635,452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fair value of available for sale investments</w:t>
            </w:r>
          </w:p>
        </w:tc>
        <w:tc>
          <w:tcPr>
            <w:tcW w:w="1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2" w:name="page253"/>
    <w:bookmarkEnd w:id="25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60"/>
              <w:spacing w:after="0" w:line="190"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0" w:lineRule="exact"/>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38,609,086</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Change in fair value of investments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Restricted stock units issued, net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31,401</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tcPr>
          <w:p>
            <w:pPr>
              <w:spacing w:after="0" w:line="195" w:lineRule="exact"/>
              <w:rPr>
                <w:sz w:val="20"/>
                <w:szCs w:val="20"/>
                <w:color w:val="auto"/>
              </w:rPr>
            </w:pPr>
            <w:r>
              <w:rPr>
                <w:rFonts w:ascii="Arial" w:cs="Arial" w:eastAsia="Arial" w:hAnsi="Arial"/>
                <w:sz w:val="18"/>
                <w:szCs w:val="18"/>
                <w:b w:val="1"/>
                <w:bCs w:val="1"/>
                <w:color w:val="auto"/>
              </w:rPr>
              <w:t>Balances at June 30, 2016</w:t>
            </w:r>
          </w:p>
        </w:tc>
        <w:tc>
          <w:tcPr>
            <w:tcW w:w="140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rPr>
              <w:t>38,640,487</w:t>
            </w:r>
          </w:p>
        </w:tc>
        <w:tc>
          <w:tcPr>
            <w:tcW w:w="900" w:type="dxa"/>
            <w:vAlign w:val="bottom"/>
          </w:tcPr>
          <w:p>
            <w:pPr>
              <w:spacing w:after="0"/>
              <w:rPr>
                <w:sz w:val="16"/>
                <w:szCs w:val="16"/>
                <w:color w:val="auto"/>
              </w:rPr>
            </w:pPr>
          </w:p>
        </w:tc>
        <w:tc>
          <w:tcPr>
            <w:tcW w:w="3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157.6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(134.3)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8,750</w:t>
            </w: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38,649,237</w:t>
            </w:r>
          </w:p>
        </w:tc>
        <w:tc>
          <w:tcPr>
            <w:tcW w:w="900" w:type="dxa"/>
            <w:vAlign w:val="bottom"/>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3" w:name="page254"/>
    <w:bookmarkEnd w:id="25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Years Ended 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provided by/(used in):</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Non-cash royalty revenue related to sale of future royalties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expense related to sale of future royalties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accrued expenses and other liabilities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Maturity of short-term investments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Sale of long-term investments</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provided by investing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Repayments on note payable</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future royalties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338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060" w:type="dxa"/>
            <w:vAlign w:val="bottom"/>
          </w:tcPr>
          <w:p>
            <w:pPr>
              <w:ind w:left="5480"/>
              <w:spacing w:after="0"/>
              <w:rPr>
                <w:sz w:val="20"/>
                <w:szCs w:val="20"/>
                <w:color w:val="auto"/>
              </w:rPr>
            </w:pPr>
            <w:r>
              <w:rPr>
                <w:rFonts w:ascii="Arial" w:cs="Arial" w:eastAsia="Arial" w:hAnsi="Arial"/>
                <w:sz w:val="18"/>
                <w:szCs w:val="18"/>
                <w:color w:val="auto"/>
              </w:rPr>
              <w:t>F-A-6</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4" w:name="page255"/>
    <w:bookmarkEnd w:id="25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ind w:left="480" w:hanging="472"/>
        <w:spacing w:after="0"/>
        <w:tabs>
          <w:tab w:leader="none" w:pos="4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Aviragen Therapeutics, Inc., together with its wholly owned subsidiaries (“Aviragen”, or the “Company”) is a biopharmaceutical company focused on the discovery and development of direct-acting antivirals to treat infections that have limited therapeutic options and affect a significant number of patients globally. The Company has three Phase 2 clinical stage compounds: BTA074, an antiviral treatment for condyloma caused by human papillomavirus types 6 &amp; 11; vapendavir, a capsid inhibitor for the prevention or treatment of rhinovirus (“RV”) upper respiratory infections; and BTA585 (enzaplatovir), a fusion protein inhibitor in development for the treatment of respiratory syncytial virus infections. The Company also has a preclinical RSV non-fusion inhibitor program. The Company is incorporated in the state of Delaware and its corporate headquarters are located in Alpharetta, Georgia.</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Although several of the Company’s influenza product candidates have been successfully developed and commercialized to-date by other larger pharmaceutical companies under collaboration, license or commercialization agreements with the Company, it has not independently developed or received regulatory approval for any product candidate, and the Company does not currently have any sales, marketing or commercial capabilities. Therefore, it is possible that the Company may not successfully derive any significant product revenues from any product candidates that it is developing now, or may develop in the future. The Company expects to incur losses for the foreseeable future as it intends to support the clinical and preclinical development of its product candidates.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2017, the Company engaged Stifel, Nicolaus and Company, Incorporated (“Stifel”) as its advisor to assist with the exploration of strategic alternatives (the “Strategic Review”). Stifel is providing a range of advisory services aimed to enhance stockholder value. The alternatives to be considered may include, but are not limited to, the potential for a business combination or strategic merger, in-licensing clinical stage programs, an acquisition or other strategic transactions. The Company has and expects to continue to devote substantial time and resources to exploring strategic alternatives; however, there can be no assurance that such activities will result in any agreements or transactions that will enhance stockholder value. In addition, potential strategic transactions that require stockholder approval may not be approved by the Company’s stockholders. Further, any strategic transaction that is completed ultimately may not deliver the anticipated benefits or enhance stockholder value.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plans to continue to finance its operations with (i) existing cash, cash equivalents and investments, (ii) proceeds from existing or potential future royalty-bearing licenses or collaborative research and development arrangements, (iii) future equity and/or asset or debt financings, or (iv) other financing arrangements. The Company’s ability to continue to support its operations is dependent, in the near-term, upon managing its cash resources, continuing to receive royalty revenue under existing licenses, entering into future collaboration, license or commercialization agreements, the successful development of its product candidates, executing future financings and ultimately, upon the approval of its products for sale and achieving positive cash flows from operations on a consistent basis. There can be no assurance that additional capital or funds will be available on terms acceptable to the Company, if at all, that the Company will be able to enter into collaboration, license or commercialization agreements in the future, or that the Company will ever generate significant product revenue and become operationally profitable on a consistent basis.</w:t>
      </w:r>
    </w:p>
    <w:p>
      <w:pPr>
        <w:spacing w:after="0" w:line="390" w:lineRule="exact"/>
        <w:rPr>
          <w:sz w:val="20"/>
          <w:szCs w:val="20"/>
          <w:color w:val="auto"/>
        </w:rPr>
      </w:pPr>
    </w:p>
    <w:p>
      <w:pPr>
        <w:ind w:left="440" w:hanging="432"/>
        <w:spacing w:after="0"/>
        <w:tabs>
          <w:tab w:leader="none" w:pos="4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consolidated financial statements of Aviragen Therapeutics, Inc. and its wholly owned subsidiaries have been prepared in accordance with accounting principles generally accepted in the United States (“U.S. GAAP”). All intercompany balances and transactions have been eliminated in consolidation. The Company’s fiscal year ends on June 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period. Significant items subject to such estimates and assumptions include accruals, liabilities and obligations, tangible assets and deferred income taxes. Actual results could differ from those estimates.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5" w:name="page256"/>
    <w:bookmarkEnd w:id="25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Financial instruments include cash and cash equivalents, investments, accounts receivable, accounts payable, note payable and accrued liabilities. The carrying amounts of those financial instruments are considered to be representative of their respective fair values because of the short-term nature of those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Investments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equivalents consist of short-term, highly liquid investments with original maturities of 90 or fewer days when purchased. Investments with original maturities between 90 and 365 days when purchased are considered to be short-term investments. Investments with original maturities over 365 days when purchased are considered to be long-term investments. The Company has classified its entire investment portfolio as available-for-sale. These securities are recorded as cash equivalents or short-term investments. Short-term investments are carried at the fair value based upon observable inputs based on quoted market prices. The amortized cost of securities is adjusted for amortization of premiums and accretion of discounts to maturity. Amortization and accretion are included in interest income, net, and any realized gains and losses are also included in interest income, net. All unrealized gains and losses are reported in other comprehensive loss. The cost basis of all securities sold is based on the specific identification method. Available-for-sale securities as of June 30, 2017 consisted primarily of corporate notes and certificates of deposit.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cash equivalents and short-term investments consist of financial instruments that potentially subject the Company to concentrations of credit risk to the extent recorded on the balance sheets. The Company believes that it has established guidelines for investment of its excess cash that maintain principal and liquidity through its policies on concentration, diversification, investment maturity, and investment grade.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224"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Accounts receivable are recorded at the invoiced amount. An allowance for returns is estimated based on historical information patterns and sales and return information provided by the partner. The current year expense to adjust revenue for returns, if any, is recorded in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Fixed assets are recorded at acquisition cost, net of accumulated depreciation and impairment. Depreciation on tangible property and equipment is calculated using the straight-line method over the estimated useful lives of the assets. The estimated useful life of machinery, equipment, software and fixtures is three to five years. Leasehold improvements are amortized using the straight-line method over the shorter of the remaining lease term or estimated useful life of the asset. Maintenance and repairs are charged to operations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Assets</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accounts for its leases at their inception as either an operating or capital lease, depending on certain defined criteria. All of the Company’s leases in effect at June 30, 2017 and 2016 are considered operating leases. The costs of operating leases are charged to the consolidated statement of operations on a straight-line basis over the lease term. The difference between cash payments and straight line rent expense is recorded as deferred rent liability. The balance of deferred rent liabilities is classified in the balance sheet as other liabilities. Additionally, any incentives the Company receives are treated as a reduction of expenses over the term of the agreement. Leasehold improvements provided by the landlord are capitalized at cost and amortized over the lesser of their expected useful life or the life of the lease, without assuming renewal features, if any, are exercised.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Functional and reporting currency. </w:t>
      </w:r>
      <w:r>
        <w:rPr>
          <w:rFonts w:ascii="Arial" w:cs="Arial" w:eastAsia="Arial" w:hAnsi="Arial"/>
          <w:sz w:val="18"/>
          <w:szCs w:val="18"/>
          <w:color w:val="auto"/>
        </w:rPr>
        <w:t>The consolidated financial statements are presented in U.S. dollars and the functional currency of all of its subsidiaries is</w:t>
      </w:r>
      <w:r>
        <w:rPr>
          <w:rFonts w:ascii="Arial" w:cs="Arial" w:eastAsia="Arial" w:hAnsi="Arial"/>
          <w:sz w:val="18"/>
          <w:szCs w:val="18"/>
          <w:i w:val="1"/>
          <w:iCs w:val="1"/>
          <w:color w:val="auto"/>
        </w:rPr>
        <w:t xml:space="preserve"> </w:t>
      </w:r>
      <w:r>
        <w:rPr>
          <w:rFonts w:ascii="Arial" w:cs="Arial" w:eastAsia="Arial" w:hAnsi="Arial"/>
          <w:sz w:val="18"/>
          <w:szCs w:val="18"/>
          <w:color w:val="auto"/>
        </w:rPr>
        <w:t>the U.S. dollar. The Company operates in several jurisdictions with local currencies including the Euro, the Australian dollar and the British Pound. However, the primary economic environment in which the entity operates is the U.S. dollar.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6" w:name="page257"/>
    <w:bookmarkEnd w:id="25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 xml:space="preserve">Transactions and balances. </w:t>
      </w:r>
      <w:r>
        <w:rPr>
          <w:rFonts w:ascii="Arial" w:cs="Arial" w:eastAsia="Arial" w:hAnsi="Arial"/>
          <w:sz w:val="17"/>
          <w:szCs w:val="17"/>
          <w:color w:val="auto"/>
        </w:rPr>
        <w:t>Foreign currency transactions are translated into the functional currency using the exchange rates prevailing at the dates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transactions. Foreign exchange gains and losses resulting from the settlement of such transactions, as well as from the translation at year-end exchange rates of monetary assets and liabilities denominated in foreign currencies, are recognized in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Expense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Legal fees incurred for patent application costs for product candidates have been charged to expense and reported in general and administrative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Share-based compensation expense relates to stock options, restricted stock units or other equity-based grants. The fair market value of stock options is determined at the grant date using the Black-Scholes option pricing model based on the date the grant is issued. The fair market value of restricted stock units or other equity-based grants are also determined at the grant date, based on the closing price of the Company’s common stock on that date. The value of the awards that are ultimately expected to vest is recognized as an expense on a straight-line basis over the employee's requisite service period. The Company uses the lattice model with a Monte Carlo simulation to value the grants of market stock units (“MSUs”). This valuation methodology utilizes several key assumptions, including the average closing stock price on the grant date, expected volatility of the Company’s stock price, risk-free rates of return and expected dividend yield.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applies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which established financial accounting and reporting requirements for the effects of income taxes that result from the Company’s activities during the current and preceding years. 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Where the Company determines that it is more likely than not that some portion or all of the deferred tax assets will not be realized in the future, the deferred tax assets are reduced by a valuation allowance. The valuation allowance is sufficient to reduce the deferred tax assets to the amount that the Company determines is more likely than not to be realized.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consists primarily of royalty payments. Revenue from royalties is recognized when the net sales of the underlying product by the relevant third party, including actual or estimated returns within the royalty period based on agreement, are determinable. The Company receives estimates of the amount of royalty revenue from its licensees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on Liability Related to Sale of Future Royalties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2016, the Company sold certain royalty rights related to the approved product Inavir®, sold by Daiichi Sankyo in the Japanese market, for $20 million to HealthCare Royalty Partners III, L.P. (“HCRP”). Under the relevant accounting guidance, due to a limit on the amount of royalties that HCRP can earn under the arrangement, this transaction was accounted for as a liability that will be amortized using the interest method over the life of the arrangement. The Company has no obligation to pay any amounts to HCRP other than to pass through to HCRP its share of royalties as they are received from Daiichi Sankyo. In order to record the amortization of the liability, the Company is required to estimate the total amount of future royalty payments to be received under the License Agreement and the payments that will be passed through to HCRP over the life of the agreement. The sum of the pass through amounts less the net proceeds received will be recorded as non-cash interest expense over the life of the liability. Consequently, the Company imputes interest on the unamortized portion of the liability and records non-cash interest expense using an estimated effective interest rate. The Company will periodically assess the expected royalty payments, and to the extent such payments are greater or less than the initial estimate, it will adjust the amortization of the liability and interest rate.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7" w:name="page258"/>
    <w:bookmarkEnd w:id="25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 represents the cost of activities associated with the discovery, preclinical development, and clinical development of the Company’s product candidates other than those captured under cost of revenue. These costs include, but are not limited to, fees paid to third-party service providers in connection with conducting external preclinical studies and clinical trials, monitoring, accumulating and evaluating the related preclinical and clinical data; salaries and personnel-related expenses for our internal staff, including benefits and share-based compensation; the cost to develop, formulate and manufacture product candidates; external research and chemistry, consulting fees; license expenses and sponsored research fees paid to third parties; and outsourced cost of specialized information systems to evaluate and monitor our programs, depreciation and facility costs. Research and development expenses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General and administrative expense reflects the costs incurred to manage and support our research and development activities, operations, contracts, and status as a publicly-traded company. General and administrative expense consists primarily of salaries and personnel-related expenses, including share-based compensation for personnel in executive, finance, information technology, business development and human resources functions. Other significant costs include professional fees for legal, auditing, tax, and consulting services, legal fees associated with patents and intellectual property related to our product candidates, insurance premiums, other expenses incurred as a result of being a company that is publicly traded, and depreciation and facility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Comprehensive income is defined as the total change in stockholders’ equity during the period other than from transactions with stockholders, and for the Company, includes net income, unrealized gains and loss from available for sale securities and cumulative translation foreign currency adjustments.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Standards</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March 2016, the Financial Accounting Standards Board (“FASB”) issued Accounting Standard Update (“ASU”) 2016-09 - Improvements to Employee Share-Based Payment Accounting. This ASU simplifies several aspects of the accounting for employee share-based payments, including the accounting for employer tax withholding on share-based compensation, forfeitures and the financial statement presentation of excess tax benefits and deficiencies. The ASU also clarifies the statement of cash flows presentation for certain components of share-based awards.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has elected to early adopt ASU 2016-09 for the fiscal year ended June 30, 2017 using a modified retrospective approach, effective as if adopted the first day of the fiscal year, July 1, 2016. As a result of the adoption, the Company made an accounting policy election to account for forfeitures as they occur. The impact of the change in accounting policy has been recorded as a $0.1 million cumulative effect adjustment as an increase to the Company’s retained earnings and a decrease to additional paid-in capital as of January 1, 2017 to reflect actual forfeitures versus the previously-estimated forfeiture rate.</w:t>
      </w:r>
    </w:p>
    <w:p>
      <w:pPr>
        <w:spacing w:after="0" w:line="15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amendments within the ASU related to the recognition of excess tax benefits and deficiencies and tax withholding requirements were adopted prospectively, with no impact to prior periods.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2014, the FASB issued authoritative accounting guidance related to management’s responsibility to evaluate whether there is substantial doubt about an entity’s ability to continue as a going concern and to provide related footnote disclosures. Management’s evaluation should be based on relevant conditions and events that are known and reasonably knowable at the date that the financial statements are issued. In doing so, the amendments should reduce diversity in the timing and content of footnote disclosures. This guidance is effective for annual reporting ending after December 15, 2016, and for annual periods and interim periods thereafter, with early application permitted. The Company adopted the standard for the fiscal year ended June 30, 2017, with no material impact on the Company’s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8" w:name="page259"/>
    <w:bookmarkEnd w:id="25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May 2014, the FASB issued authoritative accounting guidance related to revenue from contracts with customers. This guidance is a comprehensive new revenue recognition model that requires a company to recognize revenue to depict the transfer of goods or services to a customer at an amount that reflects the consideration it expects to receive in exchange for those goods or services. This guidance is effective for annual reporting periods beginning after December 15, 2017. Accordingly, the Company will adopt this guidance on July 1, 2018. Companies may use either a full retrospective or a modified retrospective approach to adopt this guidance. The Company is evaluating which transition approach to use and its impact, if any, on its consolidated financial statements.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2016, the FASB issued guidance related to financial instruments - overall recognition and measurement of financial assets and financial liabilities. The guidance enhances the reporting model for financial instruments, which includes amendments to address aspects of recognition, measurement, presentation and disclosure. The update to the standard is effective for public companies for interim and annual periods beginning after December 15, 2017. Accordingly, the standard is effective for the Company on July 1, 2018. The Company is currently evaluating the impact that the standard will have on the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new guidance on leases. This guidance replaces the prior lease accounting guidance in its entirety. The underlying principle of the new standard is the recognition of lease assets and lease liabilities by lessees for substantially all leases, with an exception for leases with terms of less than twelve months. The standard also requires additional quantitative and qualitative disclosures. The guidance is effective for interim and annual reporting periods beginning after December 15, 2018, and early adoption is permitted. The standard requires a modified retrospective approach, which includes several optional practical expedients. Accordingly, the standard is effective for the Company on July 1, 2019. The Company is currently evaluating the impact that this guidance will have on the consolidated financial statements.</w:t>
      </w:r>
    </w:p>
    <w:p>
      <w:pPr>
        <w:spacing w:after="0" w:line="17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August 2016, the FASB issued new guidance on how certain cash receipts and cash payments are presented and classified in the statement of cash flows. The standard is effective for the Company beginning July 1, 2018. Early adoption is permitted. We do not expect the adoption of this guidance to have a material impact on the consolidated financial statements.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(3) Short-Term Financial Instruments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Assets (in millions)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1"/>
              </w:rPr>
              <w:t>As of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receivable, net of allowance</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financial assets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payable and current accrued liabilities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note payable</w:t>
            </w: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current financial liabilities</w:t>
            </w: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00" w:type="dxa"/>
            <w:vAlign w:val="bottom"/>
            <w:gridSpan w:val="2"/>
          </w:tcPr>
          <w:p>
            <w:pPr>
              <w:ind w:left="1140"/>
              <w:spacing w:after="0"/>
              <w:rPr>
                <w:sz w:val="20"/>
                <w:szCs w:val="20"/>
                <w:color w:val="auto"/>
              </w:rPr>
            </w:pPr>
            <w:r>
              <w:rPr>
                <w:rFonts w:ascii="Arial" w:cs="Arial" w:eastAsia="Arial" w:hAnsi="Arial"/>
                <w:sz w:val="18"/>
                <w:szCs w:val="18"/>
                <w:color w:val="auto"/>
              </w:rPr>
              <w:t>Net financial assets</w:t>
            </w:r>
          </w:p>
        </w:tc>
        <w:tc>
          <w:tcPr>
            <w:tcW w:w="1040" w:type="dxa"/>
            <w:vAlign w:val="bottom"/>
            <w:gridSpan w:val="2"/>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34.7</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carrying value of the cash and cash equivalents, accounts receivable, short-term note payable and accounts payable approximates fair value because of their short-term nature. The Company regularly reviews all financial assets for impairment. There were no impairments recognized in 2017 and 2016.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9" w:name="page260"/>
    <w:bookmarkEnd w:id="25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ind w:left="820" w:hanging="812"/>
        <w:spacing w:after="0"/>
        <w:tabs>
          <w:tab w:leader="none" w:pos="82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8" w:lineRule="exact"/>
        <w:rPr>
          <w:sz w:val="20"/>
          <w:szCs w:val="20"/>
          <w:color w:val="auto"/>
        </w:rPr>
      </w:pPr>
    </w:p>
    <w:p>
      <w:pPr>
        <w:ind w:right="200"/>
        <w:spacing w:after="0" w:line="340" w:lineRule="auto"/>
        <w:rPr>
          <w:sz w:val="20"/>
          <w:szCs w:val="20"/>
          <w:color w:val="auto"/>
        </w:rPr>
      </w:pPr>
      <w:r>
        <w:rPr>
          <w:rFonts w:ascii="Arial" w:cs="Arial" w:eastAsia="Arial" w:hAnsi="Arial"/>
          <w:sz w:val="16"/>
          <w:szCs w:val="16"/>
          <w:color w:val="auto"/>
        </w:rPr>
        <w:t>A fair value hierarchy has been established which requires the Company to maximize the use of observable inputs, where available, and minimize the use of unobservable inputs when measuring fair value. The fair value hierarchy describes three levels of inputs that may be used to measure fair value:</w:t>
      </w:r>
    </w:p>
    <w:p>
      <w:pPr>
        <w:spacing w:after="0" w:line="121"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 w:lineRule="exact"/>
        <w:rPr>
          <w:sz w:val="20"/>
          <w:szCs w:val="20"/>
          <w:color w:val="auto"/>
        </w:rPr>
      </w:pPr>
    </w:p>
    <w:p>
      <w:pPr>
        <w:ind w:left="2020" w:right="40" w:hanging="1049"/>
        <w:spacing w:after="0" w:line="249" w:lineRule="auto"/>
        <w:tabs>
          <w:tab w:leader="none" w:pos="20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 w:lineRule="exact"/>
        <w:rPr>
          <w:sz w:val="20"/>
          <w:szCs w:val="20"/>
          <w:color w:val="auto"/>
        </w:rPr>
      </w:pPr>
    </w:p>
    <w:p>
      <w:pPr>
        <w:ind w:left="2020" w:right="460" w:hanging="1049"/>
        <w:spacing w:after="0" w:line="259" w:lineRule="auto"/>
        <w:tabs>
          <w:tab w:leader="none" w:pos="20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sets forth the financial assets and liabilities that were measured at fair value on a recurring basis at June 30, 2017 and June 30, 2016, respectively, by level within the fair value hierarchy. The assets and liabilities measured at fair value are classified in their entirety based on the lowest level of input that is significant to the fair value measurement.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utilizes a third party pricing service. The pricing service utilizes industry standard valuation models and observable market inputs to determine value that include surveying the bond dealer community, obtaining benchmark quotes, incorporating relevant trade data, and updating spreads daily. There have been no transfers of assets or liabilities between the fair value measurement classifications.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Active Markets for</w:t>
            </w:r>
          </w:p>
        </w:tc>
        <w:tc>
          <w:tcPr>
            <w:tcW w:w="12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Observable Inputs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June 30, 201</w:t>
            </w:r>
            <w:r>
              <w:rPr>
                <w:rFonts w:ascii="Arial" w:cs="Arial" w:eastAsia="Arial" w:hAnsi="Arial"/>
                <w:sz w:val="18"/>
                <w:szCs w:val="18"/>
                <w:color w:val="auto"/>
              </w:rPr>
              <w:t>7</w:t>
            </w: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Inputs (Level 3)</w:t>
            </w:r>
          </w:p>
        </w:tc>
        <w:tc>
          <w:tcPr>
            <w:tcW w:w="100" w:type="dxa"/>
            <w:vAlign w:val="bottom"/>
          </w:tcPr>
          <w:p>
            <w:pPr>
              <w:spacing w:after="0"/>
              <w:rPr>
                <w:sz w:val="20"/>
                <w:szCs w:val="20"/>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Short-term investments available-for-sale</w:t>
            </w:r>
          </w:p>
        </w:tc>
        <w:tc>
          <w:tcPr>
            <w:tcW w:w="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3"/>
        </w:trPr>
        <w:tc>
          <w:tcPr>
            <w:tcW w:w="3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Quoted Prices in</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Active Markets for</w:t>
            </w:r>
          </w:p>
        </w:tc>
        <w:tc>
          <w:tcPr>
            <w:tcW w:w="12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(in millions)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Identical Assets</w:t>
            </w:r>
          </w:p>
        </w:tc>
        <w:tc>
          <w:tcPr>
            <w:tcW w:w="1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Observable Inputs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June 30, 2016</w:t>
            </w: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Inputs (Level 3)</w:t>
            </w:r>
          </w:p>
        </w:tc>
        <w:tc>
          <w:tcPr>
            <w:tcW w:w="100" w:type="dxa"/>
            <w:vAlign w:val="bottom"/>
          </w:tcPr>
          <w:p>
            <w:pPr>
              <w:spacing w:after="0"/>
              <w:rPr>
                <w:sz w:val="20"/>
                <w:szCs w:val="20"/>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5"/>
        </w:trPr>
        <w:tc>
          <w:tcPr>
            <w:tcW w:w="3840" w:type="dxa"/>
            <w:vAlign w:val="bottom"/>
          </w:tcPr>
          <w:p>
            <w:pPr>
              <w:spacing w:after="0"/>
              <w:rPr>
                <w:sz w:val="20"/>
                <w:szCs w:val="20"/>
                <w:color w:val="auto"/>
              </w:rPr>
            </w:pPr>
            <w:r>
              <w:rPr>
                <w:rFonts w:ascii="Arial" w:cs="Arial" w:eastAsia="Arial" w:hAnsi="Arial"/>
                <w:sz w:val="18"/>
                <w:szCs w:val="18"/>
                <w:color w:val="auto"/>
              </w:rPr>
              <w:t>Short-term investments available-for-sale</w:t>
            </w:r>
          </w:p>
        </w:tc>
        <w:tc>
          <w:tcPr>
            <w:tcW w:w="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r>
      <w:tr>
        <w:trPr>
          <w:trHeight w:val="249"/>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The Company has had no realized gains or losses from the sale of investments for the fiscal year ended June 30, 2017. The following table shows the unrealized gains and losses and fair values for those investments as of June 30, 2017 and June 30, 2016 aggregated by major security type: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(in millions)</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2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At 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At Fair Value</w:t>
            </w:r>
          </w:p>
        </w:tc>
        <w:tc>
          <w:tcPr>
            <w:tcW w:w="100" w:type="dxa"/>
            <w:vAlign w:val="bottom"/>
          </w:tcPr>
          <w:p>
            <w:pPr>
              <w:spacing w:after="0"/>
              <w:rPr>
                <w:sz w:val="20"/>
                <w:szCs w:val="20"/>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Commercial paper</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5"/>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0"/>
        </w:trPr>
        <w:tc>
          <w:tcPr>
            <w:tcW w:w="34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0"/>
        </w:trPr>
        <w:tc>
          <w:tcPr>
            <w:tcW w:w="3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3480" w:type="dxa"/>
            <w:vAlign w:val="bottom"/>
          </w:tcPr>
          <w:p>
            <w:pPr>
              <w:spacing w:after="0"/>
              <w:rPr>
                <w:sz w:val="24"/>
                <w:szCs w:val="24"/>
                <w:color w:val="auto"/>
              </w:rPr>
            </w:pPr>
          </w:p>
        </w:tc>
        <w:tc>
          <w:tcPr>
            <w:tcW w:w="2780" w:type="dxa"/>
            <w:vAlign w:val="bottom"/>
            <w:gridSpan w:val="2"/>
          </w:tcPr>
          <w:p>
            <w:pPr>
              <w:jc w:val="right"/>
              <w:ind w:right="190"/>
              <w:spacing w:after="0"/>
              <w:rPr>
                <w:sz w:val="20"/>
                <w:szCs w:val="20"/>
                <w:color w:val="auto"/>
              </w:rPr>
            </w:pPr>
            <w:r>
              <w:rPr>
                <w:rFonts w:ascii="Arial" w:cs="Arial" w:eastAsia="Arial" w:hAnsi="Arial"/>
                <w:sz w:val="18"/>
                <w:szCs w:val="18"/>
                <w:color w:val="auto"/>
              </w:rPr>
              <w:t>F-A-12</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3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60" w:name="page261"/>
    <w:bookmarkEnd w:id="26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At 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At Fair Value</w:t>
            </w:r>
          </w:p>
        </w:tc>
        <w:tc>
          <w:tcPr>
            <w:tcW w:w="100" w:type="dxa"/>
            <w:vAlign w:val="bottom"/>
          </w:tcPr>
          <w:p>
            <w:pPr>
              <w:spacing w:after="0"/>
              <w:rPr>
                <w:sz w:val="20"/>
                <w:szCs w:val="20"/>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Debt securities of U.S. government agencies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Corporate notes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2017 and June 30, 2016, the Company had investments in an unrealized gain/(loss) position below material disclosure thresholds in the table above. The Company has determined that the unrealized gains and losses on these investments are temporary in nature and expects the security to mature at its stated maturity principal. All available-for-sale securities held at June 30, 2017 will mature in less than one year. The fair value of cash, accounts receivable, accounts payable and accrued liabilities approximate their carrying value because of the short-term nature of these financial instruments respectively, at June 30, 2017 and June 30, 2016. The fair value of our short-term note payable, which is measured using Level 2 inputs, approximates book value, at June 30, 2017 and June 30,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55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80" w:type="dxa"/>
            <w:vAlign w:val="bottom"/>
            <w:gridSpan w:val="3"/>
          </w:tcPr>
          <w:p>
            <w:pPr>
              <w:spacing w:after="0"/>
              <w:rPr>
                <w:sz w:val="20"/>
                <w:szCs w:val="20"/>
                <w:color w:val="auto"/>
              </w:rPr>
            </w:pPr>
            <w:r>
              <w:rPr>
                <w:rFonts w:ascii="Arial" w:cs="Arial" w:eastAsia="Arial" w:hAnsi="Arial"/>
                <w:sz w:val="18"/>
                <w:szCs w:val="18"/>
                <w:color w:val="auto"/>
              </w:rPr>
              <w:t>Property and equipment consist of the following (in millions):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As of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4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$0.1 million for both of the fiscal years ended June 30,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2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and Other Current Liabilities</w:t>
            </w: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300" w:type="dxa"/>
            <w:vAlign w:val="bottom"/>
            <w:gridSpan w:val="3"/>
          </w:tcPr>
          <w:p>
            <w:pPr>
              <w:spacing w:after="0"/>
              <w:rPr>
                <w:sz w:val="20"/>
                <w:szCs w:val="20"/>
                <w:color w:val="auto"/>
              </w:rPr>
            </w:pPr>
            <w:r>
              <w:rPr>
                <w:rFonts w:ascii="Arial" w:cs="Arial" w:eastAsia="Arial" w:hAnsi="Arial"/>
                <w:sz w:val="18"/>
                <w:szCs w:val="18"/>
                <w:color w:val="auto"/>
              </w:rPr>
              <w:t>Accrued and other current liabilities consist of the following (in millions):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As of June 30,</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Salary and related costs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services</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Liabilities Related to Sale of Future Royalties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2016, the Company sold certain royalty rights related to the approved product Inavir®, sold by Daiichi Sankyo in the Japanese market, for $20 million to HCRP. Under the relevant accounting guidance, due to a limit on the amount of royalties that HCRP can earn under the arrangement, this transaction was accounted for as a liability that will be amortized using the interest method over the life of the arrangement. The Company has no obligation to pay any amounts to HCRP other than to pass through to HCRP its share of royalties as they are received from Daiichi Sankyo. In order to record the amortization of the liability, the Company is required to estimate the total amount of future royalty payments to be received under the License Agreement and the payments that will be passed through to HCRP over the life of the agreement. The sum of the pass through amounts less the net proceeds received will be recorded as non-cash interest expense over the life of the liability. Consequently, the Company imputes interest on the unamortized portion of the liability and records non-cash interest expense using an estimated effective interest rate. The Company will periodically assess the expected royalty payments, and to the extent such payments are greater or less than the initial estimate, the Company will adjust the amortization of the liability and interest rate. As a result of this accounting, even though the Company does not retain HCRP’s share of the royalties, it will continue to record non-cash revenue related to those royalties until the amount of the associated liability and related interest is fully amortized.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1" w:name="page262"/>
    <w:bookmarkEnd w:id="26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following table shows the activity within the liability account during the year ended June 30, 2017:</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1"/>
        </w:trPr>
        <w:tc>
          <w:tcPr>
            <w:tcW w:w="9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in millions</w:t>
            </w:r>
          </w:p>
        </w:tc>
      </w:tr>
      <w:tr>
        <w:trPr>
          <w:trHeight w:val="209"/>
        </w:trPr>
        <w:tc>
          <w:tcPr>
            <w:tcW w:w="98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Liability related to sale of future royalties, June 30, 2016</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r>
      <w:tr>
        <w:trPr>
          <w:trHeight w:val="215"/>
        </w:trPr>
        <w:tc>
          <w:tcPr>
            <w:tcW w:w="98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Non-cash royalty revenue paid to HCRP</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5"/>
        </w:trPr>
        <w:tc>
          <w:tcPr>
            <w:tcW w:w="98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interest expense recognized</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480" w:type="dxa"/>
            <w:vAlign w:val="bottom"/>
            <w:gridSpan w:val="2"/>
          </w:tcPr>
          <w:p>
            <w:pPr>
              <w:ind w:left="980"/>
              <w:spacing w:after="0"/>
              <w:rPr>
                <w:sz w:val="20"/>
                <w:szCs w:val="20"/>
                <w:color w:val="auto"/>
              </w:rPr>
            </w:pPr>
            <w:r>
              <w:rPr>
                <w:rFonts w:ascii="Arial" w:cs="Arial" w:eastAsia="Arial" w:hAnsi="Arial"/>
                <w:sz w:val="18"/>
                <w:szCs w:val="18"/>
                <w:color w:val="auto"/>
              </w:rPr>
              <w:t>Total Liability related to sale of future royalties, June 30, 2017</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Contingent Liabilities</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has a non-cancellable operating lease for its corporate headquarters in Alpharetta, Georgia that expires in February 2021. The lease includes an escalating base rent schedule and a tenant incentive towards leasehold improvements of approximately $0.1 million which are being recognized as a reduction in rent expense on a straight line basis over the term of the lease. Future minimum lease payments, in millions, under non-cancellable operating leases (with initial or remaining lease terms in excess of one year) as of June 30, 2017 are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2019</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600" w:type="dxa"/>
            <w:vAlign w:val="bottom"/>
            <w:gridSpan w:val="2"/>
          </w:tcPr>
          <w:p>
            <w:pPr>
              <w:ind w:left="320"/>
              <w:spacing w:after="0"/>
              <w:rPr>
                <w:sz w:val="20"/>
                <w:szCs w:val="20"/>
                <w:color w:val="auto"/>
              </w:rPr>
            </w:pPr>
            <w:r>
              <w:rPr>
                <w:rFonts w:ascii="Arial" w:cs="Arial" w:eastAsia="Arial" w:hAnsi="Arial"/>
                <w:sz w:val="18"/>
                <w:szCs w:val="18"/>
                <w:color w:val="auto"/>
              </w:rPr>
              <w:t>Total minimum lease payments</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7"/>
            <w:vMerge w:val="restart"/>
          </w:tcPr>
          <w:p>
            <w:pPr>
              <w:spacing w:after="0"/>
              <w:rPr>
                <w:sz w:val="20"/>
                <w:szCs w:val="20"/>
                <w:color w:val="auto"/>
              </w:rPr>
            </w:pPr>
            <w:r>
              <w:rPr>
                <w:rFonts w:ascii="Arial" w:cs="Arial" w:eastAsia="Arial" w:hAnsi="Arial"/>
                <w:sz w:val="18"/>
                <w:szCs w:val="18"/>
                <w:color w:val="auto"/>
                <w:w w:val="92"/>
              </w:rPr>
              <w:t>Rent expense was $0.3 million and $0.2 million for the fiscal years ended June 30, 2017 and 2016, respectively.</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26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6"/>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(9)   Income Taxes</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260" w:type="dxa"/>
            <w:vAlign w:val="bottom"/>
            <w:gridSpan w:val="7"/>
          </w:tcPr>
          <w:p>
            <w:pPr>
              <w:spacing w:after="0"/>
              <w:rPr>
                <w:sz w:val="20"/>
                <w:szCs w:val="20"/>
                <w:color w:val="auto"/>
              </w:rPr>
            </w:pPr>
            <w:r>
              <w:rPr>
                <w:rFonts w:ascii="Arial" w:cs="Arial" w:eastAsia="Arial" w:hAnsi="Arial"/>
                <w:sz w:val="18"/>
                <w:szCs w:val="18"/>
                <w:color w:val="auto"/>
              </w:rPr>
              <w:t>For financial reporting purposes, loss before taxes includes the following components (in millions):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7"/>
              </w:rPr>
              <w:t>Fiscal Years Ended June 30,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60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80" w:type="dxa"/>
            <w:vAlign w:val="bottom"/>
            <w:gridSpan w:val="2"/>
          </w:tcPr>
          <w:p>
            <w:pPr>
              <w:jc w:val="right"/>
              <w:ind w:right="920"/>
              <w:spacing w:after="0"/>
              <w:rPr>
                <w:sz w:val="20"/>
                <w:szCs w:val="20"/>
                <w:color w:val="auto"/>
              </w:rPr>
            </w:pPr>
            <w:r>
              <w:rPr>
                <w:rFonts w:ascii="Arial" w:cs="Arial" w:eastAsia="Arial" w:hAnsi="Arial"/>
                <w:sz w:val="18"/>
                <w:szCs w:val="18"/>
                <w:color w:val="auto"/>
              </w:rPr>
              <w:t>F-A-14</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2" w:name="page263"/>
    <w:bookmarkEnd w:id="26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The expense for income taxes is comprised of:</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2"/>
        </w:trPr>
        <w:tc>
          <w:tcPr>
            <w:tcW w:w="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9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Fiscal Years Ended June 30,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8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8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income tax expense at the statutory federal income tax rate and income taxes as reflected in the financial statements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Fiscal Years Ended June 30,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at federal statutory rate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11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0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ISO expense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Japanese withholding tax</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Adjustment to deferred income tax assets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w w:val="96"/>
              </w:rPr>
              <w:t>The following table includes deferred tax assets and liabilities as of June 30, 2017 and 2016:</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3"/>
              </w:rPr>
              <w:t>As of June 30,</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Foreign net operating loss carryforwards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11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 federal and state loss carryforwards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Research credits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compensated-related costs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Sale of future royalty rights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9"/>
        </w:trPr>
        <w:tc>
          <w:tcPr>
            <w:tcW w:w="8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deferred taxes</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Significant components of deferred income taxes reflect the net tax effect of temporary differences between the carrying amounts of assets and liabilities for financial reporting and tax purposes. As of June 30, 2017 and 2016 a full valuation allowance had been established, as the Company has determined that the realization of its deferred tax assets is not more likely than not. The Company recorded $44.4 million and $36.2 million of valuation allowance as of June 30, 2017 and 2016,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3" w:name="page264"/>
    <w:bookmarkEnd w:id="26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30, 2017 and 2016, the Company has $18.4 million and $15.7 million, respectively of gross U.S. federal net operating loss carryforwards that expire at various dates through 2035. Under IRC section 382, certain significant changes in ownership may restrict the future utilization of its U.S. tax loss carryforwards. As of June 30, 2017 and 2016, the Company also has accumulated tax losses of $44.3 million and $32.1 million, respectively for Australia, $25.4 million and $22.8 million, respectively for the United Kingdom and $29.2 million and $18.8 million, respectively for France available for carry forward against future earnings, which under relevant tax laws do not expire but may not be available under certain circumstances.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June 30, 2017 and 2016, the Company’s foreign subsidiaries have no positive accumulated earnings. As such, no federal or state income taxes have been provided on the losses of its foreign subsidiaries under ASC 740. If in the future there are positive earnings generated from the Company’s foreign subsidiaries, the Company will evaluate whether to record any applicable federal and state income taxes on such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files income tax returns in the U.S, Australia, France and the United Kingdom, as well as with various U.S. states. The Company is subject to tax audits in all jurisdictions in which it files income tax returns. Tax audits by their very nature are often complex and can require several years to complete. There are currently no tax audits that have commenced with respect to income tax returns in any jurisdiction.</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tax statute of limitations applicable to the Internal Revenue Code, the Company is no longer subject to U.S. federal income tax examinations by the Internal Revenue Service for years before 2013. Under the statute of limitations applicable to most state income tax laws, the Company is no longer subject to state income tax examinations by tax authorities for years before 2012 in states in which it has filed income tax returns. Certain states may take the position that the Company is subject to income tax in such states even though the Company has not filed income tax returns in such states and, depending on the varying state income tax statutes and administrative practices, the statute of limitations in such states may extend to years before 2009. However, because the Company is carrying forward income tax attributes, such as net operating losses and tax credits from 2012 and earlier tax years, these attributes can still be audited when utilized on returns filed in the future. The Company began foreign operations in 1985. The Company is subject to foreign tax examinations by tax authorities for all years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June 30,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fiscal years ended June 30, 2017 and 2016, the Company recorded share-based compensation expense related to grants from equity incentive plans of $1.9 million and $2.0 million, respectively. No income tax benefit was recognized in the statements of operations and no share-based compensation expense was capitalized as part of any assets for the fiscal years ended June 30, 2017 and 2016.</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2016, the Company’s stockholders approved the 2016 Equity Incentive Plan (“2016 Equity Plan”), which replaced and superseded our amended 2007 Omnibus Equity and Incentive Plan (“Prior Plan”). Under the 2016 Equity Plan all outstanding awards under the Prior Plan will become available for issuance under the 2016 Equity Plan if such awards are forfeited or otherwise terminate.</w:t>
      </w:r>
    </w:p>
    <w:p>
      <w:pPr>
        <w:spacing w:after="0" w:line="18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fair value of each stock option award was estimated at its respective date of grant using the Black-Scholes option-pricing model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weighted average assumptions: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w w:val="93"/>
              </w:rPr>
              <w:t>Fiscal Years Ended June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granted</w:t>
            </w:r>
          </w:p>
        </w:tc>
        <w:tc>
          <w:tcPr>
            <w:tcW w:w="27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risk-free rate interest rate is based on the expected life of the option and the corresponding U.S. Treasury bond, which in most cases is the U.S. five year Treasury bond. The expected term of stock options granted is derived from actual and expected option behavior and represents the period of time that options granted are expected to be outstanding. Expected volatility is based on the historical volatility of the Company’s publicly traded common stock.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4" w:name="page265"/>
    <w:bookmarkEnd w:id="26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6"/>
          </w:tcPr>
          <w:p>
            <w:pPr>
              <w:spacing w:after="0"/>
              <w:rPr>
                <w:sz w:val="20"/>
                <w:szCs w:val="20"/>
                <w:color w:val="auto"/>
              </w:rPr>
            </w:pPr>
            <w:r>
              <w:rPr>
                <w:rFonts w:ascii="Arial" w:cs="Arial" w:eastAsia="Arial" w:hAnsi="Arial"/>
                <w:sz w:val="18"/>
                <w:szCs w:val="18"/>
                <w:color w:val="auto"/>
                <w:w w:val="95"/>
              </w:rPr>
              <w:t>The following table summarizes the stock option activity for the fiscal years end June 30, 2017 and 2016:</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Weighted 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Per Option</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3,364,117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5.58</w:t>
            </w:r>
          </w:p>
        </w:tc>
        <w:tc>
          <w:tcPr>
            <w:tcW w:w="17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7.9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9"/>
              </w:rPr>
              <w:t>1,636,667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2.17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 or expired</w:t>
            </w:r>
          </w:p>
        </w:tc>
        <w:tc>
          <w:tcPr>
            <w:tcW w:w="1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(249,361)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12.77</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9"/>
              </w:rPr>
              <w:t>4,751,423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4.07</w:t>
            </w:r>
          </w:p>
        </w:tc>
        <w:tc>
          <w:tcPr>
            <w:tcW w:w="1700" w:type="dxa"/>
            <w:vAlign w:val="bottom"/>
            <w:gridSpan w:val="2"/>
          </w:tcPr>
          <w:p>
            <w:pPr>
              <w:jc w:val="right"/>
              <w:ind w:right="490"/>
              <w:spacing w:after="0"/>
              <w:rPr>
                <w:sz w:val="20"/>
                <w:szCs w:val="20"/>
                <w:color w:val="auto"/>
              </w:rPr>
            </w:pPr>
            <w:r>
              <w:rPr>
                <w:rFonts w:ascii="Arial" w:cs="Arial" w:eastAsia="Arial" w:hAnsi="Arial"/>
                <w:sz w:val="18"/>
                <w:szCs w:val="18"/>
                <w:color w:val="auto"/>
              </w:rPr>
              <w:t>6.6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3,582,000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0.90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Exercised</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(489,543)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2.33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(277,238)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11.64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50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9"/>
              </w:rPr>
              <w:t>7,566,642</w:t>
            </w:r>
          </w:p>
        </w:tc>
        <w:tc>
          <w:tcPr>
            <w:tcW w:w="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2.40</w:t>
            </w:r>
          </w:p>
        </w:tc>
        <w:tc>
          <w:tcPr>
            <w:tcW w:w="170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total intrinsic value of stock options exercised during the fiscal years ended June 30, 2017 and 2016 was zero, and no cash proceeds were received by the Company. Further, no actual tax benefits were realized, as the Company currently records a full valuation allowance for all tax benefits due to uncertainties with respect to its ability to generate sufficient taxable income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relating to outstanding and exercisable stock options as of June 30,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June 30, 2017</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60" w:type="dxa"/>
            <w:vAlign w:val="bottom"/>
            <w:gridSpan w:val="4"/>
          </w:tcPr>
          <w:p>
            <w:pPr>
              <w:ind w:left="80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18"/>
                <w:szCs w:val="18"/>
                <w:color w:val="auto"/>
              </w:rPr>
            </w:pPr>
          </w:p>
        </w:tc>
      </w:tr>
      <w:tr>
        <w:trPr>
          <w:trHeight w:val="190"/>
        </w:trPr>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5"/>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Average</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Exercise Prices</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r>
      <w:tr>
        <w:trPr>
          <w:trHeight w:val="209"/>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$0.49</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2,272,000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$1.30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760" w:type="dxa"/>
            <w:vAlign w:val="bottom"/>
          </w:tcPr>
          <w:p>
            <w:pPr>
              <w:ind w:left="8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1,607,467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120" w:type="dxa"/>
            <w:vAlign w:val="bottom"/>
          </w:tcPr>
          <w:p>
            <w:pPr>
              <w:jc w:val="right"/>
              <w:spacing w:after="0"/>
              <w:rPr>
                <w:sz w:val="20"/>
                <w:szCs w:val="20"/>
                <w:color w:val="auto"/>
              </w:rPr>
            </w:pPr>
            <w:r>
              <w:rPr>
                <w:rFonts w:ascii="Arial" w:cs="Arial" w:eastAsia="Arial" w:hAnsi="Arial"/>
                <w:sz w:val="18"/>
                <w:szCs w:val="18"/>
                <w:color w:val="auto"/>
              </w:rPr>
              <w:t>243,217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5"/>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3,558,940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2,470,156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$6.65</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760" w:type="dxa"/>
            <w:vAlign w:val="bottom"/>
          </w:tcPr>
          <w:p>
            <w:pPr>
              <w:ind w:left="80"/>
              <w:spacing w:after="0"/>
              <w:rPr>
                <w:sz w:val="20"/>
                <w:szCs w:val="20"/>
                <w:color w:val="auto"/>
              </w:rPr>
            </w:pPr>
            <w:r>
              <w:rPr>
                <w:rFonts w:ascii="Arial" w:cs="Arial" w:eastAsia="Arial" w:hAnsi="Arial"/>
                <w:sz w:val="18"/>
                <w:szCs w:val="18"/>
                <w:color w:val="auto"/>
              </w:rPr>
              <w:t>$34.86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128,235</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r>
      <w:tr>
        <w:trPr>
          <w:trHeight w:val="249"/>
        </w:trPr>
        <w:tc>
          <w:tcPr>
            <w:tcW w:w="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7,566,642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2,841,608</w:t>
            </w:r>
          </w:p>
        </w:tc>
        <w:tc>
          <w:tcPr>
            <w:tcW w:w="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summary of the Company’s outstanding restricted stock activity for the fiscal years ended June 30, 2017 and 2016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w:t>
            </w: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3"/>
              </w:rPr>
              <w:t>Shares</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15"/>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Outstanding at June 30, 2016</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8,750</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15"/>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Released</w:t>
            </w:r>
          </w:p>
        </w:tc>
        <w:tc>
          <w:tcPr>
            <w:tcW w:w="10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(8,750)</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120" w:type="dxa"/>
            <w:vAlign w:val="bottom"/>
            <w:gridSpan w:val="2"/>
          </w:tcPr>
          <w:p>
            <w:pPr>
              <w:spacing w:after="0"/>
              <w:rPr>
                <w:sz w:val="20"/>
                <w:szCs w:val="20"/>
                <w:color w:val="auto"/>
              </w:rPr>
            </w:pPr>
            <w:r>
              <w:rPr>
                <w:rFonts w:ascii="Arial" w:cs="Arial" w:eastAsia="Arial" w:hAnsi="Arial"/>
                <w:sz w:val="18"/>
                <w:szCs w:val="18"/>
                <w:color w:val="auto"/>
              </w:rPr>
              <w:t>Outstanding at June 30, 2017</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9120" w:type="dxa"/>
            <w:vAlign w:val="bottom"/>
            <w:gridSpan w:val="2"/>
          </w:tcPr>
          <w:p>
            <w:pPr>
              <w:ind w:left="5420"/>
              <w:spacing w:after="0"/>
              <w:rPr>
                <w:sz w:val="20"/>
                <w:szCs w:val="20"/>
                <w:color w:val="auto"/>
              </w:rPr>
            </w:pPr>
            <w:r>
              <w:rPr>
                <w:rFonts w:ascii="Arial" w:cs="Arial" w:eastAsia="Arial" w:hAnsi="Arial"/>
                <w:sz w:val="18"/>
                <w:szCs w:val="18"/>
                <w:color w:val="auto"/>
              </w:rPr>
              <w:t>F-A-17</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8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65" w:name="page266"/>
    <w:bookmarkEnd w:id="26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i w:val="1"/>
          <w:iCs w:val="1"/>
          <w:color w:val="auto"/>
        </w:rPr>
        <w:t xml:space="preserve">Restricted Stock Units and Market Stock Units (MSUs). </w:t>
      </w:r>
      <w:r>
        <w:rPr>
          <w:rFonts w:ascii="Arial" w:cs="Arial" w:eastAsia="Arial" w:hAnsi="Arial"/>
          <w:sz w:val="18"/>
          <w:szCs w:val="18"/>
          <w:color w:val="auto"/>
        </w:rPr>
        <w:t>A summary of the Company’s outstanding restricted stock and market stock unit (MSU) activity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years ended June 30, 2017 and 2016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5"/>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5"/>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8120" w:type="dxa"/>
            <w:vAlign w:val="bottom"/>
          </w:tcPr>
          <w:p>
            <w:pPr>
              <w:spacing w:after="0"/>
              <w:rPr>
                <w:sz w:val="20"/>
                <w:szCs w:val="20"/>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Awarded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r>
      <w:tr>
        <w:trPr>
          <w:trHeight w:val="215"/>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Released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(45,716)</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(6,334)</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09"/>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2016</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Awarded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Released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1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(47,031)</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49"/>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December 2013, the Company awarded 108,133 MSUs to employees that could have vested on January 1, 2017. The vesting of these awards was subject to the respective employee’s continued employment through this settlement period. The number of MSUs granted represented the target number of units that are eligible to be earned based on the attainment of certain market-based criteria involving the Company’s stock price. The stock price criteria was not met and the MSUs were forfeited at January 1, 2017. Compensation expense, including the effect of forfeitures, was recognized over the applicable service period.</w:t>
      </w:r>
    </w:p>
    <w:p>
      <w:pPr>
        <w:spacing w:after="0" w:line="15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 of June 30, 2017 and 2016 there was $2.0 and $2.6 million, respectively, of unrecognized share-based compensation expense related to all unvested share-based awards, discounted for future forfeitures. This balance is expected to be recognized over a weighted-average period of 1.4 years.</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Retirement Benefits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contributed $0.2 million for both of the fiscal years ended June 30, 2017 and 2016, toward standard defined contribution plans for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by the Company during fiscal year ending June 30, 2017 and 2016 can be up to four percent of an employee’s salary.</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Loss per Share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Basic and diluted loss per share has been computed based on net loss and the weighted-average number of common shares outstanding during the applicable period. For diluted net loss per share, common stock equivalents (shares of common stock issuable upon the exercise of stock options and warrants) are excluded from the calculation of diluted net loss per share as their inclusion would be anti-dilutive. The Company has excluded all options to purchase common stock in periods indicating a loss, as their effect is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6" w:name="page267"/>
    <w:bookmarkEnd w:id="26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historical basic and diluted net loss per share: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Fiscal Year Ended</w:t>
            </w: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 (in millions)</w:t>
            </w:r>
          </w:p>
        </w:tc>
        <w:tc>
          <w:tcPr>
            <w:tcW w:w="5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shares outstanding</w:t>
            </w:r>
          </w:p>
        </w:tc>
        <w:tc>
          <w:tcPr>
            <w:tcW w:w="54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38,644,395</w:t>
            </w:r>
          </w:p>
        </w:tc>
        <w:tc>
          <w:tcPr>
            <w:tcW w:w="4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38,635,452</w:t>
            </w:r>
          </w:p>
        </w:tc>
        <w:tc>
          <w:tcPr>
            <w:tcW w:w="80" w:type="dxa"/>
            <w:vAlign w:val="bottom"/>
            <w:tcBorders>
              <w:top w:val="single" w:sz="8" w:color="CCEEFF"/>
            </w:tcBorders>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to compute diluted earnings per share</w:t>
            </w: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38,644,395</w:t>
            </w: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38,635,452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rPr>
              <w:t>Basic loss per share</w:t>
            </w:r>
          </w:p>
        </w:tc>
        <w:tc>
          <w:tcPr>
            <w:tcW w:w="90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(0.76)</w:t>
            </w:r>
          </w:p>
        </w:tc>
        <w:tc>
          <w:tcPr>
            <w:tcW w:w="4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(0.66)</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Diluted loss per share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(0.76)</w:t>
            </w:r>
          </w:p>
        </w:tc>
        <w:tc>
          <w:tcPr>
            <w:tcW w:w="460" w:type="dxa"/>
            <w:vAlign w:val="bottom"/>
            <w:shd w:val="clear" w:color="auto" w:fill="CCEEFF"/>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line="195" w:lineRule="exact"/>
              <w:rPr>
                <w:sz w:val="20"/>
                <w:szCs w:val="20"/>
                <w:color w:val="auto"/>
              </w:rPr>
            </w:pPr>
            <w:r>
              <w:rPr>
                <w:rFonts w:ascii="Arial" w:cs="Arial" w:eastAsia="Arial" w:hAnsi="Arial"/>
                <w:sz w:val="18"/>
                <w:szCs w:val="18"/>
                <w:color w:val="auto"/>
              </w:rPr>
              <w:t>(0.66)</w:t>
            </w: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220" w:type="dxa"/>
            <w:vAlign w:val="bottom"/>
            <w:gridSpan w:val="2"/>
          </w:tcPr>
          <w:p>
            <w:pPr>
              <w:spacing w:after="0" w:line="195" w:lineRule="exact"/>
              <w:rPr>
                <w:sz w:val="20"/>
                <w:szCs w:val="20"/>
                <w:color w:val="auto"/>
              </w:rPr>
            </w:pPr>
            <w:r>
              <w:rPr>
                <w:rFonts w:ascii="Arial" w:cs="Arial" w:eastAsia="Arial" w:hAnsi="Arial"/>
                <w:sz w:val="18"/>
                <w:szCs w:val="18"/>
                <w:color w:val="auto"/>
              </w:rPr>
              <w:t>Number of antidilutive stock options excluded from computation</w:t>
            </w:r>
          </w:p>
        </w:tc>
        <w:tc>
          <w:tcPr>
            <w:tcW w:w="5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7,566,642</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4,751,423</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Licenses, Royalty, Collaborative and Contractual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 entered into a royalty-bearing research and license agreement with GSK in 1990 for the development and commercialization of zanamivir, a neuraminidase inhibitor (“NI”) marketed by GSK as Relenza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treat influenza. Most of the Company’s Relenza® patents have expired and the only substantial remaining intellectual property related to the Relenza® patent portfolio, which is solely owned by the Company and exclusively licensed to GSK, is scheduled to expire in July 2019 in Japan. On October 18, 2016, the United States Court of Appeals for the Federal Circuit affirmed the rejection of all pending claims of U.S. Patent Application No. 08/737,141. Accordingly, no future United States royalties will be owed by GSK.</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The Company also generates royalty revenue from the sale of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Japan, pursuant to a collaboration and license agreement that the Company entered into with Daiichi Sankyo in 2009. In September 2010, laninamivir octanoate was approved for sale by the Japanese Ministry of Health and Welfare for the treatment of influenza in adults and children, which Daiichi Sankyo markets as Inavir</w:t>
      </w:r>
      <w:r>
        <w:rPr>
          <w:rFonts w:ascii="Arial" w:cs="Arial" w:eastAsia="Arial" w:hAnsi="Arial"/>
          <w:sz w:val="26"/>
          <w:szCs w:val="26"/>
          <w:color w:val="auto"/>
          <w:vertAlign w:val="superscript"/>
        </w:rPr>
        <w:t>®</w:t>
      </w:r>
      <w:r>
        <w:rPr>
          <w:rFonts w:ascii="Arial" w:cs="Arial" w:eastAsia="Arial" w:hAnsi="Arial"/>
          <w:sz w:val="16"/>
          <w:szCs w:val="16"/>
          <w:color w:val="auto"/>
        </w:rPr>
        <w:t>. Under the agreement, the Company currently receives a 4% royalty 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net sales of 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Japan and is eligible to earn sales milestone payments. Under the collaboration and license agreement, the Company and Daiichi Sankyo have cross-licensed the world-wide rights to develop and commercialize the related intellectual property, and have agreed to share equally in any royalties, license fees, or milestone or other payments received from any third party licenses outside of Japan. Patents on the composition of matter for LANI in Japan generally expire in 2024.</w:t>
      </w: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2016, the Company entered into a Royalty Interest Acquisition Agreement (“Agreement”) with HCRP. Under the Agreement, HCRP made a $20 million cash payment to the Company in consideration for acquiring from the Sellers certain royalty rights (“Royalty Rights”) related to the approved product</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Japanese market. The Royalty Rights were obtained pursuant to the collaboration and license agreements (the “License Agreement”) and a commercialization agreement that the Company entered into with Daiichi Sankyo Company, Limited.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contract arrangements</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2016, the Company announced that it had entered into an exclusive, worldwide license for respiratory syncytial virus (“RSV”) replication inhibitors intellectual property with Georgia State University Research Foundation (“GSURF”) in exchange for an upfront fee, future milestone payments and royalties on future net sales of any products that utilize the underlying RSV intellectual property. The Company has an obligation to make a minimum payment of $10,000 to GSURF annually until the license agreement expires or is terminated. The Company also entered into a two year sponsored research agreement with GSURF for annual sponsored research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7" w:name="page268"/>
    <w:bookmarkEnd w:id="26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1"/>
              </w:rPr>
              <w:t>The following tables summarize the key components of the Company’s revenues (in millions):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0"/>
        </w:trPr>
        <w:tc>
          <w:tcPr>
            <w:tcW w:w="5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Fiscal Years Ended 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0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00" w:type="dxa"/>
            <w:vAlign w:val="bottom"/>
          </w:tcPr>
          <w:p>
            <w:pPr>
              <w:spacing w:after="0"/>
              <w:rPr>
                <w:sz w:val="21"/>
                <w:szCs w:val="21"/>
                <w:color w:val="auto"/>
              </w:rPr>
            </w:pPr>
          </w:p>
        </w:tc>
        <w:tc>
          <w:tcPr>
            <w:tcW w:w="6300" w:type="dxa"/>
            <w:vAlign w:val="bottom"/>
            <w:shd w:val="clear" w:color="auto" w:fill="CCEEFF"/>
          </w:tcPr>
          <w:p>
            <w:pPr>
              <w:spacing w:after="0" w:line="249" w:lineRule="exact"/>
              <w:rPr>
                <w:sz w:val="20"/>
                <w:szCs w:val="20"/>
                <w:color w:val="auto"/>
              </w:rPr>
            </w:pPr>
            <w:r>
              <w:rPr>
                <w:rFonts w:ascii="Arial" w:cs="Arial" w:eastAsia="Arial" w:hAnsi="Arial"/>
                <w:sz w:val="17"/>
                <w:szCs w:val="17"/>
                <w:color w:val="auto"/>
              </w:rPr>
              <w:t>Royalty revenue – Relenza</w:t>
            </w:r>
            <w:r>
              <w:rPr>
                <w:rFonts w:ascii="Arial" w:cs="Arial" w:eastAsia="Arial" w:hAnsi="Arial"/>
                <w:sz w:val="28"/>
                <w:szCs w:val="28"/>
                <w:color w:val="auto"/>
                <w:vertAlign w:val="superscript"/>
              </w:rPr>
              <w: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56"/>
        </w:trPr>
        <w:tc>
          <w:tcPr>
            <w:tcW w:w="500" w:type="dxa"/>
            <w:vAlign w:val="bottom"/>
          </w:tcPr>
          <w:p>
            <w:pPr>
              <w:spacing w:after="0"/>
              <w:rPr>
                <w:sz w:val="22"/>
                <w:szCs w:val="22"/>
                <w:color w:val="auto"/>
              </w:rPr>
            </w:pPr>
          </w:p>
        </w:tc>
        <w:tc>
          <w:tcPr>
            <w:tcW w:w="6300" w:type="dxa"/>
            <w:vAlign w:val="bottom"/>
          </w:tcPr>
          <w:p>
            <w:pPr>
              <w:ind w:left="1280"/>
              <w:spacing w:after="0" w:line="256" w:lineRule="exact"/>
              <w:rPr>
                <w:sz w:val="20"/>
                <w:szCs w:val="20"/>
                <w:color w:val="auto"/>
              </w:rPr>
            </w:pPr>
            <w:r>
              <w:rPr>
                <w:rFonts w:ascii="Arial" w:cs="Arial" w:eastAsia="Arial" w:hAnsi="Arial"/>
                <w:sz w:val="18"/>
                <w:szCs w:val="18"/>
                <w:color w:val="auto"/>
              </w:rPr>
              <w:t>– Inavir</w:t>
            </w:r>
            <w:r>
              <w:rPr>
                <w:rFonts w:ascii="Arial" w:cs="Arial" w:eastAsia="Arial" w:hAnsi="Arial"/>
                <w:sz w:val="29"/>
                <w:szCs w:val="29"/>
                <w:color w:val="auto"/>
                <w:vertAlign w:val="superscript"/>
              </w:rPr>
              <w:t>®</w:t>
            </w:r>
          </w:p>
        </w:tc>
        <w:tc>
          <w:tcPr>
            <w:tcW w:w="1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5"/>
        </w:trPr>
        <w:tc>
          <w:tcPr>
            <w:tcW w:w="50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Non-cash royalty revenue related to sale of royalties</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50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revenue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0"/>
        </w:trPr>
        <w:tc>
          <w:tcPr>
            <w:tcW w:w="5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F-A-20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68" w:name="page269"/>
    <w:bookmarkEnd w:id="268"/>
    <w:p>
      <w:pPr>
        <w:spacing w:after="0"/>
        <w:rPr>
          <w:rFonts w:ascii="Arial" w:cs="Arial" w:eastAsia="Arial" w:hAnsi="Arial"/>
          <w:sz w:val="19"/>
          <w:szCs w:val="19"/>
          <w:u w:val="single" w:color="auto"/>
          <w:color w:val="0000EE"/>
        </w:rPr>
      </w:pPr>
      <w:hyperlink w:anchor="page8">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60" w:right="940"/>
        <w:spacing w:after="0" w:line="299" w:lineRule="auto"/>
        <w:rPr>
          <w:sz w:val="20"/>
          <w:szCs w:val="20"/>
          <w:color w:val="auto"/>
        </w:rPr>
      </w:pPr>
      <w:r>
        <w:rPr>
          <w:rFonts w:ascii="Arial" w:cs="Arial" w:eastAsia="Arial" w:hAnsi="Arial"/>
          <w:sz w:val="15"/>
          <w:szCs w:val="15"/>
          <w:color w:val="auto"/>
        </w:rPr>
        <w:t>Cash and cash equivalents Short-term investments</w:t>
      </w:r>
    </w:p>
    <w:p>
      <w:pPr>
        <w:spacing w:after="0" w:line="1" w:lineRule="exact"/>
        <w:rPr>
          <w:sz w:val="20"/>
          <w:szCs w:val="20"/>
          <w:color w:val="auto"/>
        </w:rPr>
      </w:pPr>
    </w:p>
    <w:p>
      <w:pPr>
        <w:ind w:left="160" w:right="100"/>
        <w:spacing w:after="0" w:line="289" w:lineRule="auto"/>
        <w:rPr>
          <w:sz w:val="20"/>
          <w:szCs w:val="20"/>
          <w:color w:val="auto"/>
        </w:rPr>
      </w:pPr>
      <w:r>
        <w:rPr>
          <w:rFonts w:ascii="Arial" w:cs="Arial" w:eastAsia="Arial" w:hAnsi="Arial"/>
          <w:sz w:val="16"/>
          <w:szCs w:val="16"/>
          <w:color w:val="auto"/>
        </w:rPr>
        <w:t>Accounts receivable, net of allowance Prepaid and other current assets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3700"/>
        <w:spacing w:after="0"/>
        <w:rPr>
          <w:sz w:val="20"/>
          <w:szCs w:val="20"/>
          <w:color w:val="auto"/>
        </w:rPr>
      </w:pPr>
      <w:r>
        <w:rPr>
          <w:rFonts w:ascii="Arial" w:cs="Arial" w:eastAsia="Arial" w:hAnsi="Arial"/>
          <w:sz w:val="18"/>
          <w:szCs w:val="18"/>
          <w:color w:val="auto"/>
        </w:rPr>
        <w:t>(in millions, except share amounts)</w:t>
      </w:r>
    </w:p>
    <w:p>
      <w:pPr>
        <w:spacing w:after="0" w:line="200" w:lineRule="exact"/>
        <w:rPr>
          <w:sz w:val="20"/>
          <w:szCs w:val="20"/>
          <w:color w:val="auto"/>
        </w:rPr>
      </w:pP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2017</w:t>
            </w:r>
          </w:p>
        </w:tc>
        <w:tc>
          <w:tcPr>
            <w:tcW w:w="20" w:type="dxa"/>
            <w:vAlign w:val="bottom"/>
          </w:tcPr>
          <w:p>
            <w:pPr>
              <w:spacing w:after="0"/>
              <w:rPr>
                <w:sz w:val="20"/>
                <w:szCs w:val="20"/>
                <w:color w:val="auto"/>
              </w:rPr>
            </w:pPr>
          </w:p>
        </w:tc>
      </w:tr>
      <w:tr>
        <w:trPr>
          <w:trHeight w:val="424"/>
        </w:trPr>
        <w:tc>
          <w:tcPr>
            <w:tcW w:w="2940" w:type="dxa"/>
            <w:vAlign w:val="bottom"/>
            <w:gridSpan w:val="3"/>
          </w:tcPr>
          <w:p>
            <w:pPr>
              <w:jc w:val="right"/>
              <w:ind w:right="2187"/>
              <w:spacing w:after="0"/>
              <w:rPr>
                <w:sz w:val="20"/>
                <w:szCs w:val="20"/>
                <w:color w:val="auto"/>
              </w:rPr>
            </w:pPr>
            <w:r>
              <w:rPr>
                <w:rFonts w:ascii="Arial" w:cs="Arial" w:eastAsia="Arial" w:hAnsi="Arial"/>
                <w:sz w:val="18"/>
                <w:szCs w:val="18"/>
                <w:b w:val="1"/>
                <w:bCs w:val="1"/>
                <w:color w:val="auto"/>
                <w:w w:val="91"/>
              </w:rPr>
              <w:t>ASSETS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6"/>
        </w:trPr>
        <w:tc>
          <w:tcPr>
            <w:tcW w:w="2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15"/>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15"/>
        </w:trPr>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30"/>
        </w:trPr>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23"/>
        </w:trPr>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r>
      <w:tr>
        <w:trPr>
          <w:trHeight w:val="416"/>
        </w:trPr>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9"/>
        </w:trPr>
        <w:tc>
          <w:tcPr>
            <w:tcW w:w="2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-1409700</wp:posOffset>
            </wp:positionV>
            <wp:extent cx="7247255" cy="1365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-1136015</wp:posOffset>
            </wp:positionV>
            <wp:extent cx="7247255" cy="1365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-862330</wp:posOffset>
            </wp:positionV>
            <wp:extent cx="7247255" cy="136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-580390</wp:posOffset>
            </wp:positionV>
            <wp:extent cx="7247255" cy="1365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-306705</wp:posOffset>
            </wp:positionV>
            <wp:extent cx="7247255"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0</wp:posOffset>
            </wp:positionV>
            <wp:extent cx="7247255" cy="1365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35" w:lineRule="exact"/>
        <w:rPr>
          <w:sz w:val="20"/>
          <w:szCs w:val="20"/>
          <w:color w:val="auto"/>
        </w:rPr>
      </w:pPr>
    </w:p>
    <w:p>
      <w:pPr>
        <w:sectPr>
          <w:pgSz w:w="11900" w:h="16838" w:orient="portrait"/>
          <w:cols w:equalWidth="0" w:num="2">
            <w:col w:w="3000" w:space="720"/>
            <w:col w:w="770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Short-term note payable</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Liability related to sale of future royalties, current portion</w:t>
            </w: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Long-term note payable, net of current portion</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Liability related to sale of future royalties, net of current portion</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Other long-term liabilities, net of current portion</w:t>
            </w: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$0.10 par value: 5,000,000 shares authorized, no shares issued and outstanding</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tcPr>
          <w:p>
            <w:pPr>
              <w:ind w:left="140"/>
              <w:spacing w:after="0" w:line="201" w:lineRule="exact"/>
              <w:rPr>
                <w:sz w:val="20"/>
                <w:szCs w:val="20"/>
                <w:color w:val="auto"/>
              </w:rPr>
            </w:pPr>
            <w:r>
              <w:rPr>
                <w:rFonts w:ascii="Arial" w:cs="Arial" w:eastAsia="Arial" w:hAnsi="Arial"/>
                <w:sz w:val="18"/>
                <w:szCs w:val="18"/>
                <w:color w:val="auto"/>
                <w:w w:val="89"/>
              </w:rPr>
              <w:t>Common stock, $0.10 par value: 200,000,000 shares authorized; 38,649,237 shares issued and outstanding at</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September 30, 2017 and June 30, 2017</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9" w:name="page270"/>
    <w:bookmarkEnd w:id="26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3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Non-cash royalty revenue related to the sale of future royalties</w:t>
            </w:r>
          </w:p>
        </w:tc>
        <w:tc>
          <w:tcPr>
            <w:tcW w:w="2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revenue</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 net</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Total operating expense</w:t>
            </w:r>
          </w:p>
        </w:tc>
        <w:tc>
          <w:tcPr>
            <w:tcW w:w="2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(expense) income:</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Non-cash interest expense on liability related to sale of future royalties</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2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tcPr>
          <w:p>
            <w:pPr>
              <w:spacing w:after="0"/>
              <w:rPr>
                <w:sz w:val="17"/>
                <w:szCs w:val="17"/>
                <w:color w:val="auto"/>
              </w:rPr>
            </w:pPr>
          </w:p>
        </w:tc>
        <w:tc>
          <w:tcPr>
            <w:tcW w:w="27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and diluted weighted-average shares outstanding</w:t>
            </w:r>
          </w:p>
        </w:tc>
        <w:tc>
          <w:tcPr>
            <w:tcW w:w="2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38,649,237</w:t>
            </w:r>
          </w:p>
        </w:tc>
        <w:tc>
          <w:tcPr>
            <w:tcW w:w="5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38,640,487</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9740" w:type="dxa"/>
            <w:vAlign w:val="bottom"/>
            <w:gridSpan w:val="4"/>
          </w:tcPr>
          <w:p>
            <w:pPr>
              <w:jc w:val="right"/>
              <w:ind w:right="49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100" w:type="dxa"/>
            <w:vAlign w:val="bottom"/>
            <w:gridSpan w:val="2"/>
          </w:tcPr>
          <w:p>
            <w:pPr>
              <w:jc w:val="right"/>
              <w:ind w:right="2370"/>
              <w:spacing w:after="0"/>
              <w:rPr>
                <w:sz w:val="20"/>
                <w:szCs w:val="20"/>
                <w:color w:val="auto"/>
              </w:rPr>
            </w:pPr>
            <w:r>
              <w:rPr>
                <w:rFonts w:ascii="Arial" w:cs="Arial" w:eastAsia="Arial" w:hAnsi="Arial"/>
                <w:sz w:val="18"/>
                <w:szCs w:val="18"/>
                <w:color w:val="auto"/>
              </w:rPr>
              <w:t>F-A-22</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70" w:name="page271"/>
    <w:bookmarkEnd w:id="27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for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3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80"/>
              <w:spacing w:after="0" w:line="190" w:lineRule="exact"/>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0" w:lineRule="exact"/>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6"/>
                <w:szCs w:val="16"/>
                <w:color w:val="auto"/>
              </w:rPr>
            </w:pPr>
          </w:p>
        </w:tc>
        <w:tc>
          <w:tcPr>
            <w:tcW w:w="1040" w:type="dxa"/>
            <w:vAlign w:val="bottom"/>
            <w:gridSpan w:val="2"/>
          </w:tcPr>
          <w:p>
            <w:pPr>
              <w:jc w:val="right"/>
              <w:ind w:right="500"/>
              <w:spacing w:after="0" w:line="190" w:lineRule="exact"/>
              <w:rPr>
                <w:sz w:val="20"/>
                <w:szCs w:val="20"/>
                <w:color w:val="auto"/>
              </w:rPr>
            </w:pPr>
            <w:r>
              <w:rPr>
                <w:rFonts w:ascii="Arial" w:cs="Arial" w:eastAsia="Arial" w:hAnsi="Arial"/>
                <w:sz w:val="18"/>
                <w:szCs w:val="18"/>
                <w:b w:val="1"/>
                <w:bCs w:val="1"/>
                <w:color w:val="auto"/>
              </w:rPr>
              <w:t>Total</w:t>
            </w:r>
          </w:p>
        </w:tc>
      </w:tr>
      <w:tr>
        <w:trPr>
          <w:trHeight w:val="215"/>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w:t>
            </w:r>
          </w:p>
        </w:tc>
      </w:tr>
      <w:tr>
        <w:trPr>
          <w:trHeight w:val="234"/>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38,649,237</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(163.8)</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5"/>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29"/>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0"/>
        </w:trPr>
        <w:tc>
          <w:tcPr>
            <w:tcW w:w="3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Balances at September 30, 2017</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38,649,237</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09" w:lineRule="exact"/>
              <w:rPr>
                <w:sz w:val="20"/>
                <w:szCs w:val="20"/>
                <w:color w:val="auto"/>
              </w:rPr>
            </w:pPr>
            <w:r>
              <w:rPr>
                <w:rFonts w:ascii="Arial" w:cs="Arial" w:eastAsia="Arial" w:hAnsi="Arial"/>
                <w:sz w:val="14"/>
                <w:szCs w:val="14"/>
                <w:color w:val="auto"/>
              </w:rPr>
              <w:t>(169.1</w:t>
            </w:r>
            <w:r>
              <w:rPr>
                <w:rFonts w:ascii="Arial" w:cs="Arial" w:eastAsia="Arial" w:hAnsi="Arial"/>
                <w:sz w:val="24"/>
                <w:szCs w:val="24"/>
                <w:color w:val="auto"/>
                <w:vertAlign w:val="subscript"/>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0"/>
        </w:trPr>
        <w:tc>
          <w:tcPr>
            <w:tcW w:w="33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1" w:name="page272"/>
    <w:bookmarkEnd w:id="27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vMerge w:val="restart"/>
          </w:tcPr>
          <w:p>
            <w:pPr>
              <w:spacing w:after="0"/>
              <w:rPr>
                <w:sz w:val="24"/>
                <w:szCs w:val="24"/>
                <w:color w:val="auto"/>
              </w:rPr>
            </w:pPr>
          </w:p>
        </w:tc>
        <w:tc>
          <w:tcPr>
            <w:tcW w:w="6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expense related to sale of future royalties</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Non-cash royalty revenue related to sale of future royalties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365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Purchases of short and long-term investments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Maturity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1454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2"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Net cash provided by investing activities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09"/>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7255" cy="1365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7255" cy="16256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09"/>
        </w:trPr>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2" w:name="page273"/>
    <w:bookmarkEnd w:id="27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Aviragen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2017)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0" w:hanging="428"/>
        <w:spacing w:after="0"/>
        <w:tabs>
          <w:tab w:leader="none" w:pos="4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Aviragen Therapeutics, Inc., together with its wholly owned subsidiaries (“Aviragen”, or the “Company”) is a biopharmaceutical company focused on the discovery and development of direct-acting antivirals to treat infections that have limited therapeutic options and affect a significant number of patients globally. The Company has three Phase 2 clinical stage compounds: BTA074 (teslexivir), an antiviral treatment for condyloma caused by human papillomavirus types 6 &amp; 11; vapendavir, a capsid inhibitor for the prevention or treatment of rhinovirus (“RV”) upper respiratory infections; and BTA585 (enzaplatovir), a fusion protein inhibitor in development for the treatment of respiratory syncytial virus infections. The Company also has a preclinical RSV non-fusion inhibitor program. The Company is incorporated in the state of Delaware and its corporate headquarters are located in Alpharetta, Georgia.</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Although several of the Company’s influenza product candidates have been successfully developed and commercialized to-date by other larger pharmaceutical companies under collaboration, license or commercialization agreements with the Company, it has not independently developed or received regulatory approval for any product candidate, and the Company does not currently have any sales, marketing or commercial capabilities. Therefore, it is possible that the Company may not successfully derive any significant product revenues from any product candidates that it is developing now, or may develop in the future. The Company expects to incur losses for the foreseeable future as it intends to support the clinical and preclinical development of its product candidates.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October 30, 2017, the Company announced that it had entered into a definitive Agreement and Plan of Merger and Reorganization dated October 27, 2017, among the Company, Agora Merger Sub, Inc. and Vaxart, Inc. (the “Merger Agreement”) pursuant to which Vaxart., a privately-held clinical-stage company focused on developing oral recombinant vaccines from its proprietary delivery platform, would become a wholly-owned subsidiary of the Company (the “Merger”). This transaction marks the culmination of the Company’s Strategic Review process which was initiated in April. The Merger will result in a combined company focused on developing orally-delivered vaccines and therapeutics to address a variety of viral infections.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exchange ratio in the merger agreement was determined by Vaxart assigning $60,000,000 in value to Aviragen for its financial and clinical assets, and $90,000,000 in value for its own assets. On a pro forma basis after giving effect to the number of shares of Aviragen common stock that will be issued to Vaxart security holders in the Merger and assuming no adjustments for cash balances as provided for in the Merger Agreement, current Vaxart security holders will own approximately 60% of the combined company and current Aviragen security holders will own approximately 40% of the combined company. The transaction has been approved by the boards of directors of both companies. The Merger is expected to close in the first quarter of 2018, subject to the approval of the stockholders of each company as well as other customary conditions.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closing of the Merger, the name of the combined company will become Vaxart, Inc. and shares of the combined company are expected to continue trading on the NASDAQ Capital Market under the proposed ticker symbol VXRT. Wouter Latour, M.D., will serve as Chief Executive Officer of the combined 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Prior to the completion of the proposed merger, the Company plans to continue to finance its operations with existing cash, cash equivalents and investments.</w:t>
      </w:r>
    </w:p>
    <w:p>
      <w:pPr>
        <w:spacing w:after="0" w:line="243" w:lineRule="exact"/>
        <w:rPr>
          <w:sz w:val="20"/>
          <w:szCs w:val="20"/>
          <w:color w:val="auto"/>
        </w:rPr>
      </w:pPr>
    </w:p>
    <w:p>
      <w:pPr>
        <w:ind w:left="500" w:hanging="492"/>
        <w:spacing w:after="0"/>
        <w:tabs>
          <w:tab w:leader="none" w:pos="50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Rule 10-01 of Regulation S-X. All material adjustments considered necessary for a fair presentation have been included. Certain information and footnote disclosure normally included in financial statements prepared in accordance with U.S. GAAP have been condensed or omitted pursuant to instructions, rules and regulations prescribed by the U.S. Securities and Exchange Commission (“SEC”). Except as disclosed herein, there has been no material change in the information disclosed in the notes to the condensed consolidated financial statements included in the Company’s Annual Report on Form 10-K that was filed with the SEC on September 1, 2017.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3" w:name="page274"/>
    <w:bookmarkEnd w:id="27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all of its wholly owned subsidiaries. All inter-company transactions and balances are eliminated in consolidation.</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Operating results for the three months ended September 30, 2017 are not necessarily indicative of those in future quarters or the annual results that may be expected for the Company’s fiscal year ending June 30, 2018. For a more complete discussion of the Company’s significant accounting policies and other information, this report should be read in conjunction with the consolidated financial statements for the fiscal year ended June 30, 2017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accounting policies have not changed since June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May 2014, the FASB issued authoritative accounting guidance related to revenue from contracts with customers. This guidance is a comprehensive new revenue recognition model that requires a company to recognize revenue to depict the transfer of goods or services to a customer at an amount that reflects the consideration it expects to receive in exchange for those goods or services. This guidance is effective for annual reporting periods beginning after December 15, 2017. Accordingly, the Company will adopt this guidance on July 1, 2018. Companies may use either a full retrospective or a modified retrospective approach to adopt this guidance. The Company is evaluating which transition approach to use and its impact, if any, on its consolidated financial statements.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2016, the FASB issued guidance related to financial instruments - overall recognition and measurement of financial assets and financial liabilities. The guidance enhances the reporting model for financial instruments, which includes amendments to address aspects of recognition, measurement, presentation and disclosure. The update to the standard is effective for public companies for interim and annual periods beginning after December 15, 2017. Accordingly, the standard is effective for the Company on July 1, 2018. The Company is currently evaluating the impact that the standard will have on the consolidated financial statements.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new guidance on leases. This guidance replaces the prior lease accounting guidance in its entirety. The underlying principle of the new standard is the recognition of lease assets and lease liabilities by lessees for substantially all leases, with an exception for leases with terms of less than twelve months. The standard also requires additional quantitative and qualitative disclosures. The guidance is effective for interim and annual reporting periods beginning after December 15, 2018, and early adoption is permitted. The standard requires a modified retrospective approach, which includes several optional practical expedients. Accordingly, the standard is effective for the Company on July 1, 2019. The Company is currently evaluating the impact that this guidance will have on the consolidated financial statements.</w:t>
      </w:r>
    </w:p>
    <w:p>
      <w:pPr>
        <w:spacing w:after="0" w:line="17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August 2016, the FASB issued new guidance on how certain cash receipts and cash payments are presented and classified in the statement of cash flows. The standard is effective for the Company beginning July 1, 2018. Early adoption is permitted. We do not expect the adoption of this guidance to have a material impact on the consolidated financial statements.</w:t>
      </w:r>
    </w:p>
    <w:p>
      <w:pPr>
        <w:spacing w:after="0" w:line="395" w:lineRule="exact"/>
        <w:rPr>
          <w:sz w:val="20"/>
          <w:szCs w:val="20"/>
          <w:color w:val="auto"/>
        </w:rPr>
      </w:pPr>
    </w:p>
    <w:p>
      <w:pPr>
        <w:ind w:left="500" w:hanging="492"/>
        <w:spacing w:after="0"/>
        <w:tabs>
          <w:tab w:leader="none" w:pos="5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8"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A fair value hierarchy has been established that requires the Company to maximize the use of observable inputs, where available, and minimize the use of unobservable inputs when measuring fair value. The fair value hierarchy describes three levels of inputs that may be used to measure fair value:</w:t>
      </w:r>
    </w:p>
    <w:p>
      <w:pPr>
        <w:spacing w:after="0" w:line="144"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7" w:lineRule="exact"/>
        <w:rPr>
          <w:sz w:val="20"/>
          <w:szCs w:val="20"/>
          <w:color w:val="auto"/>
        </w:rPr>
      </w:pPr>
    </w:p>
    <w:p>
      <w:pPr>
        <w:jc w:val="both"/>
        <w:ind w:left="1600" w:hanging="1022"/>
        <w:spacing w:after="0" w:line="249" w:lineRule="auto"/>
        <w:tabs>
          <w:tab w:leader="none" w:pos="15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4" w:name="page275"/>
    <w:bookmarkEnd w:id="27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financial assets and liabilities that were measured at fair value on a recurring basis at September 30, 2017 and June 30, 2017, by level within the fair value hierarchy. The assets and liabilities measured at fair value are classified in their entirety based on the lowest level of input that is significant to the fair value measurement.</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short-term investments have been classified as Level 2, which have been initially valued at the transaction price and subsequently revalued, at the end of each reporting period, utilizing a third party pricing service. The pricing service utilizes industry standard valuation models and observable market inputs to determine value that include surveying the bond dealer community, obtaining benchmark quotes, incorporating relevant trade data, and updating spreads daily. There have been no transfers of assets or liabilities between the fair value measurement classifications.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r>
      <w:tr>
        <w:trPr>
          <w:trHeight w:val="215"/>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for Identical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September 30, 2017</w:t>
            </w: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Short-term investments available-for-sale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393"/>
        </w:trPr>
        <w:tc>
          <w:tcPr>
            <w:tcW w:w="40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Quoted Prices in</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5"/>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r>
      <w:tr>
        <w:trPr>
          <w:trHeight w:val="215"/>
        </w:trPr>
        <w:tc>
          <w:tcPr>
            <w:tcW w:w="4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for Identical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r>
      <w:tr>
        <w:trPr>
          <w:trHeight w:val="20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Short-term investments available-for-sale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Cash equivalents consist primarily of money market funds. Short-term investments consist of certificates of deposit, corporate securities, U.S. Treasury securities and U.S. agency securities, classified as available-for-sale and have maturities less than 365 days from the date of acquisition.</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shows the unrealized gains and losses and fair values for those investments as of September 30, 2017 and June 30, 2017 aggregated by major security type: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(in millions)</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September 30, 2017</w:t>
            </w:r>
          </w:p>
        </w:tc>
        <w:tc>
          <w:tcPr>
            <w:tcW w:w="2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At Cost</w:t>
            </w:r>
          </w:p>
        </w:tc>
        <w:tc>
          <w:tcPr>
            <w:tcW w:w="24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Gains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(Losses)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At Fair Value</w:t>
            </w:r>
          </w:p>
        </w:tc>
        <w:tc>
          <w:tcPr>
            <w:tcW w:w="100" w:type="dxa"/>
            <w:vAlign w:val="bottom"/>
          </w:tcPr>
          <w:p>
            <w:pPr>
              <w:spacing w:after="0"/>
              <w:rPr>
                <w:sz w:val="20"/>
                <w:szCs w:val="20"/>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Corporate notes</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5"/>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0"/>
        </w:trPr>
        <w:tc>
          <w:tcPr>
            <w:tcW w:w="34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0"/>
        </w:trPr>
        <w:tc>
          <w:tcPr>
            <w:tcW w:w="3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3480" w:type="dxa"/>
            <w:vAlign w:val="bottom"/>
          </w:tcPr>
          <w:p>
            <w:pPr>
              <w:spacing w:after="0"/>
              <w:rPr>
                <w:sz w:val="24"/>
                <w:szCs w:val="24"/>
                <w:color w:val="auto"/>
              </w:rPr>
            </w:pPr>
          </w:p>
        </w:tc>
        <w:tc>
          <w:tcPr>
            <w:tcW w:w="2780" w:type="dxa"/>
            <w:vAlign w:val="bottom"/>
            <w:gridSpan w:val="2"/>
          </w:tcPr>
          <w:p>
            <w:pPr>
              <w:jc w:val="right"/>
              <w:ind w:right="190"/>
              <w:spacing w:after="0"/>
              <w:rPr>
                <w:sz w:val="20"/>
                <w:szCs w:val="20"/>
                <w:color w:val="auto"/>
              </w:rPr>
            </w:pPr>
            <w:r>
              <w:rPr>
                <w:rFonts w:ascii="Arial" w:cs="Arial" w:eastAsia="Arial" w:hAnsi="Arial"/>
                <w:sz w:val="18"/>
                <w:szCs w:val="18"/>
                <w:color w:val="auto"/>
              </w:rPr>
              <w:t>F-A-27</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348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75" w:name="page276"/>
    <w:bookmarkEnd w:id="27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At Cost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At Fair Value</w:t>
            </w:r>
          </w:p>
        </w:tc>
        <w:tc>
          <w:tcPr>
            <w:tcW w:w="100" w:type="dxa"/>
            <w:vAlign w:val="bottom"/>
          </w:tcPr>
          <w:p>
            <w:pPr>
              <w:spacing w:after="0"/>
              <w:rPr>
                <w:sz w:val="20"/>
                <w:szCs w:val="20"/>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5"/>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c>
          <w:tcPr>
            <w:tcW w:w="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30, 2017 and June 30, 2017, the Company had investments in an unrealized gain (loss) position below material disclosure thresholds in the table above. The Company determined that the unrealized gains and losses on these investments were temporary in nature and expected the security to mature at its stated maturity principal. All available-for-sale securities held at September 30, 2017, will mature in less than one year. The fair value of cash, accounts receivable, accounts payable and accrued liabilities approximate their carrying value because of the short-term nature of these financial instruments at September 30, 2017 and June 30, 2017, respectively. The fair value of the Company’s short-term note payable, which is measured using Level 2 inputs, approximates book value, at September 30, 2017 and June 30,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Accrued and Other Current Liabilities</w:t>
            </w: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0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millions):</w:t>
            </w: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3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Salary and benefits</w:t>
            </w: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0.4</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20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expenses and other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Related to Sale of Future Royalties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April 2016, the Company sold certain royalty rights related to the approved product Inavir</w:t>
      </w:r>
      <w:r>
        <w:rPr>
          <w:rFonts w:ascii="Arial" w:cs="Arial" w:eastAsia="Arial" w:hAnsi="Arial"/>
          <w:sz w:val="28"/>
          <w:szCs w:val="28"/>
          <w:color w:val="auto"/>
          <w:vertAlign w:val="superscript"/>
        </w:rPr>
        <w:t>®</w:t>
      </w:r>
      <w:r>
        <w:rPr>
          <w:rFonts w:ascii="Arial" w:cs="Arial" w:eastAsia="Arial" w:hAnsi="Arial"/>
          <w:sz w:val="17"/>
          <w:szCs w:val="17"/>
          <w:color w:val="auto"/>
        </w:rPr>
        <w:t>, sold by Daiichi Sankyo Company, Limited (“Daiichi Sankyo”) in the Japanese market, for $20 million to HealthCare Royalty Partners III, L.P. (“HCRP”). Under the relevant accounting guidance, due to a limit on the amount of royalties that HCRP can earn under the arrangement, this transaction was accounted for as a liability that will be amortized using the interest method over the life of the arrangement. The Company has no obligation to pay any amounts to HCRP other than to pass through to HCRP its share of royalties as they are received from Daiichi Sankyo. In order to record the amortization of the liability, the Company is required to estimate the total amount of future royalty payments to be received under the License Agreement with Daiichi Sankyo and the payments that will be passed through to HCRP over the life of the agreement. The sum of the pass through amounts less the net proceeds received will be recorded as non-cash interest expense over the life of the liability. Consequently, the Company imputes interest on the unamortized portion of the liability and records non-cash interest expense using an estimated effective interest rate. The Company will periodically assess the expected royalty payments, and to the extent such payments are greater or less than the initial estimate, the Company will adjust the amortization of the liability and interest rate. As a result of this accounting, even though the Company does not retain HCRP’s share of the royalties, it will continue to record non-cash revenue related to those royalties until the amount of the associated liability and related interest is fully amortized.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6" w:name="page277"/>
    <w:bookmarkEnd w:id="27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within the liability account during the three months ended September 30, 2017:</w:t>
      </w:r>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in millions</w:t>
            </w: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Liability related to sale of future royalties, June 30, 2017</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r>
      <w:tr>
        <w:trPr>
          <w:trHeight w:val="215"/>
        </w:trPr>
        <w:tc>
          <w:tcPr>
            <w:tcW w:w="7500" w:type="dxa"/>
            <w:vAlign w:val="bottom"/>
          </w:tcPr>
          <w:p>
            <w:pPr>
              <w:ind w:left="160"/>
              <w:spacing w:after="0"/>
              <w:rPr>
                <w:sz w:val="20"/>
                <w:szCs w:val="20"/>
                <w:color w:val="auto"/>
              </w:rPr>
            </w:pPr>
            <w:r>
              <w:rPr>
                <w:rFonts w:ascii="Arial" w:cs="Arial" w:eastAsia="Arial" w:hAnsi="Arial"/>
                <w:sz w:val="18"/>
                <w:szCs w:val="18"/>
                <w:color w:val="auto"/>
              </w:rPr>
              <w:t>Non-cash royalty revenue paid to HCRP</w:t>
            </w: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5"/>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interest expense recognized</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Total Liability related to sale of future royalties, September 30, 2017</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500" w:hanging="492"/>
        <w:spacing w:after="0"/>
        <w:tabs>
          <w:tab w:leader="none" w:pos="50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Basic and diluted net loss per share has been computed based on net loss and the weighted-average number of common shares outstanding during the applicable period. For diluted net loss per share, common stock equivalents (shares of common stock issuable upon the exercise of stock options and unvested restricted stock units) are excluded from the calculation as their inclusion would be anti-dilutive. The Company has excluded all anti-dilutive share-based awards to purchase common stock in periods indicating a loss, as their effect is anti-dilutive.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historical basic and diluted net loss per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r>
      <w:tr>
        <w:trPr>
          <w:trHeight w:val="215"/>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 millions)</w:t>
            </w:r>
          </w:p>
        </w:tc>
        <w:tc>
          <w:tcPr>
            <w:tcW w:w="13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rPr>
              <w:t>Weighted-average shares outstanding</w:t>
            </w:r>
          </w:p>
        </w:tc>
        <w:tc>
          <w:tcPr>
            <w:tcW w:w="13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38,649,237</w:t>
            </w: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38,640,487</w:t>
            </w:r>
          </w:p>
        </w:tc>
        <w:tc>
          <w:tcPr>
            <w:tcW w:w="100" w:type="dxa"/>
            <w:vAlign w:val="bottom"/>
            <w:tcBorders>
              <w:top w:val="single" w:sz="8" w:color="CCEEFF"/>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Dilutive effect of restricted stock and stock options</w:t>
            </w:r>
          </w:p>
        </w:tc>
        <w:tc>
          <w:tcPr>
            <w:tcW w:w="1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40" w:type="dxa"/>
            <w:vAlign w:val="bottom"/>
            <w:gridSpan w:val="3"/>
          </w:tcPr>
          <w:p>
            <w:pPr>
              <w:spacing w:after="0"/>
              <w:rPr>
                <w:sz w:val="20"/>
                <w:szCs w:val="20"/>
                <w:color w:val="auto"/>
              </w:rPr>
            </w:pPr>
            <w:r>
              <w:rPr>
                <w:rFonts w:ascii="Arial" w:cs="Arial" w:eastAsia="Arial" w:hAnsi="Arial"/>
                <w:sz w:val="18"/>
                <w:szCs w:val="18"/>
                <w:color w:val="auto"/>
              </w:rPr>
              <w:t>Shares used to compute diluted earnings per share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38,649,237</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38,640,487</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Basic net loss per share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line="195" w:lineRule="exact"/>
              <w:rPr>
                <w:sz w:val="20"/>
                <w:szCs w:val="20"/>
                <w:color w:val="auto"/>
              </w:rPr>
            </w:pPr>
            <w:r>
              <w:rPr>
                <w:rFonts w:ascii="Arial" w:cs="Arial" w:eastAsia="Arial" w:hAnsi="Arial"/>
                <w:sz w:val="18"/>
                <w:szCs w:val="18"/>
                <w:color w:val="auto"/>
              </w:rPr>
              <w:t>(0.14)</w:t>
            </w:r>
          </w:p>
        </w:tc>
        <w:tc>
          <w:tcPr>
            <w:tcW w:w="460" w:type="dxa"/>
            <w:vAlign w:val="bottom"/>
            <w:shd w:val="clear" w:color="auto" w:fill="CCEEFF"/>
          </w:tcPr>
          <w:p>
            <w:pPr>
              <w:jc w:val="right"/>
              <w:ind w:right="27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line="195" w:lineRule="exact"/>
              <w:rPr>
                <w:sz w:val="20"/>
                <w:szCs w:val="20"/>
                <w:color w:val="auto"/>
              </w:rPr>
            </w:pPr>
            <w:r>
              <w:rPr>
                <w:rFonts w:ascii="Arial" w:cs="Arial" w:eastAsia="Arial" w:hAnsi="Arial"/>
                <w:sz w:val="18"/>
                <w:szCs w:val="18"/>
                <w:color w:val="auto"/>
              </w:rPr>
              <w:t>(0.26)</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6740" w:type="dxa"/>
            <w:vAlign w:val="bottom"/>
            <w:gridSpan w:val="3"/>
          </w:tcPr>
          <w:p>
            <w:pPr>
              <w:spacing w:after="0" w:line="195" w:lineRule="exact"/>
              <w:rPr>
                <w:sz w:val="20"/>
                <w:szCs w:val="20"/>
                <w:color w:val="auto"/>
              </w:rPr>
            </w:pPr>
            <w:r>
              <w:rPr>
                <w:rFonts w:ascii="Arial" w:cs="Arial" w:eastAsia="Arial" w:hAnsi="Arial"/>
                <w:sz w:val="18"/>
                <w:szCs w:val="18"/>
                <w:color w:val="auto"/>
              </w:rPr>
              <w:t>Diluted net loss per share</w:t>
            </w:r>
          </w:p>
        </w:tc>
        <w:tc>
          <w:tcPr>
            <w:tcW w:w="170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(0.14)</w:t>
            </w:r>
          </w:p>
        </w:tc>
        <w:tc>
          <w:tcPr>
            <w:tcW w:w="460" w:type="dxa"/>
            <w:vAlign w:val="bottom"/>
          </w:tcPr>
          <w:p>
            <w:pPr>
              <w:jc w:val="right"/>
              <w:ind w:right="27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(0.26)</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Number of anti-dilutive share-based awards excluded from computation</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20"/>
              <w:spacing w:after="0" w:line="195" w:lineRule="exact"/>
              <w:rPr>
                <w:sz w:val="20"/>
                <w:szCs w:val="20"/>
                <w:color w:val="auto"/>
              </w:rPr>
            </w:pPr>
            <w:r>
              <w:rPr>
                <w:rFonts w:ascii="Arial" w:cs="Arial" w:eastAsia="Arial" w:hAnsi="Arial"/>
                <w:sz w:val="18"/>
                <w:szCs w:val="18"/>
                <w:color w:val="auto"/>
              </w:rPr>
              <w:t>7,452,999</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5,806,900</w:t>
            </w:r>
          </w:p>
        </w:tc>
        <w:tc>
          <w:tcPr>
            <w:tcW w:w="100" w:type="dxa"/>
            <w:vAlign w:val="bottom"/>
            <w:shd w:val="clear" w:color="auto" w:fill="CCEEFF"/>
          </w:tcPr>
          <w:p>
            <w:pPr>
              <w:spacing w:after="0"/>
              <w:rPr>
                <w:sz w:val="17"/>
                <w:szCs w:val="17"/>
                <w:color w:val="auto"/>
              </w:rPr>
            </w:pPr>
          </w:p>
        </w:tc>
      </w:tr>
      <w:tr>
        <w:trPr>
          <w:trHeight w:val="646"/>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6380" w:type="dxa"/>
            <w:vAlign w:val="bottom"/>
          </w:tcPr>
          <w:p>
            <w:pPr>
              <w:ind w:left="140"/>
              <w:spacing w:after="0"/>
              <w:rPr>
                <w:sz w:val="20"/>
                <w:szCs w:val="20"/>
                <w:color w:val="auto"/>
              </w:rPr>
            </w:pPr>
            <w:r>
              <w:rPr>
                <w:rFonts w:ascii="Arial" w:cs="Arial" w:eastAsia="Arial" w:hAnsi="Arial"/>
                <w:sz w:val="18"/>
                <w:szCs w:val="18"/>
                <w:b w:val="1"/>
                <w:bCs w:val="1"/>
                <w:color w:val="auto"/>
              </w:rPr>
              <w:t>Licenses, Royalty Collaborative and Contractual Arrangements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agreements</w:t>
      </w:r>
    </w:p>
    <w:p>
      <w:pPr>
        <w:spacing w:after="0" w:line="22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Company entered into a royalty-bearing research and license agreement with GlaxoSmithKline (“GSK”) in 1990 for the development and commercialization of zanamivir, a neuraminidase inhibitor marketed by GSK as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to treat influenza. Under the terms of the agreement, the Company licensed zanamivir to GSK on an exclusive, worldwide basis. Most of the Company’s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patents have expired and the only substantial remaining intellectual property related to the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patent portfolio is scheduled to expire in July 2019 in Japan. Until that patent expires, the Company will receive a 7% royalty on GSK’s annual net sales of Relenza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Japan.</w:t>
      </w:r>
    </w:p>
    <w:p>
      <w:pPr>
        <w:spacing w:after="0" w:line="83" w:lineRule="exact"/>
        <w:rPr>
          <w:sz w:val="20"/>
          <w:szCs w:val="20"/>
          <w:color w:val="auto"/>
        </w:rPr>
      </w:pPr>
    </w:p>
    <w:p>
      <w:pPr>
        <w:jc w:val="both"/>
        <w:spacing w:after="0" w:line="195" w:lineRule="auto"/>
        <w:rPr>
          <w:sz w:val="20"/>
          <w:szCs w:val="20"/>
          <w:color w:val="auto"/>
        </w:rPr>
      </w:pPr>
      <w:r>
        <w:rPr>
          <w:rFonts w:ascii="Arial" w:cs="Arial" w:eastAsia="Arial" w:hAnsi="Arial"/>
          <w:sz w:val="17"/>
          <w:szCs w:val="17"/>
          <w:color w:val="auto"/>
        </w:rPr>
        <w:t>The Company also generates royalty revenue from the sale of Inavir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(laninamivir octanoate or LANI) in Japan, pursuant to a collaboration and license agreement and a related commercialization agreement (collectively, the “Inavir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License Agreement”) with Daiichi Sankyo. Under the Inavir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License</w:t>
      </w:r>
    </w:p>
    <w:p>
      <w:pPr>
        <w:jc w:val="both"/>
        <w:spacing w:after="0" w:line="246" w:lineRule="auto"/>
        <w:rPr>
          <w:sz w:val="20"/>
          <w:szCs w:val="20"/>
          <w:color w:val="auto"/>
        </w:rPr>
      </w:pPr>
      <w:r>
        <w:rPr>
          <w:rFonts w:ascii="Arial" w:cs="Arial" w:eastAsia="Arial" w:hAnsi="Arial"/>
          <w:sz w:val="16"/>
          <w:szCs w:val="16"/>
          <w:color w:val="auto"/>
        </w:rPr>
        <w:t>Agreement, the Company currently receives a 4% royalty on net sales of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Japan and is eligible to earn sales milestone payments. Under the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License Agreement, the Company and Daiichi Sankyo have cross-licensed the world-wide rights to develop and commercialize the related intellectual property, and have agreed to share equally in any royalties, license fees, or milestone or other payments received from any third party licenses outside of</w:t>
      </w:r>
    </w:p>
    <w:p>
      <w:pPr>
        <w:spacing w:after="0" w:line="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Japan. The patent relating to hydrates and the crystalline form of LANI used in Inavir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expires in 2021 (not including extensions) in the U.S. and EU and in 2024 in Japan. In February 2015, a patent containing claims relevant to the manufacture of Inavir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issued in Japan and expires in December 2029.</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7" w:name="page278"/>
    <w:bookmarkEnd w:id="27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April 2016, the Company entered into a Royalty Interest Acquisition Agreement (“Agreement”) with HCRP. Under the Agreement, HCRP made a $20 million cash payment to the Company in consideration for acquiring from the Company certain royalty rights (“Royalty Rights”) related to Inavir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Japanese market.</w:t>
      </w:r>
    </w:p>
    <w:p>
      <w:pPr>
        <w:sectPr>
          <w:pgSz w:w="11900" w:h="16838" w:orient="portrait"/>
          <w:cols w:equalWidth="0" w:num="1">
            <w:col w:w="11420"/>
          </w:cols>
          <w:pgMar w:left="240" w:top="118"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key components of the Company’s revenues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Royalty revenue - Relenza</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-171450</wp:posOffset>
            </wp:positionV>
            <wp:extent cx="687959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79590" cy="1625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Non-cash royalty revenue related to the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4445</wp:posOffset>
            </wp:positionV>
            <wp:extent cx="6879590" cy="162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79590" cy="162560"/>
                    </a:xfrm>
                    <a:prstGeom prst="rect">
                      <a:avLst/>
                    </a:prstGeom>
                    <a:noFill/>
                  </pic:spPr>
                </pic:pic>
              </a:graphicData>
            </a:graphic>
          </wp:anchor>
        </w:drawing>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revenue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contract arrangements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Three Months Ended September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640" w:type="dxa"/>
            <w:vAlign w:val="bottom"/>
            <w:gridSpan w:val="2"/>
          </w:tcPr>
          <w:p>
            <w:pPr>
              <w:jc w:val="center"/>
              <w:ind w:right="50"/>
              <w:spacing w:after="0"/>
              <w:rPr>
                <w:sz w:val="20"/>
                <w:szCs w:val="20"/>
                <w:color w:val="auto"/>
              </w:rPr>
            </w:pPr>
            <w:r>
              <w:rPr>
                <w:rFonts w:ascii="Arial" w:cs="Arial" w:eastAsia="Arial" w:hAnsi="Arial"/>
                <w:sz w:val="17"/>
                <w:szCs w:val="17"/>
                <w:b w:val="1"/>
                <w:bCs w:val="1"/>
                <w:color w:val="auto"/>
                <w:w w:val="71"/>
              </w:rPr>
              <w:t>millions)</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7" w:lineRule="exact"/>
        <w:rPr>
          <w:sz w:val="20"/>
          <w:szCs w:val="20"/>
          <w:color w:val="auto"/>
        </w:rPr>
      </w:pPr>
    </w:p>
    <w:p>
      <w:pPr>
        <w:sectPr>
          <w:pgSz w:w="11900" w:h="16838" w:orient="portrait"/>
          <w:cols w:equalWidth="0" w:num="2">
            <w:col w:w="6940" w:space="720"/>
            <w:col w:w="3760"/>
          </w:cols>
          <w:pgMar w:left="240" w:top="118" w:right="239" w:bottom="1440" w:gutter="0" w:footer="0" w:header="0"/>
          <w:type w:val="continuous"/>
        </w:sectPr>
      </w:pP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2016, the Company entered into an exclusive, worldwide license for RSV replication inhibitors intellectual property with Georgia State University Research Foundation (“GSURF”) in exchange for an upfront fee, future milestone payments and royalties on future net sales of any products that utilize the underlying RSV intellectual property. The Company has an obligation to make a minimum payment of $10,000 to GSURF annually until the license agreement expires or is terminated. The Company also entered into a two year sponsored research agreement with GSURF for annual sponsored research payments.</w:t>
      </w:r>
    </w:p>
    <w:p>
      <w:pPr>
        <w:spacing w:after="0" w:line="184" w:lineRule="exact"/>
        <w:rPr>
          <w:sz w:val="20"/>
          <w:szCs w:val="20"/>
          <w:color w:val="auto"/>
        </w:rPr>
      </w:pPr>
    </w:p>
    <w:p>
      <w:pPr>
        <w:ind w:left="500" w:hanging="492"/>
        <w:spacing w:after="0"/>
        <w:tabs>
          <w:tab w:leader="none" w:pos="5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October 30, 2017, the Company announced that it had entered into the Merger Agreement pursuant to which Vaxart., a privately-held clinical-stage company focused on developing oral recombinant vaccines from its proprietary delivery platform, would become a wholly-owned subsidiary of the Company. This transaction marks the culmination of the Company’s Strategic Review process which was initiated in April. The Merger will result in a combined company focused on developing orally-delivered vaccines and therapeutics to address a variety of viral infections.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8" w:name="page279"/>
    <w:bookmarkEnd w:id="27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Pr>
          <w:p>
            <w:pPr>
              <w:jc w:val="center"/>
              <w:ind w:right="3808"/>
              <w:spacing w:after="0"/>
              <w:rPr>
                <w:sz w:val="20"/>
                <w:szCs w:val="20"/>
                <w:color w:val="auto"/>
              </w:rPr>
            </w:pPr>
            <w:r>
              <w:rPr>
                <w:rFonts w:ascii="Arial" w:cs="Arial" w:eastAsia="Arial" w:hAnsi="Arial"/>
                <w:sz w:val="18"/>
                <w:szCs w:val="18"/>
                <w:b w:val="1"/>
                <w:bCs w:val="1"/>
                <w:color w:val="auto"/>
                <w:w w:val="98"/>
              </w:rPr>
              <w:t>VAXART, INC.</w:t>
            </w:r>
          </w:p>
        </w:tc>
      </w:t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tcPr>
          <w:p>
            <w:pPr>
              <w:jc w:val="center"/>
              <w:ind w:right="3808"/>
              <w:spacing w:after="0"/>
              <w:rPr>
                <w:sz w:val="20"/>
                <w:szCs w:val="20"/>
                <w:color w:val="auto"/>
              </w:rPr>
            </w:pPr>
            <w:r>
              <w:rPr>
                <w:rFonts w:ascii="Arial" w:cs="Arial" w:eastAsia="Arial" w:hAnsi="Arial"/>
                <w:sz w:val="18"/>
                <w:szCs w:val="18"/>
                <w:b w:val="1"/>
                <w:bCs w:val="1"/>
                <w:color w:val="auto"/>
              </w:rPr>
              <w:t>INDEX TO FINANCIAL STATEMENTS</w:t>
            </w:r>
          </w:p>
        </w:tc>
      </w:tr>
      <w:tr>
        <w:trPr>
          <w:trHeight w:val="605"/>
        </w:trPr>
        <w:tc>
          <w:tcPr>
            <w:tcW w:w="2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80">
              <w:r>
                <w:rPr>
                  <w:rFonts w:ascii="Arial" w:cs="Arial" w:eastAsia="Arial" w:hAnsi="Arial"/>
                  <w:sz w:val="18"/>
                  <w:szCs w:val="18"/>
                  <w:color w:val="0000EE"/>
                  <w:w w:val="91"/>
                </w:rPr>
                <w:t>Report of Independent Auditors</w:t>
              </w:r>
            </w:hyperlink>
          </w:p>
        </w:tc>
        <w:tc>
          <w:tcPr>
            <w:tcW w:w="1600" w:type="dxa"/>
            <w:vAlign w:val="bottom"/>
            <w:gridSpan w:val="3"/>
          </w:tcPr>
          <w:p>
            <w:pPr>
              <w:spacing w:after="0"/>
              <w:rPr>
                <w:sz w:val="24"/>
                <w:szCs w:val="24"/>
                <w:color w:val="auto"/>
              </w:rPr>
            </w:pPr>
          </w:p>
        </w:tc>
        <w:tc>
          <w:tcPr>
            <w:tcW w:w="7520" w:type="dxa"/>
            <w:vAlign w:val="bottom"/>
          </w:tcPr>
          <w:p>
            <w:pPr>
              <w:ind w:left="7040"/>
              <w:spacing w:after="0"/>
              <w:rPr>
                <w:sz w:val="20"/>
                <w:szCs w:val="20"/>
                <w:color w:val="auto"/>
              </w:rPr>
            </w:pPr>
            <w:r>
              <w:rPr>
                <w:rFonts w:ascii="Arial" w:cs="Arial" w:eastAsia="Arial" w:hAnsi="Arial"/>
                <w:sz w:val="18"/>
                <w:szCs w:val="18"/>
                <w:color w:val="auto"/>
              </w:rPr>
              <w:t>F-B-2</w:t>
            </w:r>
          </w:p>
        </w:tc>
      </w:tr>
      <w:tr>
        <w:trPr>
          <w:trHeight w:val="195"/>
        </w:trPr>
        <w:tc>
          <w:tcPr>
            <w:tcW w:w="1100" w:type="dxa"/>
            <w:vAlign w:val="bottom"/>
            <w:tcBorders>
              <w:bottom w:val="single" w:sz="8" w:color="0000EE"/>
            </w:tcBorders>
          </w:tcPr>
          <w:p>
            <w:pPr>
              <w:spacing w:after="0" w:line="195" w:lineRule="exact"/>
              <w:rPr>
                <w:rFonts w:ascii="Arial" w:cs="Arial" w:eastAsia="Arial" w:hAnsi="Arial"/>
                <w:sz w:val="18"/>
                <w:szCs w:val="18"/>
                <w:color w:val="0000EE"/>
                <w:w w:val="85"/>
              </w:rPr>
            </w:pPr>
            <w:hyperlink w:anchor="page281">
              <w:r>
                <w:rPr>
                  <w:rFonts w:ascii="Arial" w:cs="Arial" w:eastAsia="Arial" w:hAnsi="Arial"/>
                  <w:sz w:val="18"/>
                  <w:szCs w:val="18"/>
                  <w:color w:val="0000EE"/>
                  <w:w w:val="85"/>
                </w:rPr>
                <w:t>Balance Sheets</w:t>
              </w:r>
            </w:hyperlink>
          </w:p>
        </w:tc>
        <w:tc>
          <w:tcPr>
            <w:tcW w:w="2800" w:type="dxa"/>
            <w:vAlign w:val="bottom"/>
            <w:gridSpan w:val="6"/>
          </w:tcPr>
          <w:p>
            <w:pPr>
              <w:spacing w:after="0"/>
              <w:rPr>
                <w:sz w:val="16"/>
                <w:szCs w:val="16"/>
                <w:color w:val="auto"/>
              </w:rPr>
            </w:pPr>
          </w:p>
        </w:tc>
        <w:tc>
          <w:tcPr>
            <w:tcW w:w="7520" w:type="dxa"/>
            <w:vAlign w:val="bottom"/>
          </w:tcPr>
          <w:p>
            <w:pPr>
              <w:ind w:left="7040"/>
              <w:spacing w:after="0" w:line="195" w:lineRule="exact"/>
              <w:rPr>
                <w:sz w:val="20"/>
                <w:szCs w:val="20"/>
                <w:color w:val="auto"/>
              </w:rPr>
            </w:pPr>
            <w:r>
              <w:rPr>
                <w:rFonts w:ascii="Arial" w:cs="Arial" w:eastAsia="Arial" w:hAnsi="Arial"/>
                <w:sz w:val="18"/>
                <w:szCs w:val="18"/>
                <w:color w:val="auto"/>
              </w:rPr>
              <w:t>F-B-3</w:t>
            </w:r>
          </w:p>
        </w:tc>
      </w:tr>
      <w:tr>
        <w:trPr>
          <w:trHeight w:val="195"/>
        </w:trPr>
        <w:tc>
          <w:tcPr>
            <w:tcW w:w="368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282">
              <w:r>
                <w:rPr>
                  <w:rFonts w:ascii="Arial" w:cs="Arial" w:eastAsia="Arial" w:hAnsi="Arial"/>
                  <w:sz w:val="18"/>
                  <w:szCs w:val="18"/>
                  <w:color w:val="0000EE"/>
                  <w:w w:val="88"/>
                </w:rPr>
                <w:t>Statements of Operations and Comprehensive Loss</w:t>
              </w:r>
            </w:hyperlink>
          </w:p>
        </w:tc>
        <w:tc>
          <w:tcPr>
            <w:tcW w:w="220" w:type="dxa"/>
            <w:vAlign w:val="bottom"/>
          </w:tcPr>
          <w:p>
            <w:pPr>
              <w:spacing w:after="0"/>
              <w:rPr>
                <w:sz w:val="16"/>
                <w:szCs w:val="16"/>
                <w:color w:val="auto"/>
              </w:rPr>
            </w:pPr>
          </w:p>
        </w:tc>
        <w:tc>
          <w:tcPr>
            <w:tcW w:w="7520" w:type="dxa"/>
            <w:vAlign w:val="bottom"/>
          </w:tcPr>
          <w:p>
            <w:pPr>
              <w:ind w:left="7040"/>
              <w:spacing w:after="0" w:line="195" w:lineRule="exact"/>
              <w:rPr>
                <w:sz w:val="20"/>
                <w:szCs w:val="20"/>
                <w:color w:val="auto"/>
              </w:rPr>
            </w:pPr>
            <w:r>
              <w:rPr>
                <w:rFonts w:ascii="Arial" w:cs="Arial" w:eastAsia="Arial" w:hAnsi="Arial"/>
                <w:sz w:val="18"/>
                <w:szCs w:val="18"/>
                <w:color w:val="auto"/>
              </w:rPr>
              <w:t>F-B-4</w:t>
            </w:r>
          </w:p>
        </w:tc>
      </w:tr>
      <w:tr>
        <w:trPr>
          <w:trHeight w:val="195"/>
        </w:trPr>
        <w:tc>
          <w:tcPr>
            <w:tcW w:w="3220" w:type="dxa"/>
            <w:vAlign w:val="bottom"/>
            <w:tcBorders>
              <w:bottom w:val="single" w:sz="8" w:color="0000EE"/>
            </w:tcBorders>
            <w:gridSpan w:val="5"/>
          </w:tcPr>
          <w:p>
            <w:pPr>
              <w:spacing w:after="0" w:line="195" w:lineRule="exact"/>
              <w:rPr>
                <w:rFonts w:ascii="Arial" w:cs="Arial" w:eastAsia="Arial" w:hAnsi="Arial"/>
                <w:sz w:val="18"/>
                <w:szCs w:val="18"/>
                <w:color w:val="0000EE"/>
                <w:w w:val="92"/>
              </w:rPr>
            </w:pPr>
            <w:hyperlink w:anchor="page283">
              <w:r>
                <w:rPr>
                  <w:rFonts w:ascii="Arial" w:cs="Arial" w:eastAsia="Arial" w:hAnsi="Arial"/>
                  <w:sz w:val="18"/>
                  <w:szCs w:val="18"/>
                  <w:color w:val="0000EE"/>
                  <w:w w:val="92"/>
                </w:rPr>
                <w:t>Statements of Stockholders’ Equity (Deficit)</w:t>
              </w:r>
            </w:hyperlink>
          </w:p>
        </w:tc>
        <w:tc>
          <w:tcPr>
            <w:tcW w:w="680" w:type="dxa"/>
            <w:vAlign w:val="bottom"/>
            <w:gridSpan w:val="2"/>
          </w:tcPr>
          <w:p>
            <w:pPr>
              <w:spacing w:after="0"/>
              <w:rPr>
                <w:sz w:val="16"/>
                <w:szCs w:val="16"/>
                <w:color w:val="auto"/>
              </w:rPr>
            </w:pPr>
          </w:p>
        </w:tc>
        <w:tc>
          <w:tcPr>
            <w:tcW w:w="7520" w:type="dxa"/>
            <w:vAlign w:val="bottom"/>
          </w:tcPr>
          <w:p>
            <w:pPr>
              <w:ind w:left="7040"/>
              <w:spacing w:after="0" w:line="195" w:lineRule="exact"/>
              <w:rPr>
                <w:sz w:val="20"/>
                <w:szCs w:val="20"/>
                <w:color w:val="auto"/>
              </w:rPr>
            </w:pPr>
            <w:r>
              <w:rPr>
                <w:rFonts w:ascii="Arial" w:cs="Arial" w:eastAsia="Arial" w:hAnsi="Arial"/>
                <w:sz w:val="18"/>
                <w:szCs w:val="18"/>
                <w:color w:val="auto"/>
              </w:rPr>
              <w:t>F-B-5</w:t>
            </w:r>
          </w:p>
        </w:tc>
      </w:tr>
      <w:tr>
        <w:trPr>
          <w:trHeight w:val="195"/>
        </w:trPr>
        <w:tc>
          <w:tcPr>
            <w:tcW w:w="1880" w:type="dxa"/>
            <w:vAlign w:val="bottom"/>
            <w:tcBorders>
              <w:bottom w:val="single" w:sz="8" w:color="0000EE"/>
            </w:tcBorders>
            <w:gridSpan w:val="2"/>
          </w:tcPr>
          <w:p>
            <w:pPr>
              <w:spacing w:after="0" w:line="195" w:lineRule="exact"/>
              <w:rPr>
                <w:rFonts w:ascii="Arial" w:cs="Arial" w:eastAsia="Arial" w:hAnsi="Arial"/>
                <w:sz w:val="18"/>
                <w:szCs w:val="18"/>
                <w:color w:val="0000EE"/>
                <w:w w:val="88"/>
              </w:rPr>
            </w:pPr>
            <w:hyperlink w:anchor="page284">
              <w:r>
                <w:rPr>
                  <w:rFonts w:ascii="Arial" w:cs="Arial" w:eastAsia="Arial" w:hAnsi="Arial"/>
                  <w:sz w:val="18"/>
                  <w:szCs w:val="18"/>
                  <w:color w:val="0000EE"/>
                  <w:w w:val="88"/>
                </w:rPr>
                <w:t>Statements of Cash Flows</w:t>
              </w:r>
            </w:hyperlink>
          </w:p>
        </w:tc>
        <w:tc>
          <w:tcPr>
            <w:tcW w:w="2020" w:type="dxa"/>
            <w:vAlign w:val="bottom"/>
            <w:gridSpan w:val="5"/>
          </w:tcPr>
          <w:p>
            <w:pPr>
              <w:spacing w:after="0"/>
              <w:rPr>
                <w:sz w:val="16"/>
                <w:szCs w:val="16"/>
                <w:color w:val="auto"/>
              </w:rPr>
            </w:pPr>
          </w:p>
        </w:tc>
        <w:tc>
          <w:tcPr>
            <w:tcW w:w="7520" w:type="dxa"/>
            <w:vAlign w:val="bottom"/>
          </w:tcPr>
          <w:p>
            <w:pPr>
              <w:ind w:left="7040"/>
              <w:spacing w:after="0" w:line="195" w:lineRule="exact"/>
              <w:rPr>
                <w:sz w:val="20"/>
                <w:szCs w:val="20"/>
                <w:color w:val="auto"/>
              </w:rPr>
            </w:pPr>
            <w:r>
              <w:rPr>
                <w:rFonts w:ascii="Arial" w:cs="Arial" w:eastAsia="Arial" w:hAnsi="Arial"/>
                <w:sz w:val="18"/>
                <w:szCs w:val="18"/>
                <w:color w:val="auto"/>
              </w:rPr>
              <w:t>F-B-6</w:t>
            </w:r>
          </w:p>
        </w:tc>
      </w:tr>
      <w:tr>
        <w:trPr>
          <w:trHeight w:val="195"/>
        </w:trPr>
        <w:tc>
          <w:tcPr>
            <w:tcW w:w="3900" w:type="dxa"/>
            <w:vAlign w:val="bottom"/>
            <w:gridSpan w:val="7"/>
          </w:tcPr>
          <w:p>
            <w:pPr>
              <w:spacing w:after="0" w:line="195" w:lineRule="exact"/>
              <w:rPr>
                <w:rFonts w:ascii="Arial" w:cs="Arial" w:eastAsia="Arial" w:hAnsi="Arial"/>
                <w:sz w:val="18"/>
                <w:szCs w:val="18"/>
                <w:color w:val="0000EE"/>
              </w:rPr>
            </w:pPr>
            <w:hyperlink w:anchor="page285">
              <w:r>
                <w:rPr>
                  <w:rFonts w:ascii="Arial" w:cs="Arial" w:eastAsia="Arial" w:hAnsi="Arial"/>
                  <w:sz w:val="18"/>
                  <w:szCs w:val="18"/>
                  <w:color w:val="0000EE"/>
                </w:rPr>
                <w:t>Notes to Financial Statements</w:t>
              </w:r>
            </w:hyperlink>
          </w:p>
        </w:tc>
        <w:tc>
          <w:tcPr>
            <w:tcW w:w="7520" w:type="dxa"/>
            <w:vAlign w:val="bottom"/>
          </w:tcPr>
          <w:p>
            <w:pPr>
              <w:ind w:left="7040"/>
              <w:spacing w:after="0" w:line="195" w:lineRule="exact"/>
              <w:rPr>
                <w:sz w:val="20"/>
                <w:szCs w:val="20"/>
                <w:color w:val="auto"/>
              </w:rPr>
            </w:pPr>
            <w:r>
              <w:rPr>
                <w:rFonts w:ascii="Arial" w:cs="Arial" w:eastAsia="Arial" w:hAnsi="Arial"/>
                <w:sz w:val="18"/>
                <w:szCs w:val="18"/>
                <w:color w:val="auto"/>
              </w:rPr>
              <w:t>F-B-7</w:t>
            </w:r>
          </w:p>
        </w:tc>
      </w:tr>
      <w:tr>
        <w:trPr>
          <w:trHeight w:val="488"/>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tcPr>
          <w:p>
            <w:pPr>
              <w:jc w:val="center"/>
              <w:ind w:right="3788"/>
              <w:spacing w:after="0"/>
              <w:rPr>
                <w:sz w:val="20"/>
                <w:szCs w:val="20"/>
                <w:color w:val="auto"/>
              </w:rPr>
            </w:pPr>
            <w:r>
              <w:rPr>
                <w:rFonts w:ascii="Arial" w:cs="Arial" w:eastAsia="Arial" w:hAnsi="Arial"/>
                <w:sz w:val="22"/>
                <w:szCs w:val="22"/>
                <w:color w:val="auto"/>
                <w:w w:val="94"/>
              </w:rPr>
              <w:t>F-B-1</w:t>
            </w:r>
          </w:p>
        </w:tc>
      </w:tr>
      <w:tr>
        <w:trPr>
          <w:trHeight w:val="104"/>
        </w:trPr>
        <w:tc>
          <w:tcPr>
            <w:tcW w:w="1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5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79" w:name="page280"/>
    <w:bookmarkEnd w:id="27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Auditors’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audited the accompanying financial statements of Vaxart, Inc. (the Company), which comprise the balance sheets as of December 31, 2016 and 2015, and the related statements of operations and comprehensive loss, changes in stockholders’ equity (deficit), and cash flows for the years then ended, and the related notes to the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Financial Statements</w:t>
      </w:r>
    </w:p>
    <w:p>
      <w:pPr>
        <w:spacing w:after="0" w:line="224"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U.S. generally accepted accounting principles; this includes the design, implementation, and maintenance of internal control relevant to the preparation and fair presentation of financial statements that are free from material misstatement, whether due to fraud or error.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224"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224"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Vaxart, Inc. as of December 31, 2016 and 2015, and the results of its operations and its cash flows for the years then ended in accordance with U.S. generally accepted accounting principles.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Emphasis of Matter</w:t>
      </w:r>
    </w:p>
    <w:p>
      <w:pPr>
        <w:spacing w:after="0" w:line="224" w:lineRule="exact"/>
        <w:rPr>
          <w:sz w:val="20"/>
          <w:szCs w:val="20"/>
          <w:color w:val="auto"/>
        </w:rPr>
      </w:pPr>
    </w:p>
    <w:p>
      <w:pPr>
        <w:ind w:right="400"/>
        <w:spacing w:after="0" w:line="300"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from operations and has a debt obligations that raise substantial doubt about its ability to continue as a going concern. Management’s plans in regard to these matters are also described in note 1. The financial statements do not include any adjustments that might result from the outcome of this uncertainty. Our opinion is not modified with respect to this matter.</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4, 2017</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80" w:name="page281"/>
    <w:bookmarkEnd w:id="28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jc w:val="center"/>
              <w:ind w:left="4890"/>
              <w:spacing w:after="0"/>
              <w:rPr>
                <w:sz w:val="20"/>
                <w:szCs w:val="20"/>
                <w:color w:val="auto"/>
              </w:rPr>
            </w:pPr>
            <w:r>
              <w:rPr>
                <w:rFonts w:ascii="Arial" w:cs="Arial" w:eastAsia="Arial" w:hAnsi="Arial"/>
                <w:sz w:val="18"/>
                <w:szCs w:val="18"/>
                <w:b w:val="1"/>
                <w:bCs w:val="1"/>
                <w:color w:val="auto"/>
                <w:w w:val="98"/>
              </w:rPr>
              <w:t>VAXART, INC.</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560" w:type="dxa"/>
            <w:vAlign w:val="bottom"/>
            <w:gridSpan w:val="2"/>
          </w:tcPr>
          <w:p>
            <w:pPr>
              <w:jc w:val="center"/>
              <w:ind w:left="4730"/>
              <w:spacing w:after="0"/>
              <w:rPr>
                <w:sz w:val="20"/>
                <w:szCs w:val="20"/>
                <w:color w:val="auto"/>
              </w:rPr>
            </w:pPr>
            <w:r>
              <w:rPr>
                <w:rFonts w:ascii="Arial" w:cs="Arial" w:eastAsia="Arial" w:hAnsi="Arial"/>
                <w:sz w:val="18"/>
                <w:szCs w:val="18"/>
                <w:b w:val="1"/>
                <w:bCs w:val="1"/>
                <w:color w:val="auto"/>
                <w:w w:val="98"/>
              </w:rPr>
              <w:t>BALANCE SHEETS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4"/>
          </w:tcPr>
          <w:p>
            <w:pPr>
              <w:jc w:val="center"/>
              <w:ind w:left="3170"/>
              <w:spacing w:after="0"/>
              <w:rPr>
                <w:sz w:val="20"/>
                <w:szCs w:val="20"/>
                <w:color w:val="auto"/>
              </w:rPr>
            </w:pPr>
            <w:r>
              <w:rPr>
                <w:rFonts w:ascii="Arial" w:cs="Arial" w:eastAsia="Arial" w:hAnsi="Arial"/>
                <w:sz w:val="18"/>
                <w:szCs w:val="18"/>
                <w:color w:val="auto"/>
                <w:w w:val="87"/>
              </w:rPr>
              <w:t>(in thousands, except share and per share amounts)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4,668</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 billed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14,852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Promissory note payable to Oxford Finance, current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Convertible promissory notes, current – related parties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Embedded derivative liability, current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Convertible promissory notes, long-term – related parties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32,789</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Embedded derivative liability, long-term</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Promissory note payable to Oxford finance, long-term</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45,527</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Convertible preferred stock, $0.00001 par value, 82,553,957 authorized;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60,645,918 issued and outstanding as of December 31, 2015 and 2016 and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September 30, 2017 (unaudited); aggregate liquidation value of $39,956 as of</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December 31, 2015 and 2016 and September 30, 2017 (unaudited)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0" w:type="dxa"/>
            <w:vAlign w:val="bottom"/>
          </w:tcPr>
          <w:p>
            <w:pPr>
              <w:ind w:left="260"/>
              <w:spacing w:after="0" w:line="201" w:lineRule="exact"/>
              <w:rPr>
                <w:sz w:val="20"/>
                <w:szCs w:val="20"/>
                <w:color w:val="auto"/>
              </w:rPr>
            </w:pPr>
            <w:r>
              <w:rPr>
                <w:rFonts w:ascii="Arial" w:cs="Arial" w:eastAsia="Arial" w:hAnsi="Arial"/>
                <w:sz w:val="18"/>
                <w:szCs w:val="18"/>
                <w:color w:val="auto"/>
                <w:w w:val="96"/>
              </w:rPr>
              <w:t>Common stock, $0.00001 par value, 110,000,000 shares authorized; 6,696,847</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w w:val="93"/>
              </w:rPr>
              <w:t>issued and outstanding as of December 31, 2015; 6,738,292 shares issued and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w w:val="99"/>
              </w:rPr>
              <w:t>outstanding as of December 31, 2016 and September 30, 2017(unaudited)</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40,758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(54,038)</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(70,400)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(78,907)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tcPr>
          <w:p>
            <w:pPr>
              <w:ind w:left="84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(13,798)</w:t>
            </w: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(29,641)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(37,774)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21,770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15,886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1" w:name="page282"/>
    <w:bookmarkEnd w:id="28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 from government contract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12,191</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17,634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17,019</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(16,682)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Gain on sale of equipment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(2,574)</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(3,943)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(2,974)</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financial instruments</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(19,513)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(16,362)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(22,391)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(19,248)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(14,340)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6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used in computing net loss per share attributable to</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6,395,307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6,734,912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6,733,777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4"/>
              </w:rPr>
              <w:t>6,738,292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40" w:type="dxa"/>
            <w:vAlign w:val="bottom"/>
          </w:tcPr>
          <w:p>
            <w:pPr>
              <w:ind w:left="200"/>
              <w:spacing w:after="0" w:line="189" w:lineRule="exact"/>
              <w:rPr>
                <w:sz w:val="20"/>
                <w:szCs w:val="20"/>
                <w:color w:val="auto"/>
              </w:rPr>
            </w:pPr>
            <w:r>
              <w:rPr>
                <w:rFonts w:ascii="Arial" w:cs="Arial" w:eastAsia="Arial" w:hAnsi="Arial"/>
                <w:sz w:val="18"/>
                <w:szCs w:val="18"/>
                <w:color w:val="auto"/>
              </w:rPr>
              <w:t>common stockholders, basic and diluted</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2" w:name="page283"/>
    <w:bookmarkEnd w:id="28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Convertible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2020" w:type="dxa"/>
            <w:vAlign w:val="bottom"/>
            <w:gridSpan w:val="4"/>
          </w:tcPr>
          <w:p>
            <w:pPr>
              <w:ind w:left="42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Paid-in</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60,645,918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6,274,184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39,836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 upon exercise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422,663</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and warrant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(19,513)</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60,645,918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6,696,847</w:t>
            </w:r>
          </w:p>
        </w:tc>
        <w:tc>
          <w:tcPr>
            <w:tcW w:w="12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(54,038)</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 upon exercise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41,445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Stock-based compensation and warrant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(16,362)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60,645,918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6,738,292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Stock-based compensation (unaudited)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2017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60,645,918</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6,738,292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41,132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3" w:name="page284"/>
    <w:bookmarkEnd w:id="28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60" w:type="dxa"/>
            <w:vAlign w:val="bottom"/>
            <w:gridSpan w:val="2"/>
          </w:tcPr>
          <w:p>
            <w:pPr>
              <w:jc w:val="center"/>
              <w:ind w:left="4930"/>
              <w:spacing w:after="0"/>
              <w:rPr>
                <w:sz w:val="20"/>
                <w:szCs w:val="20"/>
                <w:color w:val="auto"/>
              </w:rPr>
            </w:pPr>
            <w:r>
              <w:rPr>
                <w:rFonts w:ascii="Arial" w:cs="Arial" w:eastAsia="Arial" w:hAnsi="Arial"/>
                <w:sz w:val="18"/>
                <w:szCs w:val="18"/>
                <w:b w:val="1"/>
                <w:bCs w:val="1"/>
                <w:color w:val="auto"/>
                <w:w w:val="98"/>
              </w:rPr>
              <w:t>VAXART, INC.</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7440" w:type="dxa"/>
            <w:vAlign w:val="bottom"/>
            <w:gridSpan w:val="4"/>
          </w:tcPr>
          <w:p>
            <w:pPr>
              <w:jc w:val="center"/>
              <w:ind w:left="3850"/>
              <w:spacing w:after="0"/>
              <w:rPr>
                <w:sz w:val="20"/>
                <w:szCs w:val="20"/>
                <w:color w:val="auto"/>
              </w:rPr>
            </w:pPr>
            <w:r>
              <w:rPr>
                <w:rFonts w:ascii="Arial" w:cs="Arial" w:eastAsia="Arial" w:hAnsi="Arial"/>
                <w:sz w:val="18"/>
                <w:szCs w:val="18"/>
                <w:b w:val="1"/>
                <w:bCs w:val="1"/>
                <w:color w:val="auto"/>
                <w:w w:val="98"/>
              </w:rPr>
              <w:t>STATEMENTS OF CASH FLOWS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jc w:val="center"/>
              <w:ind w:left="4930"/>
              <w:spacing w:after="0"/>
              <w:rPr>
                <w:sz w:val="20"/>
                <w:szCs w:val="20"/>
                <w:color w:val="auto"/>
              </w:rPr>
            </w:pPr>
            <w:r>
              <w:rPr>
                <w:rFonts w:ascii="Arial" w:cs="Arial" w:eastAsia="Arial" w:hAnsi="Arial"/>
                <w:sz w:val="18"/>
                <w:szCs w:val="18"/>
                <w:color w:val="auto"/>
                <w:w w:val="89"/>
              </w:rPr>
              <w:t>(in thousands)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(19,513)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(16,362)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(12,179)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sale of equipment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discount on short-term investments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660"/>
              <w:spacing w:after="0"/>
              <w:rPr>
                <w:sz w:val="20"/>
                <w:szCs w:val="20"/>
                <w:color w:val="auto"/>
              </w:rPr>
            </w:pPr>
            <w:r>
              <w:rPr>
                <w:rFonts w:ascii="Arial" w:cs="Arial" w:eastAsia="Arial" w:hAnsi="Arial"/>
                <w:sz w:val="18"/>
                <w:szCs w:val="18"/>
                <w:color w:val="auto"/>
              </w:rPr>
              <w:t>Discount on secured promissory note</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fair value of financial instruments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660"/>
              <w:spacing w:after="0"/>
              <w:rPr>
                <w:sz w:val="20"/>
                <w:szCs w:val="20"/>
                <w:color w:val="auto"/>
              </w:rPr>
            </w:pPr>
            <w:r>
              <w:rPr>
                <w:rFonts w:ascii="Arial" w:cs="Arial" w:eastAsia="Arial" w:hAnsi="Arial"/>
                <w:sz w:val="18"/>
                <w:szCs w:val="18"/>
                <w:color w:val="auto"/>
              </w:rPr>
              <w:t>Non-cash interest</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1,561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note discount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 - billed</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820"/>
              <w:spacing w:after="0"/>
              <w:rPr>
                <w:sz w:val="20"/>
                <w:szCs w:val="20"/>
                <w:color w:val="auto"/>
              </w:rPr>
            </w:pPr>
            <w:r>
              <w:rPr>
                <w:rFonts w:ascii="Arial" w:cs="Arial" w:eastAsia="Arial" w:hAnsi="Arial"/>
                <w:sz w:val="18"/>
                <w:szCs w:val="18"/>
                <w:color w:val="auto"/>
              </w:rPr>
              <w:t>Accounts receivable - unbilled</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(15,222)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(18,352)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(15,855)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Proceeds from maturities of short-term investments</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18,093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equipment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6"/>
              </w:rPr>
              <w:t>Proceeds from issuance of secured promissory note, net of issuance costs</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Proceeds from issuance of convertible promissory notes, net of issuance costs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11,017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8"/>
              </w:rPr>
              <w:t>Proceeds from issuance of common stock upon exercise of stock options</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11,072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96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(4,787)</w:t>
            </w: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(9,541)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(15,578)</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17,946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disclosure of non-cash financing activity – Warrant issued in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4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connection with promissory notes</w:t>
            </w:r>
          </w:p>
        </w:tc>
        <w:tc>
          <w:tcPr>
            <w:tcW w:w="3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4" w:name="page285"/>
    <w:bookmarkEnd w:id="28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VAXART,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(Information as of September 30, 2017 and for the nine months ended September 30, 2016 and 2017 is 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Vaxart, Inc. (“Vaxart” or the “Company”) was originally incorporated in California in March 2004 under the name West Coast Biologicals, Inc. The Company changed its name to Vaxart, Inc. in July 2007, and reincorporated in the state of Delaware. The Company is a clinical-stage biotechnology company focused on developing oral recombinant vaccines that are administered in tablet form. The Company’s initial vaccine candidates target a variety of infectious diseases, including norovirus for which two Phase 1 human studies have been completed, seasonal influenza, for which a Phase 2 challenge study was recently completed, and respiratory syncytial virus, or RSV, as well as Vaxart’s first therapeutic vaccine targeting human papillomavirus, or HPV. These vaccine candidates will require significant additional research and development work, including extensive clinical trials, and also regulatory approval prior to commercial use. The Company’s principal operations are based in South San Francisco, California and it operates in one segment.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Going Concern</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incorporation, the Company has been involved primarily in performing research and development activities, hiring personnel, and raising capital to support and expand these activities. The Company has experienced losses and negative cash flows from operations since its inception. As of December 31, 2016 and September 30, 2017, the Company had an accumulated deficit of $70.4 million and $78.9 million, respectively, convertible promissory notes held by related parties, and a loan due to Oxford Finance, LLC. Management expects to continue to incur additional losses and negative operating cash flows for the next several years.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2016, the Company entered into a loan and security agreement with Oxford Finance, LLC. (the “Loan Agreement”), under which the Company borrowed $5 million and was provided an option to borrow an additional $10 million upon a $30 million financing. In conjunction with the Loan Agreement, all of the holders of convertible promissory notes signed subordination agreements, under which they agreed not to demand or receive any payment until all amounts owed to Oxford Finance under the Loan Agreement are fully paid in cash, thus extending the due dates of the promissory notes potentially to January 2021. The Company plans to finance its operations in the future with additional debt or equity financing arrangements, revenue from its contract with the Department of Health and Human Services, Office of Biomedical Advanced Research and Development Authority (HHS BARDA), and potentially with additional funding from government contracts or strategic alliances with partner companies. The availability and amount of such funding is not certain.</w:t>
      </w:r>
    </w:p>
    <w:p>
      <w:pPr>
        <w:spacing w:after="0" w:line="16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risks and uncertainties described above raise substantial doubt about the Company’s ability to continue as a going concern. The financial statements do not include any adjustments related to the recoverability and classification of recorded assets or the amounts and classifications of liabilities or any other adjustments that might result from the outcome of this uncertainty.</w:t>
      </w:r>
    </w:p>
    <w:p>
      <w:pPr>
        <w:spacing w:after="0" w:line="179" w:lineRule="exact"/>
        <w:rPr>
          <w:sz w:val="20"/>
          <w:szCs w:val="20"/>
          <w:color w:val="auto"/>
        </w:rPr>
      </w:pPr>
    </w:p>
    <w:p>
      <w:pPr>
        <w:ind w:left="340" w:hanging="332"/>
        <w:spacing w:after="0"/>
        <w:tabs>
          <w:tab w:leader="none" w:pos="3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rFonts w:ascii="Arial" w:cs="Arial" w:eastAsia="Arial" w:hAnsi="Arial"/>
          <w:sz w:val="18"/>
          <w:szCs w:val="18"/>
          <w:b w:val="1"/>
          <w:bCs w:val="1"/>
          <w:color w:val="auto"/>
        </w:rPr>
      </w:pPr>
    </w:p>
    <w:p>
      <w:pPr>
        <w:ind w:left="660" w:hanging="329"/>
        <w:spacing w:after="0"/>
        <w:tabs>
          <w:tab w:leader="none" w:pos="660" w:val="left"/>
        </w:tabs>
        <w:numPr>
          <w:ilvl w:val="1"/>
          <w:numId w:val="2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 The preparation of financial statements in conformity U.S. GAAP requires management to make estimates and assumptions that affect the reported amounts of assets and liabilities, disclosure of contingent assets and liabilities, and reported amounts of expenses in the financial statements and accompanying notes. On an ongoing basis, management evaluates its estimates, including those related to accruals for research and development, fair value of embedded derivatives, convertible preferred stock and related warrants, common stock, stock-based compensation and income taxes. Actual results could differ from those estimates.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Unaudited Interim Financial Information</w:t>
      </w:r>
    </w:p>
    <w:p>
      <w:pPr>
        <w:spacing w:after="0" w:line="2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financial statements as of September 30, 2017 and for the nine months ended September 30, 2016 and 2017 and the related interim information contained within the notes to the financial statements are unaudited. The unaudited interim financial statements have been prepared on the same basis as the audited financial statements and in the opinion of management, reflect all normal recurring adjustments necessary for a fair statement of the Company’s financial position as of September 30, 2017 and the results of operations and cash flows for the nine months ended September 30, 2016 and 2017. The results of operations for the nine months ended September 30, 2017 are not necessarily indicative of the results to be expected for the year ended December 31, 2017 or for other future interim periods or years.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5" w:name="page286"/>
    <w:bookmarkEnd w:id="28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4" w:lineRule="exact"/>
        <w:rPr>
          <w:sz w:val="20"/>
          <w:szCs w:val="20"/>
          <w:color w:val="auto"/>
        </w:rPr>
      </w:pPr>
    </w:p>
    <w:p>
      <w:pPr>
        <w:ind w:right="580"/>
        <w:spacing w:after="0" w:line="306" w:lineRule="auto"/>
        <w:rPr>
          <w:sz w:val="20"/>
          <w:szCs w:val="20"/>
          <w:color w:val="auto"/>
        </w:rPr>
      </w:pPr>
      <w:r>
        <w:rPr>
          <w:rFonts w:ascii="Arial" w:cs="Arial" w:eastAsia="Arial" w:hAnsi="Arial"/>
          <w:sz w:val="17"/>
          <w:szCs w:val="17"/>
          <w:color w:val="auto"/>
        </w:rPr>
        <w:t>The Company considers all highly liquid instruments with an original maturity of three months or less at time of purchase to be cash equivalents. Cash equivalents, which consist of amounts invested in money market funds, corporate bonds and commercial paper, are stated at fair value.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Short-Term Investments</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short-term investments are comprised of commercial paper and corporate bonds. The short-term investments are classified as held-to-maturity based on the Company’s positive intent and ability to hold the securities to maturity. This classification is reevaluated at each balance sheet date. Short-term investments are stated at amortized cost, adjusted for amortization of premiums and accretion of discounts to maturity. Such amortization is presented as interest income in the statement of operations and comprehensive loss. The specific identification method is used to determine the realized gain or loss on securities sold or otherwise disposed. When the fair value of a debt security classified as held-to-maturity is less than its amortized cost, the Company assesses whether or not: (i) it has the intent to sell the security or (ii) it is more likely than not that the Company will be required to sell the security before its anticipated recovery. If either of these conditions is met, the Company must recognize an other-than-temporary impairment through earnings for the difference between the debt security’s amortized cost basis and its fair value. Gains and losses are recognized in earnings when the investments are sold or impaired.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Concentration of Credit Risk</w:t>
      </w:r>
    </w:p>
    <w:p>
      <w:pPr>
        <w:spacing w:after="0" w:line="224"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cash equivalents and short-term investments. The Company maintains its cash, cash equivalents and short-term investments at financial institutions that management believes are of high credit quality. The Company is exposed to credit risk in the event of default by the financial institutions holding the cash and cash equivalents to the extent such amounts are in excess of the federally insured limits. The Company has not experienced any losses on its deposits since inception.</w:t>
      </w:r>
    </w:p>
    <w:p>
      <w:pPr>
        <w:spacing w:after="0" w:line="171"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Accounts Receivable</w:t>
      </w:r>
    </w:p>
    <w:p>
      <w:pPr>
        <w:spacing w:after="0" w:line="224"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Accounts receivable arise from the Company’s contract with HHS BARDA and are reported at amounts expected to be collected in future periods. Accounts receivable – unbilled arise from work performed that has not been billed. No allowance for doubtful accounts is deemed necessary.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Property and equipment is carried at cost less accumulated depreciation and amortization. Depreciation and amortization is computed using the straight-line method over the estimated useful lives of the respective assets. Depreciation and amortization begins at the time the asset is placed in service. Maintenance and repairs are charged to operations as incurred. Upon sale or retirement of assets, the cost and related accumulated depreciation and amortization are removed from the balance sheet and the resulting gain or loss is reflected in operations in the period realized.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The useful lives of the property and equipment are as follows:</w:t>
            </w:r>
          </w:p>
        </w:tc>
        <w:tc>
          <w:tcPr>
            <w:tcW w:w="4980" w:type="dxa"/>
            <w:vAlign w:val="bottom"/>
          </w:tcPr>
          <w:p>
            <w:pPr>
              <w:spacing w:after="0"/>
              <w:rPr>
                <w:sz w:val="19"/>
                <w:szCs w:val="19"/>
                <w:color w:val="auto"/>
              </w:rPr>
            </w:pPr>
          </w:p>
        </w:tc>
      </w:tr>
      <w:tr>
        <w:trPr>
          <w:trHeight w:val="215"/>
        </w:trPr>
        <w:tc>
          <w:tcPr>
            <w:tcW w:w="1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980" w:type="dxa"/>
            <w:vAlign w:val="bottom"/>
          </w:tcPr>
          <w:p>
            <w:pPr>
              <w:spacing w:after="0"/>
              <w:rPr>
                <w:sz w:val="18"/>
                <w:szCs w:val="18"/>
                <w:color w:val="auto"/>
              </w:rPr>
            </w:pPr>
          </w:p>
        </w:tc>
      </w:tr>
      <w:tr>
        <w:trPr>
          <w:trHeight w:val="215"/>
        </w:trPr>
        <w:tc>
          <w:tcPr>
            <w:tcW w:w="12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9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5 years</w:t>
            </w:r>
          </w:p>
        </w:tc>
      </w:tr>
      <w:tr>
        <w:trPr>
          <w:trHeight w:val="215"/>
        </w:trPr>
        <w:tc>
          <w:tcPr>
            <w:tcW w:w="1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4980" w:type="dxa"/>
            <w:vAlign w:val="bottom"/>
          </w:tcPr>
          <w:p>
            <w:pPr>
              <w:jc w:val="center"/>
              <w:ind w:left="410"/>
              <w:spacing w:after="0"/>
              <w:rPr>
                <w:sz w:val="20"/>
                <w:szCs w:val="20"/>
                <w:color w:val="auto"/>
              </w:rPr>
            </w:pPr>
            <w:r>
              <w:rPr>
                <w:rFonts w:ascii="Arial" w:cs="Arial" w:eastAsia="Arial" w:hAnsi="Arial"/>
                <w:sz w:val="18"/>
                <w:szCs w:val="18"/>
                <w:color w:val="auto"/>
                <w:w w:val="88"/>
              </w:rPr>
              <w:t>3 years</w:t>
            </w:r>
          </w:p>
        </w:tc>
      </w:tr>
      <w:tr>
        <w:trPr>
          <w:trHeight w:val="215"/>
        </w:trPr>
        <w:tc>
          <w:tcPr>
            <w:tcW w:w="12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9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0"/>
              </w:rPr>
              <w:t>Shorter of remaining lease term or estimated useful life</w:t>
            </w:r>
          </w:p>
        </w:tc>
      </w:tr>
    </w:tbl>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Intangible Assets</w:t>
      </w:r>
    </w:p>
    <w:p>
      <w:pPr>
        <w:spacing w:after="0" w:line="224"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Intangible assets consist of intellectual property and are carried at cost less accumulated amortization. Amortization of intangibles is computed using the straight-line method over 20 years.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6" w:name="page287"/>
    <w:bookmarkEnd w:id="28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224"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the carrying amount of these assets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have been no impairments of the Company’s long-lived assets for the periods presented.</w:t>
      </w:r>
    </w:p>
    <w:p>
      <w:pPr>
        <w:spacing w:after="0" w:line="17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Accrued Research and Development Costs</w:t>
      </w: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accrues for estimated costs of research and development activities conducted by third-party service providers, which include the conduct of preclinical studies and clinical trials,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and comprehensive loss. These costs are a significant component of the Company’s research and development expenses.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 Convertible Preferred Stock Warrant Liability</w:t>
      </w:r>
    </w:p>
    <w:p>
      <w:pPr>
        <w:spacing w:after="0" w:line="22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Company has issued certain convertible preferred stock warrants. These warrants are presented as liabilities on the balance sheets at fair value due to down-round protection features contained in the convertible preferred stock into which the warrants are exercisable. At the end of each reporting period, changes in fair value of the warrants since the prior period are recorded as a component of change in fair value of financial instruments on the accompanying statements of operations and comprehensive loss.</w:t>
      </w:r>
    </w:p>
    <w:p>
      <w:pPr>
        <w:spacing w:after="0" w:line="18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Embedded Derivative Liability</w:t>
      </w:r>
    </w:p>
    <w:p>
      <w:pPr>
        <w:spacing w:after="0" w:line="22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Company recorded derivative instruments related to redemption features embedded within the outstanding convertible promissory notes. The embedded derivatives were accounted for as liabilities at the estimated fair value at inception and are re-measured to fair value as of each balance sheet date, with the related re-measurement adjustment being recognized as a component of changes in fair value of financial instruments in the statements of operations and comprehensive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performs research and development work under its cost-plus-fixed-fee contract with HHS BARDA.</w:t>
      </w:r>
    </w:p>
    <w:p>
      <w:pPr>
        <w:spacing w:after="0" w:line="22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Company recognizes revenue under research contracts when a contract has been executed, the contract price is fixed or determinable, delivery of services or products has occurred and collection of the contract price is reasonably assured.</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Under the cost reimbursable contract with HHS BARDA, the Company is reimbursed for allowable costs, and recognizes revenue as allowable costs are incurred and the fixed-fee is earned.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Under the HHS BARDA contract, certain activities must be pre-approved in order for their costs to be deemed allowable direct costs. The HHS BARDA contract provides the U.S. government the ability to terminate the contract for convenience or to terminate for default if the Company fails to meet its obligations as set forth in the statement of work. Management believes that if the government were to terminate the HHS BARDA contract for convenience, the costs incurred through the effective date of such termination and any settlement costs resulting from such termination would be allowable costs. Payments to the Company under cost reimbursable contracts, such as this contract,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7" w:name="page288"/>
    <w:bookmarkEnd w:id="28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 Research and Development Costs</w:t>
      </w:r>
    </w:p>
    <w:p>
      <w:pPr>
        <w:spacing w:after="0" w:line="224" w:lineRule="exact"/>
        <w:rPr>
          <w:sz w:val="20"/>
          <w:szCs w:val="20"/>
          <w:color w:val="auto"/>
        </w:rPr>
      </w:pPr>
    </w:p>
    <w:p>
      <w:pPr>
        <w:ind w:right="180"/>
        <w:spacing w:after="0" w:line="300" w:lineRule="auto"/>
        <w:rPr>
          <w:sz w:val="20"/>
          <w:szCs w:val="20"/>
          <w:color w:val="auto"/>
        </w:rPr>
      </w:pPr>
      <w:r>
        <w:rPr>
          <w:rFonts w:ascii="Arial" w:cs="Arial" w:eastAsia="Arial" w:hAnsi="Arial"/>
          <w:sz w:val="16"/>
          <w:szCs w:val="16"/>
          <w:color w:val="auto"/>
        </w:rPr>
        <w:t>Research and development costs are expensed as incurred. Research and development costs consist primarily of salaries and benefits, stock-based compensation, consultant fees, third-party costs for conducting clinical trials and the manufacture of clinical trial materials, certain facility costs and other costs associated with clinical trials. Payments made to other entities are under agreements that are generally cancelable by the Company. Advance payments for research and development activities are deferred as prepaid expenses. The prepaid amounts are expensed as the related services are performed.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 Stock-Based Compensation</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Stock-based awards issued to employees and directors, including stock options, are measured at fair value as of the grant date using the Black-Scholes option-pricing model and are recognized as expenses on a straight-line basis over the employee’s and director’s requisite service period (generally the vesting period).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15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The Company accounts for stock compensation arrangements with nonemployees using a fair value approach. Stock-based compensation for options granted to nonemployees is measured on the date of performance at the fair value of the consideration received or the fair value of the equity instruments issued, whichever is more reliably measured. Compensation expense for options granted to nonemployees is periodically re-measured as the underlying options vest.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 Income Taxes</w:t>
      </w:r>
    </w:p>
    <w:p>
      <w:pPr>
        <w:spacing w:after="0" w:line="22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must then assess the likelihood that the resulting deferred tax assets will be realized. A valuation allowance is provided when it is more likely than not that some portion or all of a deferred tax asset will not be realized.</w:t>
      </w:r>
    </w:p>
    <w:p>
      <w:pPr>
        <w:spacing w:after="0" w:line="16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 as the largest amount of benefit that is more likely than not to be realized upon the ultimate settlement.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 Net Loss per Share Attributable to Common Stockholders</w:t>
      </w:r>
    </w:p>
    <w:p>
      <w:pPr>
        <w:spacing w:after="0" w:line="22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 average number of shares of common stock outstanding during the period, without consideration of common stock equivalents. The net loss attributable to common stockholders is calculated by adjusting the net loss of the Company for the cumulative dividends on the Series B and Series C convertible preferred stock. Diluted net loss per share attributable to common stockholders is the same as basic net loss per share attributable to common stockholders, since the effect of potentially dilutive securities are anti-dilutive given the net loss of the Company.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  Recent Accounting Pronouncements</w:t>
      </w:r>
    </w:p>
    <w:p>
      <w:pPr>
        <w:spacing w:after="0" w:line="22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This update provides guidance about which changes to the terms or conditions of a share-based payment award require an entity to apply modification accounting in Topic 718. This guidance is effective for annual periods beginning after December 15, 2017, including interim periods within that year, and must be applied prospectively to an award modified on or after the adoption date. The Company will apply this guidance to modifications that occur on or after the effective date.</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August 2016, the FASB issued Accounting Standards Update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additional guidance on the presentation and classification of certain items in the statement of cash flows.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are effective for nonpublic business entities for fiscal years beginning after December 15, 2018, and interim periods within fiscal years beginning after December 15, 2019. Early adoption is permitted and the standard shall be applied retrospectively. The adoption of ASU 2016-15 is not expected to have a material effect on the Company’s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8" w:name="page289"/>
    <w:bookmarkEnd w:id="28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(ASU 2017-04), which will simplify the goodwill impairment calculation, by eliminating Step 2 from the current goodwill impairment test. The new standard does not change how a goodwill impairment is identified. The standard will be effective January 1, 2020, with early adoption permitted, and is to be applied prospectively from the date of adoption. The Company believes there will be no impact of this standard to its current financial statements.</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standard is intended to simplify several areas of accounting for share-based compensation arrangements, including the income tax impact,</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on the statement of cash flows and forfeitures. ASU 2016-09 is effective for fiscal years, and interim periods within those years, beginning after December 15, 2017 for nonpublic entities, and early adoption is permitted. The Company is currently evaluating the impact of the adoption of this standard on its financial statements, if any.</w:t>
      </w:r>
    </w:p>
    <w:p>
      <w:pPr>
        <w:spacing w:after="0" w:line="188"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supersedes existing guidance on accounting for leases in “Leases (Topic 840)” and generally requires all leases to be recognized in the balance sheet. ASU 2016-02 is effective for annual and interim reporting periods beginning after December 15, 2018; early adoption is permitted. The provisions of ASU 2016-02 are to be applied using a modified retrospective approach. The Company is currently evaluating the impact of the adoption of this standard on its financial statements, if any.</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2015-17, </w:t>
      </w:r>
      <w:r>
        <w:rPr>
          <w:rFonts w:ascii="Arial" w:cs="Arial" w:eastAsia="Arial" w:hAnsi="Arial"/>
          <w:sz w:val="18"/>
          <w:szCs w:val="18"/>
          <w:i w:val="1"/>
          <w:iCs w:val="1"/>
          <w:color w:val="auto"/>
        </w:rPr>
        <w:t>Balance Sheet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Deferred Taxes</w:t>
      </w:r>
      <w:r>
        <w:rPr>
          <w:rFonts w:ascii="Arial" w:cs="Arial" w:eastAsia="Arial" w:hAnsi="Arial"/>
          <w:sz w:val="18"/>
          <w:szCs w:val="18"/>
          <w:color w:val="auto"/>
        </w:rPr>
        <w:t>. ASU 2015-17 simplifies the presentation of deferred income taxes and requires that deferred tax assets and liabilities, as well as any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be classified as noncurrent in a classified statement of financial position. The Company adopted ASU 2015-17 during the fourth quarter of 2016 and applied it retrospectively to all periods presented, which had no impact to the prior period amounts. For additional information, see note 11, Income Taxes.</w:t>
      </w:r>
    </w:p>
    <w:p>
      <w:pPr>
        <w:spacing w:after="0" w:line="18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 – Imputation of Interest (Subtopic 835-30): Simplifying the Presentation of Debt Issuance Costs</w:t>
      </w:r>
      <w:r>
        <w:rPr>
          <w:rFonts w:ascii="Arial" w:cs="Arial" w:eastAsia="Arial" w:hAnsi="Arial"/>
          <w:sz w:val="16"/>
          <w:szCs w:val="16"/>
          <w:color w:val="auto"/>
        </w:rPr>
        <w:t>. ASU 2015-03 requires that debt issuance costs related to a recognized debt liability be presented in the balance sheet as a direct deduction from the carrying amount of that debt liability, consistent with debt discounts. ASU 2015-03 is effective for the Company in the first quarter of 2016 with early adoption permitted. The Company early adopted this guidance and accordingly, classified debt issuance costs associated with the convertible promissory notes issued in 2014 and 2015 and the promissory note issued to Oxford Finance in 2016 as direct deductions from the carrying amounts as of December 31, 2015 and 2016.</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provides guidance on determining when and how to disclose going-concern uncertainties in the financial statements. The new standard requires management to perform interim and annual assessments of an entity’s ability to continue as a going concern within one year of the date the financial statements are issued. An entity must provide certain disclosures if “conditions or events raise substantial doubt about the entity’s ability to continue as a going concern.” The ASU applies to all entities and is effective for annual periods ending after December 15, 2016, and interim periods thereafter, with early adoption permitted. The adoption of this guidance did not have a material impact on the Company’s financial statements.</w:t>
      </w:r>
    </w:p>
    <w:p>
      <w:pPr>
        <w:spacing w:after="0" w:line="17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supersedes nearly all existing revenue recognition guidance under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new standard requires a company to recognize revenue when it transfers goods and services to customers in an amount that reflects the consideration that the company expects to receive for those goods or services. ASU 2014-09 defines a five-step process that includes identifying the contract with the customer, identifying the performance obligations in the contract, determining the transaction price, allocating the transaction price to the performance obligations in the contract and recognizing revenue when (or as) the entity satisfies the performance obligations. In July 2015, the FASB approved a one-year deferral of the effective date of the new standard to 2018 for public companies, with an option that would permit companies to adopt the new standard as early as the original effective date of 2017. Early adoption prior to the original effective date is not permitted. The Company is currently assessing the impact the adoption of the new recognition guidance will have on the Company’s financial statements, if any.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Basis of Presentation</w:t>
      </w:r>
    </w:p>
    <w:p>
      <w:pPr>
        <w:spacing w:after="0" w:line="22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Certain reclassifications to the prior period have been made to conform to the current period presentation. The Balance Sheet for 2015 reflects reclassifications from Prepaid expenses and other current assets to Accounts receivable – unbilled of $51,000.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financial statements on a recurring basis (at least annually). Financial instruments include cash and cash equivalents, short-term investments, accounts payable and accrued liabilities that approximate fair value due to their relatively short maturities. As short-term investments are classified as held-to-maturity, they are recorded at their amortized cost.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9" w:name="page290"/>
    <w:bookmarkEnd w:id="28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Assets and liabilities recorded at fair value on a recurring basis in the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or liabilities at the measurement date;</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significant to the measurement of the fair value of the assets or liabilities that are supported by little or no market data.</w:t>
      </w:r>
    </w:p>
    <w:p>
      <w:pPr>
        <w:spacing w:after="0" w:line="247"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The Company’s money market funds are classified within Level 1 of the fair value hierarchy and are valued based on quoted prices in active markets for identical securities. The Company’s corporate bonds and commercial paper, classified as cash equivalents, are classified within Level 2 of the fair value hierarchy and are valued based on quoted prices for similar assets or prices derived from observable market data. Level 3 liabilities consist of embedded derivative liabilities and a convertible preferred stock warrant liability as they are valued by using inputs that are unobservable in the market. The determination of the fair values of the embedded derivative and convertible preferred stock warrants are discussed in notes 6 and 9, respectively.</w:t>
      </w:r>
    </w:p>
    <w:p>
      <w:pPr>
        <w:spacing w:after="0" w:line="161"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16,564</w:t>
            </w:r>
          </w:p>
        </w:tc>
      </w:tr>
      <w:tr>
        <w:trPr>
          <w:trHeight w:val="215"/>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320" w:type="dxa"/>
            <w:vAlign w:val="bottom"/>
          </w:tcPr>
          <w:p>
            <w:pPr>
              <w:ind w:left="16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19,568</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Financial liabilities – Embedded derivative liability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3,500</w:t>
            </w:r>
          </w:p>
        </w:tc>
        <w:tc>
          <w:tcPr>
            <w:tcW w:w="360" w:type="dxa"/>
            <w:vAlign w:val="bottom"/>
            <w:gridSpan w:val="2"/>
            <w:shd w:val="clear" w:color="auto" w:fill="CCEEFF"/>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3,500</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center"/>
              <w:ind w:left="1344"/>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760" w:type="dxa"/>
            <w:vAlign w:val="bottom"/>
          </w:tcPr>
          <w:p>
            <w:pPr>
              <w:ind w:left="128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8"/>
                <w:szCs w:val="18"/>
                <w:color w:val="auto"/>
              </w:rPr>
            </w:pPr>
          </w:p>
        </w:tc>
        <w:tc>
          <w:tcPr>
            <w:tcW w:w="20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7,046</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Financial liabilities: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215"/>
        </w:trPr>
        <w:tc>
          <w:tcPr>
            <w:tcW w:w="34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Embedded derivative liability</w:t>
            </w:r>
          </w:p>
        </w:tc>
        <w:tc>
          <w:tcPr>
            <w:tcW w:w="1760" w:type="dxa"/>
            <w:vAlign w:val="bottom"/>
            <w:gridSpan w:val="2"/>
          </w:tcPr>
          <w:p>
            <w:pPr>
              <w:jc w:val="center"/>
              <w:ind w:left="1344"/>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c>
          <w:tcPr>
            <w:tcW w:w="260" w:type="dxa"/>
            <w:vAlign w:val="bottom"/>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Warrant liability</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2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48"/>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60" w:type="dxa"/>
            <w:vAlign w:val="bottom"/>
            <w:gridSpan w:val="4"/>
          </w:tcPr>
          <w:p>
            <w:pPr>
              <w:jc w:val="center"/>
              <w:ind w:left="264"/>
              <w:spacing w:after="0"/>
              <w:rPr>
                <w:sz w:val="20"/>
                <w:szCs w:val="20"/>
                <w:color w:val="auto"/>
              </w:rPr>
            </w:pPr>
            <w:r>
              <w:rPr>
                <w:rFonts w:ascii="Arial" w:cs="Arial" w:eastAsia="Arial" w:hAnsi="Arial"/>
                <w:sz w:val="22"/>
                <w:szCs w:val="22"/>
                <w:color w:val="auto"/>
                <w:w w:val="92"/>
              </w:rPr>
              <w:t>F-B-12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4"/>
        </w:trPr>
        <w:tc>
          <w:tcPr>
            <w:tcW w:w="34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290" w:name="page291"/>
    <w:bookmarkEnd w:id="29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 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2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r>
      <w:tr>
        <w:trPr>
          <w:trHeight w:val="215"/>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w:t>
            </w:r>
          </w:p>
        </w:tc>
      </w:tr>
      <w:tr>
        <w:trPr>
          <w:trHeight w:val="20"/>
        </w:trPr>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320" w:type="dxa"/>
            <w:vAlign w:val="bottom"/>
          </w:tcPr>
          <w:p>
            <w:pPr>
              <w:ind w:left="12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5,256</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Financial liabilities: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5"/>
        </w:trPr>
        <w:tc>
          <w:tcPr>
            <w:tcW w:w="5320" w:type="dxa"/>
            <w:vAlign w:val="bottom"/>
          </w:tcPr>
          <w:p>
            <w:pPr>
              <w:ind w:left="320"/>
              <w:spacing w:after="0"/>
              <w:rPr>
                <w:sz w:val="20"/>
                <w:szCs w:val="20"/>
                <w:color w:val="auto"/>
              </w:rPr>
            </w:pPr>
            <w:r>
              <w:rPr>
                <w:rFonts w:ascii="Arial" w:cs="Arial" w:eastAsia="Arial" w:hAnsi="Arial"/>
                <w:sz w:val="18"/>
                <w:szCs w:val="18"/>
                <w:color w:val="auto"/>
              </w:rPr>
              <w:t>Embedded derivative liability</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r>
      <w:tr>
        <w:trPr>
          <w:trHeight w:val="215"/>
        </w:trPr>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3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2,448</w:t>
            </w: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changes in the fair value of the Company’s embedded derivative liability (in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w w:val="95"/>
              </w:rPr>
              <w:t>December 31,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4580" w:type="dxa"/>
            <w:vAlign w:val="bottom"/>
          </w:tcPr>
          <w:p>
            <w:pPr>
              <w:spacing w:after="0"/>
              <w:rPr>
                <w:sz w:val="18"/>
                <w:szCs w:val="18"/>
                <w:color w:val="auto"/>
              </w:rPr>
            </w:pPr>
          </w:p>
        </w:tc>
        <w:tc>
          <w:tcPr>
            <w:tcW w:w="10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45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5"/>
        </w:trPr>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r>
      <w:tr>
        <w:trPr>
          <w:trHeight w:val="215"/>
        </w:trPr>
        <w:tc>
          <w:tcPr>
            <w:tcW w:w="4580" w:type="dxa"/>
            <w:vAlign w:val="bottom"/>
          </w:tcPr>
          <w:p>
            <w:pPr>
              <w:ind w:left="160"/>
              <w:spacing w:after="0"/>
              <w:rPr>
                <w:sz w:val="20"/>
                <w:szCs w:val="20"/>
                <w:color w:val="auto"/>
              </w:rPr>
            </w:pPr>
            <w:r>
              <w:rPr>
                <w:rFonts w:ascii="Arial" w:cs="Arial" w:eastAsia="Arial" w:hAnsi="Arial"/>
                <w:sz w:val="18"/>
                <w:szCs w:val="18"/>
                <w:color w:val="auto"/>
              </w:rPr>
              <w:t>Fair value at issuance of convertible promissory notes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20"/>
        </w:trPr>
        <w:tc>
          <w:tcPr>
            <w:tcW w:w="45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Balance, end of the period</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3,280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r>
      <w:tr>
        <w:trPr>
          <w:trHeight w:val="20"/>
        </w:trPr>
        <w:tc>
          <w:tcPr>
            <w:tcW w:w="4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changes in the fair value of the Company’s convertible preferred stock warrant liability (in thousands):</w:t>
      </w:r>
    </w:p>
    <w:p>
      <w:pPr>
        <w:spacing w:after="0" w:line="2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September 30,</w:t>
            </w:r>
          </w:p>
        </w:tc>
      </w:tr>
      <w:tr>
        <w:trPr>
          <w:trHeight w:val="209"/>
        </w:trPr>
        <w:tc>
          <w:tcPr>
            <w:tcW w:w="61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r>
      <w:tr>
        <w:trPr>
          <w:trHeight w:val="215"/>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5"/>
        </w:trPr>
        <w:tc>
          <w:tcPr>
            <w:tcW w:w="6140" w:type="dxa"/>
            <w:vAlign w:val="bottom"/>
          </w:tcPr>
          <w:p>
            <w:pPr>
              <w:ind w:left="160"/>
              <w:spacing w:after="0"/>
              <w:rPr>
                <w:sz w:val="20"/>
                <w:szCs w:val="20"/>
                <w:color w:val="auto"/>
              </w:rPr>
            </w:pPr>
            <w:r>
              <w:rPr>
                <w:rFonts w:ascii="Arial" w:cs="Arial" w:eastAsia="Arial" w:hAnsi="Arial"/>
                <w:sz w:val="18"/>
                <w:szCs w:val="18"/>
                <w:color w:val="auto"/>
              </w:rPr>
              <w:t>Fair value upon issuance</w:t>
            </w:r>
          </w:p>
        </w:tc>
        <w:tc>
          <w:tcPr>
            <w:tcW w:w="1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09"/>
        </w:trPr>
        <w:tc>
          <w:tcPr>
            <w:tcW w:w="6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the period</w:t>
            </w: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F-B-13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291" w:name="page292"/>
    <w:bookmarkEnd w:id="29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U.S. Government HHS BARDA Contract</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2015, HHS BARDA awarded the Company a contract to support the advanced development of a more effective and universal influenza vaccine to improve seasonal and pandemic influenza preparedness. On May 25, 2017, the Company entered into a Modification of Contract with HHS BARDA that increased the value of the existing $14 million contract by $1.7 million, and extended it through March 31, 2018. The modified contract is a two-and-a-half-year, cost-plus-fixed-fee contract, which reimburses the Company for allowable direct contract costs plus allowable indirect costs and a fixed-fee, totaling $15.7 million. During 2015 and 2016, the Company recognized revenue of $0.3 million and $8.1 million, respectively, and during the 9 months ended September 30, 2016 and 2017 revenue of $4.5 million and $5.1 million, respectively. Billings under the contract are based on approved provisional indirect billing rates, which permit recovery of fringe benefits, overhead and general and administrative expenses. Indirect rates as well as allowable costs are subject to audit by HHS BARDA on an annual basis. Management believes that revenues recognized to date have been recorded in amounts that are expected to be realized upon final audit and settlement. When the final determination of the allowable costs for any year has been made, revenue and billings may be adjusted accordingly in the period that the adjustments are known and collection is probable. Costs relating to contract acquisition are expensed as incurred.</w:t>
      </w:r>
    </w:p>
    <w:p>
      <w:pPr>
        <w:spacing w:after="0" w:line="165" w:lineRule="exact"/>
        <w:rPr>
          <w:sz w:val="20"/>
          <w:szCs w:val="20"/>
          <w:color w:val="auto"/>
        </w:rPr>
      </w:pPr>
    </w:p>
    <w:p>
      <w:pPr>
        <w:ind w:left="340" w:hanging="332"/>
        <w:spacing w:after="0"/>
        <w:tabs>
          <w:tab w:leader="none" w:pos="3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227" w:lineRule="exact"/>
        <w:rPr>
          <w:rFonts w:ascii="Arial" w:cs="Arial" w:eastAsia="Arial" w:hAnsi="Arial"/>
          <w:sz w:val="18"/>
          <w:szCs w:val="18"/>
          <w:b w:val="1"/>
          <w:bCs w:val="1"/>
          <w:color w:val="auto"/>
        </w:rPr>
      </w:pPr>
    </w:p>
    <w:p>
      <w:pPr>
        <w:ind w:left="660" w:hanging="329"/>
        <w:spacing w:after="0"/>
        <w:tabs>
          <w:tab w:leader="none" w:pos="660" w:val="left"/>
        </w:tabs>
        <w:numPr>
          <w:ilvl w:val="1"/>
          <w:numId w:val="2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Equivalents and Short-Term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and short-term investments, all of which are classified as held-to-maturity securities, consisted of the following (in thousands):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2015</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0"/>
              <w:spacing w:after="0" w:line="190"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460"/>
              <w:spacing w:after="0" w:line="190"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0"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unrecognized</w:t>
            </w: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unrecognized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74"/>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w:t>
            </w: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bonds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w:t>
            </w: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Reported as:</w:t>
            </w: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17,065</w:t>
            </w:r>
          </w:p>
        </w:tc>
      </w:tr>
      <w:tr>
        <w:trPr>
          <w:trHeight w:val="215"/>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w:t>
            </w: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2" w:name="page293"/>
    <w:bookmarkEnd w:id="29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2016</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0"/>
              <w:spacing w:after="0" w:line="190"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460"/>
              <w:spacing w:after="0" w:line="190"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0"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unrecognized</w:t>
            </w: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unrecognized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74"/>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bonds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7,046</w:t>
            </w: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Reported as:</w:t>
            </w: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r>
      <w:tr>
        <w:trPr>
          <w:trHeight w:val="215"/>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7,046</w:t>
            </w: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8"/>
                <w:szCs w:val="18"/>
                <w:b w:val="1"/>
                <w:bCs w:val="1"/>
                <w:color w:val="auto"/>
                <w:w w:val="89"/>
              </w:rPr>
              <w:t>September 30, 2017 (unaudited)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0"/>
              <w:spacing w:after="0" w:line="190"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460"/>
              <w:spacing w:after="0" w:line="190"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90"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unrecognized</w:t>
            </w: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unrecognized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gains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74"/>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r>
      <w:tr>
        <w:trPr>
          <w:trHeight w:val="215"/>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Corporate bonds</w:t>
            </w:r>
          </w:p>
        </w:tc>
        <w:tc>
          <w:tcPr>
            <w:tcW w:w="1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r>
      <w:tr>
        <w:trPr>
          <w:trHeight w:val="196"/>
        </w:trPr>
        <w:tc>
          <w:tcPr>
            <w:tcW w:w="20" w:type="dxa"/>
            <w:vAlign w:val="bottom"/>
          </w:tcPr>
          <w:p>
            <w:pPr>
              <w:spacing w:after="0"/>
              <w:rPr>
                <w:sz w:val="17"/>
                <w:szCs w:val="17"/>
                <w:color w:val="auto"/>
              </w:rPr>
            </w:pPr>
          </w:p>
        </w:tc>
        <w:tc>
          <w:tcPr>
            <w:tcW w:w="28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Reported as:</w:t>
            </w:r>
          </w:p>
        </w:tc>
        <w:tc>
          <w:tcPr>
            <w:tcW w:w="1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r>
      <w:tr>
        <w:trPr>
          <w:trHeight w:val="215"/>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7"/>
              </w:rPr>
              <w:t>—</w:t>
            </w:r>
          </w:p>
        </w:tc>
        <w:tc>
          <w:tcPr>
            <w:tcW w:w="44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5,256</w:t>
            </w: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2015 and 2016 and September 30, 2017, the remaining contractual maturities of held-to-maturity securities were less than one year. For the years ended December 31, 2015 and 2016 and the 9 months ended September 30, 2017, there were no realized gains or losses on the held-to-maturity securities.</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each reporting date, the Company performs an evaluation of impaired debt securities to determine if the unrealized losses are other-than-temporary. The Company determines whether it intends to sell or if it is more likely than not that it will be required to sell impaired securities. This determination considers current and forecasted liquidity requirements. For all impaired debt securities for which there was no intent or expected requirement to sell, the evaluation considers all available evidence to assess whether it is likely the amortized cost value will be recovered. As of December 31, 2015 and 2016 and September 30, 2017, the Company determined that the unrealized losses for its debt securities are not other-than-temporary impairments. The Company has not recognized any other-than-temporary impairment losses on these investments during the years ended December 31, 2015 and 2016 or the 9 months ended September 30, 2017.</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F-B-15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293" w:name="page294"/>
    <w:bookmarkEnd w:id="29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(b) Property and Equipment, Net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80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r>
      <w:tr>
        <w:trPr>
          <w:trHeight w:val="215"/>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r>
      <w:tr>
        <w:trPr>
          <w:trHeight w:val="209"/>
        </w:trPr>
        <w:tc>
          <w:tcPr>
            <w:tcW w:w="660" w:type="dxa"/>
            <w:vAlign w:val="bottom"/>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property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r>
      <w:tr>
        <w:trPr>
          <w:trHeight w:val="215"/>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5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(1,152)</w:t>
            </w:r>
          </w:p>
        </w:tc>
      </w:tr>
      <w:tr>
        <w:trPr>
          <w:trHeight w:val="209"/>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500" w:type="dxa"/>
            <w:vAlign w:val="bottom"/>
          </w:tcPr>
          <w:p>
            <w:pPr>
              <w:jc w:val="right"/>
              <w:ind w:right="3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Depreciation and amortization expense for the years ended December 31, 2015 and 2016 was $261,000 and $345,000, respectively, and for the nine months ended September 30, 2016 and 2017 was $254,000 and $295,000,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(c)  Intangible Assets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800" w:type="dxa"/>
            <w:vAlign w:val="bottom"/>
            <w:gridSpan w:val="2"/>
          </w:tcPr>
          <w:p>
            <w:pPr>
              <w:spacing w:after="0"/>
              <w:rPr>
                <w:sz w:val="20"/>
                <w:szCs w:val="20"/>
                <w:color w:val="auto"/>
              </w:rPr>
            </w:pPr>
            <w:r>
              <w:rPr>
                <w:rFonts w:ascii="Arial" w:cs="Arial" w:eastAsia="Arial" w:hAnsi="Arial"/>
                <w:sz w:val="18"/>
                <w:szCs w:val="18"/>
                <w:color w:val="auto"/>
              </w:rPr>
              <w:t>Intangible assets consist of the following (in thousands):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8"/>
                <w:szCs w:val="18"/>
                <w:b w:val="1"/>
                <w:bCs w:val="1"/>
                <w:color w:val="auto"/>
                <w:w w:val="95"/>
              </w:rPr>
              <w:t>December 31,</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2"/>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5"/>
        </w:trPr>
        <w:tc>
          <w:tcPr>
            <w:tcW w:w="66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Less accumulated amortization</w:t>
            </w: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09"/>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Intangible assets, net</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20" w:type="dxa"/>
            <w:vAlign w:val="bottom"/>
          </w:tcPr>
          <w:p>
            <w:pPr>
              <w:jc w:val="right"/>
              <w:ind w:right="962"/>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0"/>
        </w:trPr>
        <w:tc>
          <w:tcPr>
            <w:tcW w:w="6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Total amortization expense was $4,000 in each of the years ended December 31, 2015 and 2016, and $3,000 for the nine months ended September 30, 2017. As of December 31, 2016, the remaining useful life of the intellectual property asset was 11 years, and the expected amortization for the remainder of the useful life was $4,000 per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(d) Accrued Liabilities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580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6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8"/>
                <w:szCs w:val="18"/>
                <w:b w:val="1"/>
                <w:bCs w:val="1"/>
                <w:color w:val="auto"/>
                <w:w w:val="95"/>
              </w:rPr>
              <w:t>December 31,</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r>
      <w:tr>
        <w:trPr>
          <w:trHeight w:val="215"/>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Accrued clinical and manufacturing expenses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876</w:t>
            </w:r>
          </w:p>
        </w:tc>
        <w:tc>
          <w:tcPr>
            <w:tcW w:w="10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services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r>
      <w:tr>
        <w:trPr>
          <w:trHeight w:val="215"/>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5"/>
        </w:trPr>
        <w:tc>
          <w:tcPr>
            <w:tcW w:w="6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09"/>
        </w:trPr>
        <w:tc>
          <w:tcPr>
            <w:tcW w:w="660" w:type="dxa"/>
            <w:vAlign w:val="bottom"/>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5"/>
        </w:trPr>
        <w:tc>
          <w:tcPr>
            <w:tcW w:w="66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w:t>
            </w:r>
          </w:p>
        </w:tc>
        <w:tc>
          <w:tcPr>
            <w:tcW w:w="1040" w:type="dxa"/>
            <w:vAlign w:val="bottom"/>
            <w:shd w:val="clear" w:color="auto" w:fill="CCEEFF"/>
          </w:tcPr>
          <w:p>
            <w:pPr>
              <w:jc w:val="right"/>
              <w:ind w:right="88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r>
      <w:tr>
        <w:trPr>
          <w:trHeight w:val="20"/>
        </w:trPr>
        <w:tc>
          <w:tcPr>
            <w:tcW w:w="66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Promissory Notes</w:t>
      </w:r>
    </w:p>
    <w:p>
      <w:pPr>
        <w:spacing w:after="0" w:line="22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On December 10, 2014, the Company entered into a note purchase agreement with certain existing preferred stockholders under which the Company issued convertible promissory notes during December 2014 for total proceeds of $18.4 million.</w:t>
      </w:r>
    </w:p>
    <w:p>
      <w:pPr>
        <w:sectPr>
          <w:pgSz w:w="11900" w:h="16838" w:orient="portrait"/>
          <w:cols w:equalWidth="0" w:num="1">
            <w:col w:w="11220"/>
          </w:cols>
          <w:pgMar w:left="240" w:top="118" w:right="439" w:bottom="1440" w:gutter="0" w:footer="0" w:header="0"/>
        </w:sectPr>
      </w:pP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F-B-16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725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type w:val="continuous"/>
        </w:sectPr>
      </w:pPr>
    </w:p>
    <w:bookmarkStart w:id="294" w:name="page295"/>
    <w:bookmarkEnd w:id="29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November 20, 2015, the Company entered into a second note purchase agreement with certain existing preferred stockholders under which the Company issued convertible promissory notes during November and December 2015 for total proceeds of $11.0 million. These notes were issued with the same terms as the notes issued in 2014.</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convertible promissory notes bear interest at a rate of 8.0% per annum. The principal and accrued interest on the notes are automatically convertible, upon a future issuance of convertible preferred stock having total proceeds of at least $25.0 million (a Qualified Financing), into that same stock at a conversion price equal to 90% of the price paid by other investors in the financing event. Upon a liquidation event, such as an acquisition or initial public offering, at the election of the majority of the noteholders in each issuance, the principal and accrued interest on the notes may either (i) be paid in full at the initial closing of the liquidation event, or (ii) automatically convert into the Company’s Series C convertible preferred stock at a conversion price based on a specified valuation.</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After two years, if the notes have not been converted, the holders of a majority of the principal amount have the option to require the entire principal balance and accrued interest to become due and payable. However, in December 2016, in conjunction with the loan agreement with Oxford Finance LLC. (see note 7), all of the holders of convertible promissory notes signed subordination agreements, under which they agreed not to demand or receive any payment until all amounts owed to Oxford Finance under the loan agreement are fully paid in cash, thus extending the due dates of the promissory notes potentially to January 2021. This change reflects a debt modification that is not considered substantially significant. Accordingly, the Company did not apply extinguishment accounting, but is accounting for the modification on a prospective basis.</w:t>
      </w:r>
    </w:p>
    <w:p>
      <w:pPr>
        <w:spacing w:after="0" w:line="1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convertible promissory notes have redemption features that were determined to be a compound embedded derivative requiring bifurcation and separate accounting at estimated fair value. The estimated fair value of the embedded derivative upon issuance was a liability of $1.9 million for the notes issued in 2014 and $1.3 million for the notes issued in 2015. The estimated fair value of these derivative instruments was recognized as a debt discount and as an embedded derivative liability on the balance sheet upon issuance of the convertible promissory notes. The embedded derivative requires periodic re-measurements to fair value while the instruments are still outstanding. There is no beneficial conversion feature as the conversion feature value is accounted for in the embedded derivative.</w:t>
      </w:r>
    </w:p>
    <w:p>
      <w:pPr>
        <w:spacing w:after="0" w:line="193"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The Company estimated the fair value of the compound embedded derivative utilizing a Monte Carlo Simulation model. The inputs used to determine the estimated fair value of the embedded derivative instrument include the probability of an underlying event triggering the redemption event and its timing prior to the maturity date of the convertible promissory notes. The fair value measurement is based upon significant inputs not observable in the market. These assumptions are inherently subjective and involve significant management judgment. A summary of the assumptions used are as follows:</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95"/>
              </w:rPr>
              <w:t>December 31,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6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2017</w:t>
            </w:r>
          </w:p>
        </w:tc>
        <w:tc>
          <w:tcPr>
            <w:tcW w:w="160" w:type="dxa"/>
            <w:vAlign w:val="bottom"/>
          </w:tcPr>
          <w:p>
            <w:pPr>
              <w:spacing w:after="0"/>
              <w:rPr>
                <w:sz w:val="18"/>
                <w:szCs w:val="18"/>
                <w:color w:val="auto"/>
              </w:rPr>
            </w:pPr>
          </w:p>
        </w:tc>
      </w:tr>
      <w:tr>
        <w:trPr>
          <w:trHeight w:val="209"/>
        </w:trPr>
        <w:tc>
          <w:tcPr>
            <w:tcW w:w="56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8"/>
                <w:szCs w:val="18"/>
                <w:color w:val="auto"/>
              </w:rPr>
            </w:pPr>
          </w:p>
        </w:tc>
      </w:tr>
      <w:tr>
        <w:trPr>
          <w:trHeight w:val="215"/>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Probabilities of a qualified financing</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1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Probabilities of a liquidation event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47.2%</w:t>
            </w:r>
          </w:p>
        </w:tc>
      </w:tr>
    </w:tbl>
    <w:p>
      <w:pPr>
        <w:spacing w:after="0" w:line="200" w:lineRule="exact"/>
        <w:rPr>
          <w:sz w:val="20"/>
          <w:szCs w:val="20"/>
          <w:color w:val="auto"/>
        </w:rPr>
      </w:pPr>
    </w:p>
    <w:p>
      <w:pPr>
        <w:spacing w:after="0" w:line="202" w:lineRule="exact"/>
        <w:rPr>
          <w:sz w:val="20"/>
          <w:szCs w:val="20"/>
          <w:color w:val="auto"/>
        </w:rPr>
      </w:pPr>
    </w:p>
    <w:p>
      <w:pPr>
        <w:ind w:right="520"/>
        <w:spacing w:after="0" w:line="306" w:lineRule="auto"/>
        <w:rPr>
          <w:sz w:val="20"/>
          <w:szCs w:val="20"/>
          <w:color w:val="auto"/>
        </w:rPr>
      </w:pPr>
      <w:r>
        <w:rPr>
          <w:rFonts w:ascii="Arial" w:cs="Arial" w:eastAsia="Arial" w:hAnsi="Arial"/>
          <w:sz w:val="17"/>
          <w:szCs w:val="17"/>
          <w:color w:val="auto"/>
        </w:rPr>
        <w:t>The Company incurred total debt issuance costs of $20,000 in connection with the 2014 issuance and $7,000 in connection with the 2015 issuance. The deferred issuance costs, which are recorded as an additional debt discount, are being amortized over the term of the notes.</w:t>
      </w:r>
    </w:p>
    <w:p>
      <w:pPr>
        <w:spacing w:after="0" w:line="14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Company’s accrued interest associated with the convertible promissory notes amounted to $1.6 million and $4.0 million as of December 31, 2015 and 2016, respectively, and $5.8 million as of September 30, 2017. The Company recognized interest expense related to the amortization of note discount of $1.0 million and $1.6 million for the years ended December 31, 2015 and 2016, respectively, and $1.2 million and $0.1 million for the 9 months ended September 30, 2016 and 2017, respectively. As of December 31, 2015 and 2016, the unamortized debt discount amounted to $2.2 million and $0.6 million, respectively, and $0.5 million as of September 30, 2017.</w:t>
      </w:r>
    </w:p>
    <w:p>
      <w:pPr>
        <w:spacing w:after="0" w:line="188"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As the holders of the convertible promissory notes each have an equity ownership in the Company, the convertible promissory notes are considered to be a related-party transaction.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5" w:name="page296"/>
    <w:bookmarkEnd w:id="29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Secured Promissory Note Payable to Oxford Finance</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22, 2016, the Company entered into a loan and security agreement (the Loan Agreement) with Oxford Finance LLC., under which the Company borrowed $5 million. The Loan Agreement provides the Company an option to borrow an additional $10 million upon a $30 million financing, subject to certain conditions. The $5 million loan, which bears interest at 30-day U.S. LIBOR plus 6.17%, is evidenced by a secured promissory note and is repayable over four years, with interest only payable over the first 12 months and the balance fully amortized over the subsequent 36 months. The loan is secured by substantially all the Company’s assets, except for intellectual property.</w:t>
      </w:r>
    </w:p>
    <w:p>
      <w:pPr>
        <w:spacing w:after="0" w:line="18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conjunction with the execution of the agreement, all the holders of convertible promissory notes signed subordination agreements, under which they agreed to subordinate in favor of Oxford Finance all amounts due under their promissory notes and any security interest in the Company’s property. In addition, the holders of the notes agreed that they would not demand or receive any payment until all amounts owed to Oxford Finance under the loan agreement is fully paid in cash.</w:t>
      </w:r>
    </w:p>
    <w:p>
      <w:pPr>
        <w:spacing w:after="0" w:line="187"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color w:val="auto"/>
        </w:rPr>
        <w:t>Upon repayment, an additional final payment equal to $325,000 is due, which is being accreted as interest expense over the term of the loan using the effective-interest method.</w:t>
      </w:r>
    </w:p>
    <w:p>
      <w:pPr>
        <w:spacing w:after="0" w:line="17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connection with the Loan Agreement, the Company issued a warrant to Oxford Finance to purchase 375,664 shares of its Series C convertible preferred stock at an exercise price of $0.665488 per share (the Warrant). The fair value of the Warrant at the date of issuance was approximately $134,000, which was recorded as debt discount and is being amortized as interest expense over the term of the loan using the effective-interest method. The Warrant provides that if the share price at the next equity financing is less than the Warrant exercise price, then the Warrant shall be for the new class of shares, the exercise price shall be the new class share price, and the number of shares shall be calculated by dividing $250,000 by the new class share price.</w:t>
      </w:r>
    </w:p>
    <w:p>
      <w:pPr>
        <w:spacing w:after="0" w:line="16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annual effective interest rate of the note, including the accretion of the final payment and the amortization of the debt discount, is approximately 10.5%. The Company recorded interest expense related to the Loan Agreement of $13,000, of which $9,000 was paid, during the year ended December 31, 2016, and $402,000, of which $241,000 was paid, during the 9 months ended September 30,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Leases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leased two office and research and development facilities in South San Francisco, California, under noncancelable operating leases. The first lease was to expire in December 2017, subject to a landlord’s option to terminate the lease by providing at least six months’ prior written notice. The second lease expires in April 2020, subject to the Company’s option to extend the lease at the then market rate for an additional five-year period. In May 2017, the Company entered into a 10-month office lease ending April 30, 2018. Rent expense is recognized on a straight-line basis over the noncancelable term of each operating lease and, accordingly, the Company records the difference between cash rent payments and the recognition of rent expense as a deferred rent liability, which is included within accrued expenses. Rent expense was $646,000 and $509,000 for the years ended December 31, 2016 and 2015, respectively. Under the terms of the lease agreements, the Company is also responsible for certain insurance, property tax and maintenance expenses. Future minimum payments under the facility leases as of December 31, 2016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2017</w:t>
            </w:r>
          </w:p>
        </w:tc>
        <w:tc>
          <w:tcPr>
            <w:tcW w:w="34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2019</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January 31, 2017, the first lease was terminated effective July 31, 2017 following the landlord’s exercise of its termination option.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 May 2017, the Company entered into a 10-month office lease ending April 30, 2018. Rent expense was $485,000 and $456,000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and 2017, respectively. Future minimum payments under the facility leases as of September 30, 2017 are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140" w:type="dxa"/>
            <w:vAlign w:val="bottom"/>
            <w:gridSpan w:val="2"/>
          </w:tcPr>
          <w:p>
            <w:pPr>
              <w:jc w:val="right"/>
              <w:ind w:right="3110"/>
              <w:spacing w:after="0"/>
              <w:rPr>
                <w:sz w:val="20"/>
                <w:szCs w:val="20"/>
                <w:color w:val="auto"/>
              </w:rPr>
            </w:pPr>
            <w:r>
              <w:rPr>
                <w:rFonts w:ascii="Arial" w:cs="Arial" w:eastAsia="Arial" w:hAnsi="Arial"/>
                <w:sz w:val="18"/>
                <w:szCs w:val="18"/>
                <w:color w:val="auto"/>
              </w:rPr>
              <w:t>(unaudited)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4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2017 (3 months)</w:t>
            </w:r>
          </w:p>
        </w:tc>
        <w:tc>
          <w:tcPr>
            <w:tcW w:w="51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2019</w:t>
            </w:r>
          </w:p>
        </w:tc>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4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00"/>
          </w:cols>
          <w:pgMar w:left="240" w:top="118" w:right="259" w:bottom="1440" w:gutter="0" w:footer="0" w:header="0"/>
        </w:sectPr>
      </w:pPr>
    </w:p>
    <w:p>
      <w:pPr>
        <w:jc w:val="center"/>
        <w:ind w:right="-19"/>
        <w:spacing w:after="0"/>
        <w:rPr>
          <w:sz w:val="20"/>
          <w:szCs w:val="20"/>
          <w:color w:val="auto"/>
        </w:rPr>
      </w:pPr>
      <w:r>
        <w:rPr>
          <w:rFonts w:ascii="Arial" w:cs="Arial" w:eastAsia="Arial" w:hAnsi="Arial"/>
          <w:sz w:val="20"/>
          <w:szCs w:val="20"/>
          <w:color w:val="auto"/>
        </w:rPr>
        <w:t>F-B-18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725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296" w:name="page297"/>
    <w:bookmarkEnd w:id="29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Research and Development</w:t>
      </w:r>
    </w:p>
    <w:p>
      <w:pPr>
        <w:spacing w:after="0" w:line="224"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The Company uses certain contract research organizations to perform certain research and clinical trial activities. In addition, the Company uses contract manufacturing organizations for certain process development activities and the production of its clinical trial materials. The Company had noncancelable purchase commitments to these organizations of approximately $1.7 million and $0.4 million as of December 31, 2016 and September 30, 2017, respectively, all due within the subsequent 12 months. The commitments as are substantially all incurred under the contract with HHS BARDA, which are reimbursable.</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Indemnifications</w:t>
      </w:r>
    </w:p>
    <w:p>
      <w:pPr>
        <w:spacing w:after="0" w:line="2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62" w:lineRule="exact"/>
        <w:rPr>
          <w:sz w:val="20"/>
          <w:szCs w:val="20"/>
          <w:color w:val="auto"/>
        </w:rPr>
      </w:pPr>
    </w:p>
    <w:p>
      <w:pPr>
        <w:ind w:left="340" w:hanging="332"/>
        <w:spacing w:after="0"/>
        <w:tabs>
          <w:tab w:leader="none" w:pos="3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rFonts w:ascii="Arial" w:cs="Arial" w:eastAsia="Arial" w:hAnsi="Arial"/>
          <w:sz w:val="18"/>
          <w:szCs w:val="18"/>
          <w:b w:val="1"/>
          <w:bCs w:val="1"/>
          <w:color w:val="auto"/>
        </w:rPr>
      </w:pPr>
    </w:p>
    <w:p>
      <w:pPr>
        <w:ind w:left="660" w:hanging="329"/>
        <w:spacing w:after="0"/>
        <w:tabs>
          <w:tab w:leader="none" w:pos="660" w:val="left"/>
        </w:tabs>
        <w:numPr>
          <w:ilvl w:val="1"/>
          <w:numId w:val="223"/>
        </w:numPr>
        <w:rPr>
          <w:rFonts w:ascii="Arial" w:cs="Arial" w:eastAsia="Arial" w:hAnsi="Arial"/>
          <w:sz w:val="18"/>
          <w:szCs w:val="18"/>
          <w:b w:val="1"/>
          <w:bCs w:val="1"/>
          <w:i w:val="1"/>
          <w:iCs w:val="1"/>
          <w:color w:val="auto"/>
        </w:rPr>
      </w:pPr>
      <w:r>
        <w:rPr>
          <w:rFonts w:ascii="Arial" w:cs="Arial" w:eastAsia="Arial" w:hAnsi="Arial"/>
          <w:sz w:val="18"/>
          <w:szCs w:val="18"/>
          <w:color w:val="auto"/>
        </w:rPr>
        <w:t>Convertible Preferred Stock</w:t>
      </w:r>
    </w:p>
    <w:p>
      <w:pPr>
        <w:spacing w:after="0" w:line="223" w:lineRule="exact"/>
        <w:rPr>
          <w:rFonts w:ascii="Arial" w:cs="Arial" w:eastAsia="Arial" w:hAnsi="Arial"/>
          <w:sz w:val="18"/>
          <w:szCs w:val="18"/>
          <w:b w:val="1"/>
          <w:bCs w:val="1"/>
          <w:i w:val="1"/>
          <w:iCs w:val="1"/>
          <w:color w:val="auto"/>
        </w:rPr>
      </w:pPr>
    </w:p>
    <w:p>
      <w:pPr>
        <w:ind w:left="660" w:right="60"/>
        <w:spacing w:after="0" w:line="276" w:lineRule="auto"/>
        <w:rPr>
          <w:rFonts w:ascii="Arial" w:cs="Arial" w:eastAsia="Arial" w:hAnsi="Arial"/>
          <w:sz w:val="18"/>
          <w:szCs w:val="18"/>
          <w:b w:val="1"/>
          <w:bCs w:val="1"/>
          <w:i w:val="1"/>
          <w:iCs w:val="1"/>
          <w:color w:val="auto"/>
        </w:rPr>
      </w:pPr>
      <w:r>
        <w:rPr>
          <w:rFonts w:ascii="Arial" w:cs="Arial" w:eastAsia="Arial" w:hAnsi="Arial"/>
          <w:sz w:val="18"/>
          <w:szCs w:val="18"/>
          <w:color w:val="auto"/>
        </w:rPr>
        <w:t>As of December 31, 2015 and 2016 and September 30, 2017 (unaudited), convertible preferred stock consisted of the following (in thousands, except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20" w:type="dxa"/>
            <w:vAlign w:val="bottom"/>
          </w:tcPr>
          <w:p>
            <w:pPr>
              <w:spacing w:after="0"/>
              <w:rPr>
                <w:sz w:val="18"/>
                <w:szCs w:val="18"/>
                <w:color w:val="auto"/>
              </w:rPr>
            </w:pP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carrying</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Liquidation</w:t>
            </w:r>
          </w:p>
        </w:tc>
      </w:tr>
      <w:tr>
        <w:trPr>
          <w:trHeight w:val="234"/>
        </w:trPr>
        <w:tc>
          <w:tcPr>
            <w:tcW w:w="462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authorized</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preference</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4,717,978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4,717,978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tcPr>
          <w:p>
            <w:pPr>
              <w:jc w:val="right"/>
              <w:spacing w:after="0"/>
              <w:rPr>
                <w:sz w:val="20"/>
                <w:szCs w:val="20"/>
                <w:color w:val="auto"/>
              </w:rPr>
            </w:pPr>
            <w:r>
              <w:rPr>
                <w:rFonts w:ascii="Arial" w:cs="Arial" w:eastAsia="Arial" w:hAnsi="Arial"/>
                <w:sz w:val="18"/>
                <w:szCs w:val="18"/>
                <w:color w:val="auto"/>
              </w:rPr>
              <w:t>37,105,352</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25,874,811</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16,115</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17,219</w:t>
            </w: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40,730,627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30,053,129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0"/>
        </w:trPr>
        <w:tc>
          <w:tcPr>
            <w:tcW w:w="46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62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82,553,957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60,645,918</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38,941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39,956</w:t>
            </w:r>
          </w:p>
        </w:tc>
      </w:tr>
      <w:tr>
        <w:trPr>
          <w:trHeight w:val="20"/>
        </w:trPr>
        <w:tc>
          <w:tcPr>
            <w:tcW w:w="4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Significant provisions of the convertible preferred stock are as follows: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The holders of Series C convertible preferred stock are entitled to receive non-compounding cumulative dividends, in preference to any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holders of Series B and Series A convertible preferred stock or common stock, at an annual dividend rate of $0.053239 per share, as adjusted for any stock splits, stock dividends, recapitalizations, or the like. Such cumulative dividends are payable within ten days of demand of the holders of at least a majority of the then outstanding Series C convertible preferred stock, or automatically upon a liquidation event. Dividends accumulate from the date of issuance and are payable, whether or not declared, before any dividend on Series B and Series A convertible preferred stock or common stock can be paid or declared. Series C convertible preferred stock shares issued as stock dividends are not entitled to cumulative dividends. The holders of Series C convertible preferred stock may elect whether the cumulative dividends will be paid in cash or in shares of Series C convertible preferred stock based on the original issue price of Series C convertible preferred stock of $0.665488 per share. In the event the board of directors declares a cash dividend in addition to the above cumulative dividends (a Special Dividend), the holders of Series C convertible preferred stock are entitled to receive, in preference to any dividends payable to the holders of Series B and Series A convertible preferred stock or common stock, a per share amount equal to the sum of: (a) the original issue price of Series C convertible preferred stock, and (b) all accrued and/or declared but unpaid dividends on such Series C convertible preferred stock, including the cumulative dividends. No dividends were declared during any of the periods presented. As of December 31, 2015 and 2016, accumulated and undeclared dividends for Series C convertible preferred stock were $3.9 million and $5.5 million, respectively ($0.13 per share and $0.18 per share, respectively, of the outstanding Series C convertible preferred stock), and as of September 30, 2017, $6.7 million ($0.22 per share).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7" w:name="page298"/>
    <w:bookmarkEnd w:id="29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holders of Series B convertible preferred stock are entitled to receive noncompounding cumulative dividends, in preference to any dividends payable to holders of Series A convertible preferred stock or common stock, at the annual dividend rate of $0.053239 per share, as adjusted for any stock splits, stock dividends, recapitalizations, or the like. Such cumulative dividends are payable within ten days of demand of the holders of at least a majority of the then outstanding Series B convertible preferred stock or automatically upon a liquidation event. Dividends accumulate from the date of issuance and are payable, whether or not declared, before any dividend on Series A convertible preferred stock or common stock can be paid or declared. Series B convertible preferred shares issued as stock dividends are not entitled to cumulative dividends. The holders of Series B convertible preferred stock may elect whether the cumulative dividends will be paid in cash or in shares of Series B convertible preferred stock based on the original issue price of Series B convertible preferred stock of $0.665488 per share. In the event the board of directors declares a cash dividend in addition to the above cumulative dividends (a Special Dividend), the holders of Series B convertible preferred stock are entitled to receive, in preference to any dividends payable to the holders of Series A convertible preferred stock or common stock, a per share amount equal to the sum of: (a) the original issue price of Series B convertible preferred stock, and</w:t>
      </w:r>
    </w:p>
    <w:p>
      <w:pPr>
        <w:spacing w:after="0" w:line="6" w:lineRule="exact"/>
        <w:rPr>
          <w:sz w:val="20"/>
          <w:szCs w:val="20"/>
          <w:color w:val="auto"/>
        </w:rPr>
      </w:pPr>
    </w:p>
    <w:p>
      <w:pPr>
        <w:ind w:right="240" w:firstLine="8"/>
        <w:spacing w:after="0" w:line="252" w:lineRule="auto"/>
        <w:tabs>
          <w:tab w:leader="none" w:pos="25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accrued and/or declared but unpaid dividends on such Series B convertible preferred stock, including the cumulative dividends. No dividends were declared during any of the periods presented. As of December 31, 2015 and 2016, accumulated and undeclared dividends for Series B convertible preferred stock were $4.9 million and $6.2 million, respectively ($0.20 per share and $0.26 per share, respectively, of the outstanding Series B convertible preferred stock), and as of September 30, 2017, $7.2 million ($0.30 per share).</w:t>
      </w:r>
    </w:p>
    <w:p>
      <w:pPr>
        <w:spacing w:after="0" w:line="19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holders of Series A convertible preferred stock are entitled to receive noncumulative dividends, in preference to any dividends payable to holders of common stock, at the annual dividend rate of $0.0464 per share, as adjusted for any stock splits, stock dividends, recapitalizations, or the like, if declared by the board of directors.</w:t>
      </w:r>
    </w:p>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 holders of convertible preferred stock are also entitled to participate in dividends on common stock, when and if declared by the board of directors, based on the outstanding convertible preferred stock (on an as-converted to common stock basis) and common stock.</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At the option of the holder, each share of convertible preferred stock is convertible, one-for-one, subject to adjustment for anti-dilution</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into shares of common stock. Each share automatically converts into the number of shares of common stock into which the shares are convertible at the then applicable conversion ratio upon: (1) the closing of the sale of the Company’s common stock in a public offering provided the offering price per share is not less than three times the Series C convertible preferred stock original issue price of $0.665488 and the aggregate gross proceeds are not less than $30.0 million, or (2) upon receipt of a written consent of the holders of a majority of the then outstanding shares of convertible preferred stock voting as a single class on an as-converted basis.</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In the event of any liquidation, dissolution or winding up of the Company, including a merger or acquisition where the beneficial owners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common and convertible preferred stock own less than 50% of the surviving entity, or a sale of all or substantially all assets, the holders of Series C convertible preferred stock will be entitled to receive a per share amount equal to $0.665488 (subject to adjustment for stock splits, stock dividends, recapitalizations, or the like), plus all dividends accrued, payable and/or in arrears (whether or not declared) minus the amount of any Special Dividends previously paid. After payment of the full liquidation preference of Series C convertible preferred stock, the holders of Series B convertible preferred stock will be entitled to receive a per share amount equal to $0.665488 (subject to adjustment for stock splits, stock dividends, recapitalizations, or the like), plus all dividends accrued, payable and/or in arrears (whether or not declared) minus the amount of any Special Dividends previously paid. After payment of the full liquidation preference of Series B convertible preferred stock, the holders of Series A convertible preferred stock will be entitled to receive an amount equal to $0.58 per share, as adjusted, plus all declared but unpaid dividends prior and in preference to any distribution to the holders of common stock. In each case, if the proceeds of such an event are insufficient to permit the liquidation payment to a particular class, any proceeds legally available for distribution to that class will be distributed ratably among the holders of that class in proportion to the preferential amounts that each holder is entitled to receive. Following payment of all convertible preferred stock preferences, any remaining legally available assets of the Company will be distributed to the holders of common stock and convertible preferred stock pro rata, based on the greatest number of shares of common stock held on an as-converted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8" w:name="page299"/>
    <w:bookmarkEnd w:id="29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 The holders of convertible preferred stock are entitled to the number of votes equal to the number of shares of common stock into which each share</w:t>
      </w:r>
      <w:r>
        <w:rPr>
          <w:rFonts w:ascii="Arial" w:cs="Arial" w:eastAsia="Arial" w:hAnsi="Arial"/>
          <w:sz w:val="17"/>
          <w:szCs w:val="17"/>
          <w:i w:val="1"/>
          <w:iCs w:val="1"/>
          <w:color w:val="auto"/>
        </w:rPr>
        <w:t xml:space="preserve"> </w:t>
      </w:r>
      <w:r>
        <w:rPr>
          <w:rFonts w:ascii="Arial" w:cs="Arial" w:eastAsia="Arial" w:hAnsi="Arial"/>
          <w:sz w:val="17"/>
          <w:szCs w:val="17"/>
          <w:color w:val="auto"/>
        </w:rPr>
        <w:t>of Series A, Series B, and Series C convertible preferred stock could be converted on the record date for the vote or consent of the stockholders, except as otherwise required by law, and have voting rights and powers equal to the voting rights and powers of the common stockholders. The holders of Series A convertible preferred stock, voting as a separate class, are entitled to elect one member of the board of directors. As long as a specified investor holds at least one share of Series C convertible preferred stock, the specified investor is able to designate one member of the board of directors, who is elected by the holders of Series C convertible preferred stock voting as a separate class. As long as a specified investor holds least one share of Series B convertible preferred stock, the specified investor is able to designate one member of the board of directors, who is elected by the holders of Series B convertible preferred stock voting as a separate class. The holders of common stock, voting as a separate class, are entitled to elect two members of the board of directors, one of whom shall be the current duly appointed chief executive officer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Protective Provisions </w:t>
      </w:r>
      <w:r>
        <w:rPr>
          <w:rFonts w:ascii="Arial" w:cs="Arial" w:eastAsia="Arial" w:hAnsi="Arial"/>
          <w:sz w:val="17"/>
          <w:szCs w:val="17"/>
          <w:color w:val="auto"/>
        </w:rPr>
        <w:t>– So long as at least 1,000,000 shares of Series C convertible preferred stock remain outstanding and for so long as at least</w:t>
      </w:r>
    </w:p>
    <w:p>
      <w:pPr>
        <w:spacing w:after="0" w:line="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1,000,000 shares of Series B convertible preferred stock remain outstanding, Series C holders and Series B holders, voting as a single class on an as-converted basis, must approve certain specified corporate actions such as amending the certificate of incorporation, authorizing additional shares of stock or additional directors, redeeming stock and entering into certain strategic relationships.</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The preferred stock is not redeemable. There are no liquidation events under the control of preferred stockholders that could result in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only the preferred stockholders would participate. Accordingly, the convertible preferred stock is classified within stockholders’ equity (deficit) on the Company’s balance sheets.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Common Stock</w:t>
      </w:r>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holders of the Company’s common stock have one vote for each share of common stock. Common stockholders are entitled to dividends when, as, and if declared by the board of directors, subject to the prior rights of the preferred stockholders. As of December 31, 2016 and September 30, 2017, no dividends had been declared by the board of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The Company had shares of common stock reserved for issuance as follows: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6420" w:type="dxa"/>
            <w:vAlign w:val="bottom"/>
          </w:tcPr>
          <w:p>
            <w:pPr>
              <w:spacing w:after="0"/>
              <w:rPr>
                <w:sz w:val="24"/>
                <w:szCs w:val="24"/>
                <w:color w:val="auto"/>
              </w:rPr>
            </w:pPr>
          </w:p>
        </w:tc>
        <w:tc>
          <w:tcPr>
            <w:tcW w:w="2200" w:type="dxa"/>
            <w:vAlign w:val="bottom"/>
            <w:gridSpan w:val="3"/>
          </w:tcPr>
          <w:p>
            <w:pPr>
              <w:ind w:left="1080"/>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r>
      <w:tr>
        <w:trPr>
          <w:trHeight w:val="209"/>
        </w:trPr>
        <w:tc>
          <w:tcPr>
            <w:tcW w:w="64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outstanding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60,645,918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60,645,918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60,645,918</w:t>
            </w:r>
          </w:p>
        </w:tc>
      </w:tr>
      <w:tr>
        <w:trPr>
          <w:trHeight w:val="215"/>
        </w:trPr>
        <w:tc>
          <w:tcPr>
            <w:tcW w:w="6420" w:type="dxa"/>
            <w:vAlign w:val="bottom"/>
          </w:tcPr>
          <w:p>
            <w:pPr>
              <w:spacing w:after="0"/>
              <w:rPr>
                <w:sz w:val="20"/>
                <w:szCs w:val="20"/>
                <w:color w:val="auto"/>
              </w:rPr>
            </w:pPr>
            <w:r>
              <w:rPr>
                <w:rFonts w:ascii="Arial" w:cs="Arial" w:eastAsia="Arial" w:hAnsi="Arial"/>
                <w:sz w:val="18"/>
                <w:szCs w:val="18"/>
                <w:color w:val="auto"/>
              </w:rPr>
              <w:t>Options issued and outstanding</w:t>
            </w:r>
          </w:p>
        </w:tc>
        <w:tc>
          <w:tcPr>
            <w:tcW w:w="1480" w:type="dxa"/>
            <w:vAlign w:val="bottom"/>
          </w:tcPr>
          <w:p>
            <w:pPr>
              <w:jc w:val="right"/>
              <w:spacing w:after="0"/>
              <w:rPr>
                <w:sz w:val="20"/>
                <w:szCs w:val="20"/>
                <w:color w:val="auto"/>
              </w:rPr>
            </w:pPr>
            <w:r>
              <w:rPr>
                <w:rFonts w:ascii="Arial" w:cs="Arial" w:eastAsia="Arial" w:hAnsi="Arial"/>
                <w:sz w:val="18"/>
                <w:szCs w:val="18"/>
                <w:color w:val="auto"/>
              </w:rPr>
              <w:t>10,785,761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13,687,378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15,961,182</w:t>
            </w: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grants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4,392,010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4,948,948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6420" w:type="dxa"/>
            <w:vAlign w:val="bottom"/>
          </w:tcPr>
          <w:p>
            <w:pPr>
              <w:spacing w:after="0"/>
              <w:rPr>
                <w:sz w:val="20"/>
                <w:szCs w:val="20"/>
                <w:color w:val="auto"/>
              </w:rPr>
            </w:pPr>
            <w:r>
              <w:rPr>
                <w:rFonts w:ascii="Arial" w:cs="Arial" w:eastAsia="Arial" w:hAnsi="Arial"/>
                <w:sz w:val="18"/>
                <w:szCs w:val="18"/>
                <w:color w:val="auto"/>
              </w:rPr>
              <w:t>Cumulative convertible preferred stock dividends</w:t>
            </w:r>
          </w:p>
        </w:tc>
        <w:tc>
          <w:tcPr>
            <w:tcW w:w="1480" w:type="dxa"/>
            <w:vAlign w:val="bottom"/>
          </w:tcPr>
          <w:p>
            <w:pPr>
              <w:jc w:val="right"/>
              <w:spacing w:after="0"/>
              <w:rPr>
                <w:sz w:val="20"/>
                <w:szCs w:val="20"/>
                <w:color w:val="auto"/>
              </w:rPr>
            </w:pPr>
            <w:r>
              <w:rPr>
                <w:rFonts w:ascii="Arial" w:cs="Arial" w:eastAsia="Arial" w:hAnsi="Arial"/>
                <w:sz w:val="18"/>
                <w:szCs w:val="18"/>
                <w:color w:val="auto"/>
              </w:rPr>
              <w:t>13,246,400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17,583,141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20,817,920</w:t>
            </w:r>
          </w:p>
        </w:tc>
      </w:tr>
      <w:tr>
        <w:trPr>
          <w:trHeight w:val="215"/>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w:t>
            </w:r>
          </w:p>
        </w:tc>
        <w:tc>
          <w:tcPr>
            <w:tcW w:w="22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375,664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375,664</w:t>
            </w:r>
          </w:p>
        </w:tc>
      </w:tr>
      <w:tr>
        <w:trPr>
          <w:trHeight w:val="209"/>
        </w:trPr>
        <w:tc>
          <w:tcPr>
            <w:tcW w:w="6420" w:type="dxa"/>
            <w:vAlign w:val="bottom"/>
            <w:tcBorders>
              <w:top w:val="single" w:sz="8" w:color="CCEEFF"/>
            </w:tcBorders>
          </w:tcPr>
          <w:p>
            <w:pPr>
              <w:ind w:left="12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89,070,089</w:t>
            </w: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97,241,049</w:t>
            </w:r>
          </w:p>
        </w:tc>
        <w:tc>
          <w:tcPr>
            <w:tcW w:w="20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97,800,684</w:t>
            </w:r>
          </w:p>
        </w:tc>
        <w:tc>
          <w:tcPr>
            <w:tcW w:w="100" w:type="dxa"/>
            <w:vAlign w:val="bottom"/>
            <w:tcBorders>
              <w:top w:val="single" w:sz="8" w:color="CCEEFF"/>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 Warrants</w:t>
      </w:r>
    </w:p>
    <w:p>
      <w:pPr>
        <w:spacing w:after="0" w:line="22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connection with the loan from Oxford Finance entered into in December 2016, the Company issued warrants to purchase 375,664 shares of Series C convertible preferred stock at an exercise price of $0.665488 per share. The Company determined the fair value of the warrants upon issuance and at each balance sheet date using the Black-Scholes option-pricing model, with any changes in the fair value being recorded within the changes in fair value of financial instruments line in the statements of operations and comprehensive loss.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Inputs used to determine estimated fair value of the warrants include the estimated fair value of the underlying preferred stock at the valuation measurement date, the remaining contractual term of the warrants, risk-free interest rates, expected dividends and estimated volatility. The estimated volatility was based on the average historical price volatility for publicly traded industry peers. The risk-free interest rate was based on the yields of U.S. Treasury securities with maturities similar to the estimated term. These assumptions are inherently subjective and involve significant management judgment. The significant unobservable input used in the fair value measurement of the convertible preferred stock warrant liability is the fair value of the underlying preferred stock at the valuation re-measurement date. Generally, increases (decreases) in the fair value of the underlying preferred stock would result in a directionally similar impact to the fair value measurement.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9" w:name="page300"/>
    <w:bookmarkEnd w:id="29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Plans</w:t>
      </w:r>
    </w:p>
    <w:p>
      <w:pPr>
        <w:spacing w:after="0" w:line="2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2004, the Company adopted the 2004 Stock Plan (the 2004 Plan). The 2004 Plan provided for the grant of incentive stock options (ISOs), nonqualified stock options (NSOs), stock bonuses, and rights to acquire restricted stock to employees, directors and consultants. The Company reserved 1,000,000 shares of common stock for issuance under the 2004 Plan. As of December 31, 2016 and September 30, 2017 there were no stock options outstanding under the 2004 Plan.</w:t>
      </w:r>
    </w:p>
    <w:p>
      <w:pPr>
        <w:spacing w:after="0" w:line="18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2007, the Company elected to cease granting options under the 2004 Plan and adopted the 2007 Stock Plan (the “2007 Plan”). The 2007 Plan provides for granting of ISOs, NSOs, stock bonuses, and rights to acquire restricted stock, to employees, directors and consultants. As of December 31, 2016 and September 30, 2017, the Company had reserved 20,522,285 shares of common stock for issuance under the 2007 Plan. The 2007 Plan provides for the acceleration of outstanding options in the event of certain change in control transactions.</w:t>
      </w:r>
    </w:p>
    <w:p>
      <w:pPr>
        <w:spacing w:after="0" w:line="18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Options granted under the 2007 Plan generally vest over four years and expire no later than ten years from the date of grant. The 2007 Plan grants the board of directors’ discretion to determine when the options granted will become exercisable. The 2007 Plan expired in July 2017 when any shares available for grant lapsed.</w:t>
      </w:r>
    </w:p>
    <w:p>
      <w:pPr>
        <w:spacing w:after="0" w:line="183" w:lineRule="exact"/>
        <w:rPr>
          <w:sz w:val="20"/>
          <w:szCs w:val="20"/>
          <w:color w:val="auto"/>
        </w:rPr>
      </w:pPr>
    </w:p>
    <w:p>
      <w:pPr>
        <w:jc w:val="both"/>
        <w:ind w:right="40"/>
        <w:spacing w:after="0" w:line="285" w:lineRule="auto"/>
        <w:rPr>
          <w:sz w:val="20"/>
          <w:szCs w:val="20"/>
          <w:color w:val="auto"/>
        </w:rPr>
      </w:pPr>
      <w:r>
        <w:rPr>
          <w:rFonts w:ascii="Arial" w:cs="Arial" w:eastAsia="Arial" w:hAnsi="Arial"/>
          <w:sz w:val="17"/>
          <w:szCs w:val="17"/>
          <w:color w:val="auto"/>
        </w:rPr>
        <w:t>Options can be granted at prices no less than 85% of the fair value of the shares on the date of grant, provided that the exercise price of an ISO will not be less than 100% of the fair value of the shares on the date of grant and the exercise price of an ISO or NSO granted to a 10% stockholder will not be less than 110% of the fair value of the shares on the grant of date. Fair value is determined by the Company’s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stock option plans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available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for grant</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3,217,128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8,383,306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Authorized</w:t>
            </w:r>
          </w:p>
        </w:tc>
        <w:tc>
          <w:tcPr>
            <w:tcW w:w="1160" w:type="dxa"/>
            <w:vAlign w:val="bottom"/>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(3,795,000)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(422,663)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969,882</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(969,882)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 December 31,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4,392,010</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10,785,761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Authorized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(3,674,000)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3,674,000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730,938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(730,938)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4,948,948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13,687,378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 (unaudited)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(3,894,729)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3,894,729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Canceled (unaudited)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1,620,925</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Lapsed (unaudited)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(2,675,144)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2017 (unaudited)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0" w:name="page301"/>
    <w:bookmarkEnd w:id="30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aggregate intrinsic values of options outstanding, exercisable, and vested and expected to vest are calculated as the difference between the exercise price of the options and the estimated fair value of the Company’s common stock, as determined by the board of directors. For the years ended December 31, 2015 and 2016, the aggregate intrinsic values of options exercised under the plans were $68,000 and $6,000, respectively. No options were exercised in the 9 months ended September 30, 2017.</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weighted average grant date fair value of options that vested during the years ended December 31, 2015 and 2016 were $0.14 and $0.19 per share, respectively, and during the 9 months ended September 30, 2017 were $0.18 per share. The weighted average grant date fair value of employee options granted during the years ended December 31, 2015 and 2016 were $0.34 and $0.26 per share, respectively, and during the 9 months ended September 30, 2017 were $0.06 per share. The weighted average grant date fair value of options exercisable on December 31, 2015 and 2016 were $0.15 and $0.19 per share, respectively, and on September 30, 2017 were $0.16 per share.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Stock Options Granted to Employees</w:t>
      </w:r>
    </w:p>
    <w:p>
      <w:pPr>
        <w:spacing w:after="0" w:line="2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grant date fair value of the shares of common stock underlying stock options has 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value, which include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93"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To determine the value of stock option awards for stock-based compensation purposes, the Company uses the Black-Scholes option-pricing model and the assumptions discussed below. Each of these inputs is subjective and generally requires significant judgment.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Company’s expected term represents the period that the Company’s stock-based awards are expected to be outstanding and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simplified method (based on the mid-point between the vesting date and the end of the contractual term).</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Since the Company is privately held and does not have any trading history for its common stock, the expected volatility was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average volatility for comparable publicly traded life sciences companies over a period equal to the expected term of the stock option grants. The comparable companies were chosen based on their similar size, stage in the life cycle, or area of specialty.</w:t>
      </w:r>
    </w:p>
    <w:p>
      <w:pPr>
        <w:spacing w:after="0" w:line="183"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expected term of option.</w:t>
      </w:r>
    </w:p>
    <w:p>
      <w:pPr>
        <w:spacing w:after="0" w:line="170"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Company has never paid dividends on its common stock and has no plans to pay dividends on its common stock. Therefore,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an expected dividend yield of zero.</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value of stock options granted to employees was estimated at the date of grant using a Black-Scholes option-pricing model with the following weighted average assumptions: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8"/>
                <w:szCs w:val="1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8"/>
                <w:szCs w:val="1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8"/>
                <w:szCs w:val="18"/>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5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Volatility</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15"/>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01"/>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48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1" w:name="page302"/>
    <w:bookmarkEnd w:id="30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Company grants stock options to certain consultants in exchange for services rendered. During the years ended December 31, 2015 and 2016 and the nine months ended September 30, 2017, the Company granted stock options to consultants for 78,000, 48,000 and 40,000 shares, respectively. Stock-based compensation expense related to stock options granted to nonemployees is recognized as the stock options are earned. The Company believes that the estimated fair value of the stock options is more readily measurable than the fair value of the services rendered.</w:t>
      </w:r>
    </w:p>
    <w:p>
      <w:pPr>
        <w:spacing w:after="0" w:line="171"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The value of stock options granted to nonemployees was estimated at each reporting date using a Black-Scholes option-pricing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740" w:type="dxa"/>
            <w:vAlign w:val="bottom"/>
            <w:gridSpan w:val="7"/>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28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09"/>
        </w:trPr>
        <w:tc>
          <w:tcPr>
            <w:tcW w:w="5620" w:type="dxa"/>
            <w:vAlign w:val="bottom"/>
          </w:tcPr>
          <w:p>
            <w:pPr>
              <w:spacing w:after="0"/>
              <w:rPr>
                <w:sz w:val="18"/>
                <w:szCs w:val="18"/>
                <w:color w:val="auto"/>
              </w:rPr>
            </w:pPr>
          </w:p>
        </w:tc>
        <w:tc>
          <w:tcPr>
            <w:tcW w:w="12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2015</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18"/>
                <w:szCs w:val="18"/>
                <w:color w:val="auto"/>
              </w:rPr>
            </w:pP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life (in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r>
              <w:rPr>
                <w:rFonts w:ascii="Arial" w:cs="Arial" w:eastAsia="Arial" w:hAnsi="Arial"/>
                <w:sz w:val="18"/>
                <w:szCs w:val="18"/>
                <w:color w:val="auto"/>
              </w:rPr>
              <w:t>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w w:val="91"/>
              </w:rPr>
              <w:t>107%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Dividend yield</w:t>
            </w:r>
          </w:p>
        </w:tc>
        <w:tc>
          <w:tcPr>
            <w:tcW w:w="4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In connection with the grant of stock options to nonemployees, the Company recorded stock-based compensation expense of $42,000 and $7,000 for the years ended December 31, 2015 and 2016, respectively and $6,000 and $8,000 for the nine months ended September 30, 2016 and 2017, respectively. Stock-based compensation expense will fluctuate as the estimated fair value of the common stock fluctuates, until the awards vest.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Stock-Based Compensation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recognized for options granted to employees and nonemployees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2"/>
              </w:rPr>
              <w:t>Year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060" w:type="dxa"/>
            <w:vAlign w:val="bottom"/>
          </w:tcPr>
          <w:p>
            <w:pPr>
              <w:spacing w:after="0"/>
              <w:rPr>
                <w:sz w:val="20"/>
                <w:szCs w:val="20"/>
                <w:color w:val="auto"/>
              </w:rPr>
            </w:pPr>
          </w:p>
        </w:tc>
        <w:tc>
          <w:tcPr>
            <w:tcW w:w="22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0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8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0"/>
        </w:trPr>
        <w:tc>
          <w:tcPr>
            <w:tcW w:w="6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both"/>
        <w:ind w:left="660" w:right="200"/>
        <w:spacing w:after="0" w:line="262" w:lineRule="auto"/>
        <w:rPr>
          <w:sz w:val="20"/>
          <w:szCs w:val="20"/>
          <w:color w:val="auto"/>
        </w:rPr>
      </w:pPr>
      <w:r>
        <w:rPr>
          <w:rFonts w:ascii="Arial" w:cs="Arial" w:eastAsia="Arial" w:hAnsi="Arial"/>
          <w:sz w:val="18"/>
          <w:szCs w:val="18"/>
          <w:color w:val="auto"/>
        </w:rPr>
        <w:t>As of December 31, 2016 and September 30, 2017, the unrecognized stock-based compensation cost related to outstanding unvested stock options that are expected to vest was $1.1 million and $0.7 million, which the Company expects to recognize over an estimated weighted average period of 2.46 and 2.17 years,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220"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56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federal taxes at statutory rate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5"/>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15"/>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5"/>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NOL and credit adjustments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5"/>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5"/>
        </w:trPr>
        <w:tc>
          <w:tcPr>
            <w:tcW w:w="5680" w:type="dxa"/>
            <w:vAlign w:val="bottom"/>
            <w:gridSpan w:val="2"/>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 (expense)</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2" w:name="page303"/>
    <w:bookmarkEnd w:id="30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deferred tax assets are as follows (in thousands):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and liabilities:</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5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19,612</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24,298</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Accruals, reserves and others</w:t>
            </w:r>
          </w:p>
        </w:tc>
        <w:tc>
          <w:tcPr>
            <w:tcW w:w="15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1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(21,852)</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(27,120)</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deferred tax assets</w:t>
            </w:r>
          </w:p>
        </w:tc>
        <w:tc>
          <w:tcPr>
            <w:tcW w:w="25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its net deferred taxes in future periods. Accordingly, the Company recorded a valuation allowance against all of its net deferred tax assets as of December 31, 2016. The net valuation allowance increased by $5.3 million in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Company had NOL carryforwards (before tax effects) for federal and state income tax purposes of $61.0 million and</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$61.3 million, respectively. The federal NOL carryforwards will begin to expire in 2025 if not utilized, and the state NOL carryforwards began expiring in the prior year, 2015. In addition, the Company has federal and state research and development tax credit carryforwards of $2.3 million and $1.8 million, respectively, to offset future income tax liabilities. The federal research and development tax credits will start to expire in 2027, if not utilized, while the state research and development tax credit can be carried forward indefinitely.</w:t>
      </w:r>
    </w:p>
    <w:p>
      <w:pPr>
        <w:spacing w:after="0" w:line="19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Tax Reform Act of 1986 (the Act) provides for a limitation on the annual use of NOL and research and development tax credit carryforwards following certain ownership changes (as defined by the Act) that could limit the Company’s ability to utilize these carryforwards. The Company’s losses and credit carryforwards may be subject to these limitations. The Company has not performed an analysis to determine if such ownership changes have occurred. An analysis will be performed prior to recognizing the benefits of any losses or credits in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gross unrecognized tax benefits for the years ended December 31, 2016 (in thousands):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w w:val="93"/>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r>
      <w:tr>
        <w:trPr>
          <w:trHeight w:val="215"/>
        </w:trPr>
        <w:tc>
          <w:tcPr>
            <w:tcW w:w="520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current year</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0"/>
        </w:trPr>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03" w:name="page304"/>
    <w:bookmarkEnd w:id="30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entire amount of unrecognized tax benefits would not impact the Company’s effective tax rate if recognized. The Company does not foresee material changes to its gross uncertain income tax position liability within the next 12 months. The Company will recognize accrued interest and penalties related to unrecognized tax benefits as income tax expense in its statements of operations and comprehensive loss. As of December 31, 2016, the Company had not recognized any interest and penalties.</w:t>
      </w:r>
    </w:p>
    <w:p>
      <w:pPr>
        <w:spacing w:after="0" w:line="18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The Company is subject to taxation in the U S and various state jurisdictions. Management believes all tax years remain open to examinations by the appropriate government agencies in the federal and state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basic and diluted net loss per share (in thousands, except share and per share amounts):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(19,513)</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(12,179)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rPr>
              <w:t>Dividends accrued on Series B and Series C</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rPr>
              <w:t>convertible preferred stock</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Borders>
              <w:top w:val="single" w:sz="8" w:color="CCEEFF"/>
            </w:tcBorders>
          </w:tcPr>
          <w:p>
            <w:pPr>
              <w:ind w:left="600"/>
              <w:spacing w:after="0" w:line="195" w:lineRule="exact"/>
              <w:rPr>
                <w:sz w:val="20"/>
                <w:szCs w:val="20"/>
                <w:color w:val="auto"/>
              </w:rPr>
            </w:pPr>
            <w:r>
              <w:rPr>
                <w:rFonts w:ascii="Arial" w:cs="Arial" w:eastAsia="Arial" w:hAnsi="Arial"/>
                <w:sz w:val="18"/>
                <w:szCs w:val="18"/>
                <w:color w:val="auto"/>
                <w:w w:val="96"/>
              </w:rPr>
              <w:t>Net loss attributable to common stockholders, basic</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920"/>
              <w:spacing w:after="0"/>
              <w:rPr>
                <w:sz w:val="20"/>
                <w:szCs w:val="20"/>
                <w:color w:val="auto"/>
              </w:rPr>
            </w:pPr>
            <w:r>
              <w:rPr>
                <w:rFonts w:ascii="Arial" w:cs="Arial" w:eastAsia="Arial" w:hAnsi="Arial"/>
                <w:sz w:val="18"/>
                <w:szCs w:val="18"/>
                <w:color w:val="auto"/>
              </w:rPr>
              <w:t>and diluted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(22,391)</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6"/>
              </w:rPr>
              <w:t>Weighted average number of shares used in computing net</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8"/>
                <w:szCs w:val="18"/>
                <w:color w:val="auto"/>
                <w:w w:val="93"/>
              </w:rPr>
              <w:t>loss per share attributable to common stockholders, basic</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6,395,307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9"/>
              </w:rPr>
              <w:t>6,734,912</w:t>
            </w:r>
          </w:p>
        </w:tc>
        <w:tc>
          <w:tcPr>
            <w:tcW w:w="280" w:type="dxa"/>
            <w:vAlign w:val="bottom"/>
          </w:tcPr>
          <w:p>
            <w:pPr>
              <w:spacing w:after="0"/>
              <w:rPr>
                <w:sz w:val="18"/>
                <w:szCs w:val="1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6,733,777</w:t>
            </w:r>
          </w:p>
        </w:tc>
        <w:tc>
          <w:tcPr>
            <w:tcW w:w="38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6,738,292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ind w:left="280"/>
              <w:spacing w:after="0" w:line="189" w:lineRule="exact"/>
              <w:rPr>
                <w:sz w:val="20"/>
                <w:szCs w:val="20"/>
                <w:color w:val="auto"/>
              </w:rPr>
            </w:pPr>
            <w:r>
              <w:rPr>
                <w:rFonts w:ascii="Arial" w:cs="Arial" w:eastAsia="Arial" w:hAnsi="Arial"/>
                <w:sz w:val="18"/>
                <w:szCs w:val="18"/>
                <w:color w:val="auto"/>
              </w:rPr>
              <w:t>and diluted</w:t>
            </w: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Net loss per share attributable to common stockholders, basic</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5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380" w:type="dxa"/>
            <w:vAlign w:val="bottom"/>
            <w:vMerge w:val="restart"/>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and diluted</w:t>
            </w:r>
          </w:p>
        </w:tc>
        <w:tc>
          <w:tcPr>
            <w:tcW w:w="26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Since the Company was in a loss position for all periods presented, basic net loss per share attributable to common stockholders is the same as diluted net loss per share attributable to common stockholders for all periods presented as the inclusion of all potential common shares outstanding would have been anti-dilutive. The following potentially dilutive securities have been excluded from the computations of diluted weighted average shares outstanding because they would be anti-dilutive:</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outstanding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to purchase common stock</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Cumulative convertible preferred stock dividends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Convertible promissory notes (as converted) (1)</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Total potential shares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4"/>
          </w:tcPr>
          <w:p>
            <w:pPr>
              <w:ind w:left="660"/>
              <w:spacing w:after="0"/>
              <w:rPr>
                <w:sz w:val="20"/>
                <w:szCs w:val="20"/>
                <w:color w:val="auto"/>
              </w:rPr>
            </w:pPr>
            <w:r>
              <w:rPr>
                <w:rFonts w:ascii="Arial" w:cs="Arial" w:eastAsia="Arial" w:hAnsi="Arial"/>
                <w:sz w:val="18"/>
                <w:szCs w:val="18"/>
                <w:b w:val="1"/>
                <w:bCs w:val="1"/>
                <w:color w:val="auto"/>
              </w:rPr>
              <w:t>December 31,</w:t>
            </w:r>
          </w:p>
        </w:tc>
        <w:tc>
          <w:tcPr>
            <w:tcW w:w="24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r>
      <w:tr>
        <w:trPr>
          <w:trHeight w:val="194"/>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center"/>
              <w:ind w:right="20"/>
              <w:spacing w:after="0" w:line="195" w:lineRule="exact"/>
              <w:rPr>
                <w:sz w:val="20"/>
                <w:szCs w:val="20"/>
                <w:color w:val="auto"/>
              </w:rPr>
            </w:pPr>
            <w:r>
              <w:rPr>
                <w:rFonts w:ascii="Arial" w:cs="Arial" w:eastAsia="Arial" w:hAnsi="Arial"/>
                <w:sz w:val="18"/>
                <w:szCs w:val="18"/>
                <w:b w:val="1"/>
                <w:bCs w:val="1"/>
                <w:color w:val="auto"/>
                <w:w w:val="91"/>
              </w:rPr>
              <w:t>(unaudited)</w:t>
            </w:r>
          </w:p>
        </w:tc>
      </w:tr>
      <w:tr>
        <w:trPr>
          <w:trHeight w:val="215"/>
        </w:trPr>
        <w:tc>
          <w:tcPr>
            <w:tcW w:w="1080" w:type="dxa"/>
            <w:vAlign w:val="bottom"/>
          </w:tcPr>
          <w:p>
            <w:pPr>
              <w:jc w:val="right"/>
              <w:spacing w:after="0"/>
              <w:rPr>
                <w:sz w:val="20"/>
                <w:szCs w:val="20"/>
                <w:color w:val="auto"/>
              </w:rPr>
            </w:pPr>
            <w:r>
              <w:rPr>
                <w:rFonts w:ascii="Arial" w:cs="Arial" w:eastAsia="Arial" w:hAnsi="Arial"/>
                <w:sz w:val="18"/>
                <w:szCs w:val="18"/>
                <w:color w:val="auto"/>
              </w:rPr>
              <w:t>60,645,918</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60,648,918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60,645,918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60,645,918</w:t>
            </w:r>
          </w:p>
        </w:tc>
      </w:tr>
      <w:tr>
        <w:trPr>
          <w:trHeight w:val="215"/>
        </w:trPr>
        <w:tc>
          <w:tcPr>
            <w:tcW w:w="1080" w:type="dxa"/>
            <w:vAlign w:val="bottom"/>
          </w:tcPr>
          <w:p>
            <w:pPr>
              <w:jc w:val="right"/>
              <w:spacing w:after="0"/>
              <w:rPr>
                <w:sz w:val="20"/>
                <w:szCs w:val="20"/>
                <w:color w:val="auto"/>
              </w:rPr>
            </w:pPr>
            <w:r>
              <w:rPr>
                <w:rFonts w:ascii="Arial" w:cs="Arial" w:eastAsia="Arial" w:hAnsi="Arial"/>
                <w:sz w:val="18"/>
                <w:szCs w:val="18"/>
                <w:color w:val="auto"/>
              </w:rPr>
              <w:t>10,785,761</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13,687,378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13,767,378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15,961,182</w:t>
            </w:r>
          </w:p>
        </w:tc>
      </w:tr>
      <w:tr>
        <w:trPr>
          <w:trHeight w:val="215"/>
        </w:trPr>
        <w:tc>
          <w:tcPr>
            <w:tcW w:w="1080" w:type="dxa"/>
            <w:vAlign w:val="bottom"/>
          </w:tcPr>
          <w:p>
            <w:pPr>
              <w:jc w:val="right"/>
              <w:spacing w:after="0"/>
              <w:rPr>
                <w:sz w:val="20"/>
                <w:szCs w:val="20"/>
                <w:color w:val="auto"/>
              </w:rPr>
            </w:pPr>
            <w:r>
              <w:rPr>
                <w:rFonts w:ascii="Arial" w:cs="Arial" w:eastAsia="Arial" w:hAnsi="Arial"/>
                <w:sz w:val="18"/>
                <w:szCs w:val="18"/>
                <w:color w:val="auto"/>
              </w:rPr>
              <w:t>13,246,400</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17,583,141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16,493,032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20,817,920</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28,342,045</w:t>
            </w:r>
          </w:p>
        </w:tc>
        <w:tc>
          <w:tcPr>
            <w:tcW w:w="2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33,050,511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32,009,562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36,726,692</w:t>
            </w:r>
          </w:p>
        </w:tc>
      </w:tr>
      <w:tr>
        <w:trPr>
          <w:trHeight w:val="209"/>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113,020,124</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124,966,948</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122,915,890</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134,151,712</w:t>
            </w:r>
          </w:p>
        </w:tc>
        <w:tc>
          <w:tcPr>
            <w:tcW w:w="20" w:type="dxa"/>
            <w:vAlign w:val="bottom"/>
          </w:tcPr>
          <w:p>
            <w:pPr>
              <w:spacing w:after="0"/>
              <w:rPr>
                <w:sz w:val="18"/>
                <w:szCs w:val="18"/>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-716915</wp:posOffset>
            </wp:positionV>
            <wp:extent cx="6879590" cy="1365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79590" cy="13652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-443865</wp:posOffset>
            </wp:positionV>
            <wp:extent cx="6879590" cy="136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79590" cy="13652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-161925</wp:posOffset>
            </wp:positionV>
            <wp:extent cx="6879590" cy="162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7959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260"/>
          </w:cols>
          <w:pgMar w:left="240" w:top="118" w:right="299" w:bottom="1440" w:gutter="0" w:footer="0" w:header="0"/>
          <w:type w:val="continuous"/>
        </w:sectPr>
      </w:pPr>
    </w:p>
    <w:p>
      <w:pPr>
        <w:spacing w:after="0" w:line="216" w:lineRule="exact"/>
        <w:rPr>
          <w:sz w:val="20"/>
          <w:szCs w:val="20"/>
          <w:color w:val="auto"/>
        </w:rPr>
      </w:pPr>
    </w:p>
    <w:p>
      <w:pPr>
        <w:ind w:left="340" w:right="180" w:hanging="9"/>
        <w:spacing w:after="0" w:line="262" w:lineRule="auto"/>
        <w:tabs>
          <w:tab w:leader="none" w:pos="77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Company determined the number of shares of Series C convertible preferred stock issuable upon conversion of the outstanding principal and accrued interest on the convertible promissory notes based on a conversion price assuming the specified valuation set forth under the note purchase agreements (see note 6) was met.</w:t>
      </w:r>
    </w:p>
    <w:p>
      <w:pPr>
        <w:spacing w:after="0" w:line="179" w:lineRule="exact"/>
        <w:rPr>
          <w:rFonts w:ascii="Arial" w:cs="Arial" w:eastAsia="Arial" w:hAnsi="Arial"/>
          <w:sz w:val="18"/>
          <w:szCs w:val="18"/>
          <w:color w:val="auto"/>
        </w:rPr>
      </w:pPr>
    </w:p>
    <w:p>
      <w:pPr>
        <w:ind w:left="340" w:hanging="332"/>
        <w:spacing w:after="0"/>
        <w:tabs>
          <w:tab w:leader="none" w:pos="3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Management reviewed and evaluated subsequent events through August 4, 2017. Other than the subsequent events discussed in the footnotes, there were no additional subsequent events or transactions that would impact the financial statements and require additional recognition or disclosure as of August 4, 2017, the date the financial statements were issued.</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304" w:name="page305"/>
    <w:bookmarkEnd w:id="30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Events (Unaudited) Subsequent to the Date of the Independent Auditor’s Report</w:t>
      </w:r>
    </w:p>
    <w:p>
      <w:pPr>
        <w:spacing w:after="0" w:line="22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On October 30, 2017, the Company announced the signing of a definitive merger agreement with Aviragen Therapeutics, Inc. (“Aviragen”), a public biotechnology company. Assuming the closing of the merger, the combined company will be renamed “Vaxart, Inc.” and will be traded under the symbol “VXRT.” Vaxart’s management will manage the combined company. The Board of Directors will consist of four of Vaxart’s current Board members and three of Aviragen’s current Board members. Following the consummation of the merger, the former Vaxart securityholders are expected to own approximately 60% of the combined company’s diluted common stock and the securityholders of Aviragen are expected to own approximately 40%.</w:t>
      </w:r>
    </w:p>
    <w:p>
      <w:pPr>
        <w:spacing w:after="0" w:line="16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To consummate the merger, a majority of the votes cast at an Aviragen stockholder meeting at which a quorum is present must approve the issuance of shares of Aviragen common stock in connection with the merger. Vaxart securityholders must also approve the merger, and various closing conditions must also be satisfied. Aviragen and Vaxart anticipate that the consummation of the Merger will occur promptly after the Aviragen special meeting.</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boards of directors of both Aviragen and Vaxart have unanimously approved the merger agreement. Certain executive officers, directors and stockholders of Vaxart and Aviragen have entered into agreements to vote all of their stock in favor of the merger.</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05" w:name="page306"/>
    <w:bookmarkEnd w:id="30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Annex A</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AGREEMENT AND PLAN OF MERGER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REORGANIZATION</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AGREEMENT AND PLAN OF MERGER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REORGANIZATION</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among:</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AVIRAGEN THERAPEUTICS, INC.</w:t>
      </w:r>
      <w:r>
        <w:rPr>
          <w:rFonts w:ascii="Arial" w:cs="Arial" w:eastAsia="Arial" w:hAnsi="Arial"/>
          <w:sz w:val="18"/>
          <w:szCs w:val="18"/>
          <w:color w:val="auto"/>
        </w:rPr>
        <w: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 DELAWARE CORPORATION;</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AGORA MERGER SUB, INC.</w:t>
      </w:r>
      <w:r>
        <w:rPr>
          <w:rFonts w:ascii="Arial" w:cs="Arial" w:eastAsia="Arial" w:hAnsi="Arial"/>
          <w:sz w:val="18"/>
          <w:szCs w:val="18"/>
          <w:color w:val="auto"/>
        </w:rPr>
        <w: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 Delaware corporation; and</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VAXART, INC.</w:t>
      </w:r>
      <w:r>
        <w:rPr>
          <w:rFonts w:ascii="Arial" w:cs="Arial" w:eastAsia="Arial" w:hAnsi="Arial"/>
          <w:sz w:val="18"/>
          <w:szCs w:val="18"/>
          <w:color w:val="auto"/>
        </w:rPr>
        <w: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 DELAWARE CORPORATION</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Dated as of October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247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06" w:name="page307"/>
    <w:bookmarkEnd w:id="30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8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760" w:type="dxa"/>
            <w:vAlign w:val="bottom"/>
            <w:gridSpan w:val="2"/>
          </w:tcPr>
          <w:p>
            <w:pPr>
              <w:ind w:left="13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5"/>
              </w:rPr>
              <w:t>SECTION 1.</w:t>
            </w: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DESCRIPTION OF TRANSACTION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The Merger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1.2.</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Effects of the Merger</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1.3.</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Closing; Effective Time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1.4.</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Certificate of Incorporation and Bylaws; Directors and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Conversion of Shares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1.6.</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Closing of the Company’s Transfer Books</w:t>
            </w: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Surrender of Certificates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1.8.</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Appraisal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1.9.</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Further Action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5"/>
              </w:rPr>
              <w:t>SECTION 2.</w:t>
            </w:r>
          </w:p>
        </w:tc>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THE COMPANY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Due Organization; Subsidiaries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2.2.</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Organizational Documents</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Authority; Binding Nature of Agreement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2.4.</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Vote Required</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Non-Contravention; Consents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2.6.</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Capitalization</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2.7.</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2.8.</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Absence of Changes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Absence of Undisclosed Liabilities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2.10.</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Title to Assets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2.11.</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Real Property; Leasehold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2.12.</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Intellectual Property</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2.13.</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Agreements, Contracts and Commitments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2.14.</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Compliance; Permits; Restrictions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2.15.</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Legal Proceedings; Orders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2.16.</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Tax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2.17.</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Employee and Labor Matters; Benefit Plans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2.18.</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Environmental Matters</w:t>
            </w: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2.19.</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Insurance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2.20.</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No Financial Advisors</w:t>
            </w: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2.21.</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Disclosure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2.22.</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Transactions with Affiliates</w:t>
            </w: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2.23.</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Anti-Bribery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2.24.</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No Other Representations or Warranties; Disclaimer of Other Representations and Warranties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5"/>
              </w:rPr>
              <w:t>SECTION 3.</w:t>
            </w:r>
          </w:p>
        </w:tc>
        <w:tc>
          <w:tcPr>
            <w:tcW w:w="8680" w:type="dxa"/>
            <w:vAlign w:val="bottom"/>
          </w:tcPr>
          <w:p>
            <w:pPr>
              <w:ind w:left="360"/>
              <w:spacing w:after="0"/>
              <w:rPr>
                <w:sz w:val="20"/>
                <w:szCs w:val="20"/>
                <w:color w:val="auto"/>
              </w:rPr>
            </w:pPr>
            <w:r>
              <w:rPr>
                <w:rFonts w:ascii="Arial" w:cs="Arial" w:eastAsia="Arial" w:hAnsi="Arial"/>
                <w:sz w:val="18"/>
                <w:szCs w:val="18"/>
                <w:color w:val="auto"/>
              </w:rPr>
              <w:t>REPRESENTATIONS AND WARRANTIES OF PARENT AND MERGER SUB</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3.1.</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Due Organization; Subsidiaries</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Organizational Documents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3.3.</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Authority; Binding Nature of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Vote Required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3.5.</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Non-Contravention; Consents</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3.6.</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Capitalization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3.7.</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SEC Filings; Financial Statements</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3.8.</w:t>
            </w:r>
          </w:p>
        </w:tc>
        <w:tc>
          <w:tcPr>
            <w:tcW w:w="86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Absence of Undisclosed Liabilities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7" w:name="page308"/>
    <w:bookmarkEnd w:id="30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8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580" w:type="dxa"/>
            <w:vAlign w:val="bottom"/>
          </w:tcPr>
          <w:p>
            <w:pPr>
              <w:ind w:left="4240"/>
              <w:spacing w:after="0"/>
              <w:rPr>
                <w:sz w:val="20"/>
                <w:szCs w:val="20"/>
                <w:color w:val="auto"/>
              </w:rPr>
            </w:pPr>
            <w:r>
              <w:rPr>
                <w:rFonts w:ascii="Arial" w:cs="Arial" w:eastAsia="Arial" w:hAnsi="Arial"/>
                <w:sz w:val="18"/>
                <w:szCs w:val="18"/>
                <w:color w:val="auto"/>
              </w:rPr>
              <w:t>(continued)</w:t>
            </w:r>
          </w:p>
        </w:tc>
        <w:tc>
          <w:tcPr>
            <w:tcW w:w="1800" w:type="dxa"/>
            <w:vAlign w:val="bottom"/>
            <w:gridSpan w:val="2"/>
            <w:vMerge w:val="restart"/>
          </w:tcPr>
          <w:p>
            <w:pPr>
              <w:ind w:left="1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3.9.</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Absence of Changes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3.10.</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Real Property; Leasehold</w:t>
            </w:r>
          </w:p>
        </w:tc>
        <w:tc>
          <w:tcPr>
            <w:tcW w:w="17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3.11.</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Title to Assets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3.12.</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Intellectual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3.13.</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Agreements, Contracts and Commitments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3.14.</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Compliance; Permits</w:t>
            </w:r>
          </w:p>
        </w:tc>
        <w:tc>
          <w:tcPr>
            <w:tcW w:w="17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3.15.</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Legal Proceedings; Orders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3.16.</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Tax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3.17.</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Employee and Labor Matters; Benefit Plans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3.18.</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Environmental Matters</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3.19.</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Transactions with Affiliates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3.20.</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Insurance</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3.21.</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No Financial Advisors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3.22.</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Valid Issuance</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3.23.</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Opinion of Financial Advisor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3.24.</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No Other Representations or Warranties; Disclaimer of Other Representations and Warranties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SECTION 4.</w:t>
            </w:r>
          </w:p>
        </w:tc>
        <w:tc>
          <w:tcPr>
            <w:tcW w:w="8580" w:type="dxa"/>
            <w:vAlign w:val="bottom"/>
          </w:tcPr>
          <w:p>
            <w:pPr>
              <w:ind w:left="440"/>
              <w:spacing w:after="0"/>
              <w:rPr>
                <w:sz w:val="20"/>
                <w:szCs w:val="20"/>
                <w:color w:val="auto"/>
              </w:rPr>
            </w:pPr>
            <w:r>
              <w:rPr>
                <w:rFonts w:ascii="Arial" w:cs="Arial" w:eastAsia="Arial" w:hAnsi="Arial"/>
                <w:sz w:val="18"/>
                <w:szCs w:val="18"/>
                <w:color w:val="auto"/>
              </w:rPr>
              <w:t>CERTAIN COVENANTS OF THE PARTIES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4.1.</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Operation of Parent’s Business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Operation of the Company’s Business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4.3.</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Access and Investigation</w:t>
            </w:r>
          </w:p>
        </w:tc>
        <w:tc>
          <w:tcPr>
            <w:tcW w:w="17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4.4.</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Parent Non-Solicitation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4.5.</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Company Non-Solicitation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Notification of Certain Matters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4.7.</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Code Section 280G Approval</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SECTION 5.</w:t>
            </w:r>
          </w:p>
        </w:tc>
        <w:tc>
          <w:tcPr>
            <w:tcW w:w="8580" w:type="dxa"/>
            <w:vAlign w:val="bottom"/>
          </w:tcPr>
          <w:p>
            <w:pPr>
              <w:ind w:left="440"/>
              <w:spacing w:after="0"/>
              <w:rPr>
                <w:sz w:val="20"/>
                <w:szCs w:val="20"/>
                <w:color w:val="auto"/>
              </w:rPr>
            </w:pPr>
            <w:r>
              <w:rPr>
                <w:rFonts w:ascii="Arial" w:cs="Arial" w:eastAsia="Arial" w:hAnsi="Arial"/>
                <w:sz w:val="18"/>
                <w:szCs w:val="18"/>
                <w:color w:val="auto"/>
              </w:rPr>
              <w:t>ADDITIONAL AGREEMENTS OF THE PARTIES</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Registration Statement; Proxy Statement</w:t>
            </w:r>
          </w:p>
        </w:tc>
        <w:tc>
          <w:tcPr>
            <w:tcW w:w="1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Company Stockholder Written Consent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5.3.</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Parent Stockholders’ Meeting</w:t>
            </w:r>
          </w:p>
        </w:tc>
        <w:tc>
          <w:tcPr>
            <w:tcW w:w="17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5.4.</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Regulatory Approvals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5.5.</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Company Options</w:t>
            </w:r>
          </w:p>
        </w:tc>
        <w:tc>
          <w:tcPr>
            <w:tcW w:w="17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5.6.</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Parent Options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5.7.</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Employee Benefits</w:t>
            </w: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5.8.</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Indemnification of Officers and Directors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5.9.</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Additional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5.10.</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Disclosure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5.11.</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Listing</w:t>
            </w: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5.12.</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Tax Matters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5.13.</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Legends</w:t>
            </w: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5.14.</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Directors and Officers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5.15.</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Termination of Certain Agreements and Rights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5.16.</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Section 16 Matters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5.17.</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Cooperation</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5.18.</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Allocation Certificate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rPr>
              <w:t>5.19.</w:t>
            </w:r>
          </w:p>
        </w:tc>
        <w:tc>
          <w:tcPr>
            <w:tcW w:w="8580" w:type="dxa"/>
            <w:vAlign w:val="bottom"/>
          </w:tcPr>
          <w:p>
            <w:pPr>
              <w:ind w:left="120"/>
              <w:spacing w:after="0"/>
              <w:rPr>
                <w:sz w:val="20"/>
                <w:szCs w:val="20"/>
                <w:color w:val="auto"/>
              </w:rPr>
            </w:pPr>
            <w:r>
              <w:rPr>
                <w:rFonts w:ascii="Arial" w:cs="Arial" w:eastAsia="Arial" w:hAnsi="Arial"/>
                <w:sz w:val="18"/>
                <w:szCs w:val="18"/>
                <w:b w:val="1"/>
                <w:bCs w:val="1"/>
                <w:color w:val="auto"/>
              </w:rPr>
              <w:t>Company 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5.20.</w:t>
            </w:r>
          </w:p>
        </w:tc>
        <w:tc>
          <w:tcPr>
            <w:tcW w:w="8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Takeover Statutes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8" w:name="page309"/>
    <w:bookmarkEnd w:id="30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80" w:type="dxa"/>
            <w:vAlign w:val="bottom"/>
            <w:gridSpan w:val="2"/>
          </w:tcPr>
          <w:p>
            <w:pPr>
              <w:ind w:left="8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5.21.</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 Litigation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5.22.</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Calculation of Cash; Adjustment to Company and Parent Valuations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5.23.</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Post-Closing Equity Financing</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5.24.</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Reverse Split</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6.</w:t>
            </w:r>
          </w:p>
        </w:tc>
        <w:tc>
          <w:tcPr>
            <w:tcW w:w="8800" w:type="dxa"/>
            <w:vAlign w:val="bottom"/>
          </w:tcPr>
          <w:p>
            <w:pPr>
              <w:ind w:left="460"/>
              <w:spacing w:after="0"/>
              <w:rPr>
                <w:sz w:val="20"/>
                <w:szCs w:val="20"/>
                <w:color w:val="auto"/>
              </w:rPr>
            </w:pPr>
            <w:r>
              <w:rPr>
                <w:rFonts w:ascii="Arial" w:cs="Arial" w:eastAsia="Arial" w:hAnsi="Arial"/>
                <w:sz w:val="18"/>
                <w:szCs w:val="18"/>
                <w:color w:val="auto"/>
              </w:rPr>
              <w:t>CONDITIONS PRECEDENT TO OBLIGATIONS OF EACH PARTY</w:t>
            </w: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6.1.</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Effectiveness of Registration Statement</w:t>
            </w: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6.2.</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 Restraints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6.3.</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Stockholder Approval</w:t>
            </w: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6.4.</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 Legal Proceedings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6.5.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HSR Act</w:t>
            </w: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Documents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8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CONDITIONS PRECEDENT TO OBLIGATIONS OF PARENT AND MERGER SUB</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Accuracy of Representations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7.2.</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Performance of Covenants</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7.3.</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Documents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7.4.</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FIRPTA Certificate</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 Company Material Adverse Effect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7.6.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Termination of Investor Agreements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7.7.</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Lock-Up Agreements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8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CONDITIONS PRECEDENT TO OBLIGATION OF THE COMPANY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Accuracy of Representations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8.2.</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Performance of Covenants</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8.3.</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Documents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8.4.</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No Parent Material Adverse Effect</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9.</w:t>
            </w:r>
          </w:p>
        </w:tc>
        <w:tc>
          <w:tcPr>
            <w:tcW w:w="8800" w:type="dxa"/>
            <w:vAlign w:val="bottom"/>
          </w:tcPr>
          <w:p>
            <w:pPr>
              <w:ind w:left="460"/>
              <w:spacing w:after="0"/>
              <w:rPr>
                <w:sz w:val="20"/>
                <w:szCs w:val="20"/>
                <w:color w:val="auto"/>
              </w:rPr>
            </w:pPr>
            <w:r>
              <w:rPr>
                <w:rFonts w:ascii="Arial" w:cs="Arial" w:eastAsia="Arial" w:hAnsi="Arial"/>
                <w:sz w:val="18"/>
                <w:szCs w:val="18"/>
                <w:color w:val="auto"/>
              </w:rPr>
              <w:t>TERMINATION</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9.1.</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Termination</w:t>
            </w: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9.2.</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Effect of Termination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9.3.</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Expenses; Termination Fees</w:t>
            </w: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SECTION 10.</w:t>
            </w:r>
          </w:p>
        </w:tc>
        <w:tc>
          <w:tcPr>
            <w:tcW w:w="8800" w:type="dxa"/>
            <w:vAlign w:val="bottom"/>
          </w:tcPr>
          <w:p>
            <w:pPr>
              <w:ind w:left="460"/>
              <w:spacing w:after="0"/>
              <w:rPr>
                <w:sz w:val="20"/>
                <w:szCs w:val="20"/>
                <w:color w:val="auto"/>
              </w:rPr>
            </w:pPr>
            <w:r>
              <w:rPr>
                <w:rFonts w:ascii="Arial" w:cs="Arial" w:eastAsia="Arial" w:hAnsi="Arial"/>
                <w:sz w:val="18"/>
                <w:szCs w:val="18"/>
                <w:color w:val="auto"/>
              </w:rPr>
              <w:t>MISCELLANEOUS PROVISIONS</w:t>
            </w: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10.1.</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Non-Survival of Representations and Warranties</w:t>
            </w: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10.2.</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Amendment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10.3.</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Waiver</w:t>
            </w: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10.4.</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Entire Agreement; Counterparts; Exchanges by Electronic Transmission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Applicable Law; Jurisdiction</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10.6.</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Attorneys’ Fees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10.7.</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Assignability</w:t>
            </w: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10.8.</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Notices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10.9.</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Cooperation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10.10.</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Severability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10.11.</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Other Remedies; Specific Performance</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10.12.</w:t>
            </w: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No Third Party Beneficiaries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ind w:left="480"/>
              <w:spacing w:after="0"/>
              <w:rPr>
                <w:sz w:val="20"/>
                <w:szCs w:val="20"/>
                <w:color w:val="auto"/>
              </w:rPr>
            </w:pPr>
            <w:r>
              <w:rPr>
                <w:rFonts w:ascii="Arial" w:cs="Arial" w:eastAsia="Arial" w:hAnsi="Arial"/>
                <w:sz w:val="18"/>
                <w:szCs w:val="18"/>
                <w:color w:val="auto"/>
              </w:rPr>
              <w:t>10.13.</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Construction</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9" w:name="page310"/>
    <w:bookmarkEnd w:id="30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10060" w:type="dxa"/>
            <w:vAlign w:val="bottom"/>
          </w:tcPr>
          <w:p>
            <w:pPr>
              <w:spacing w:after="0"/>
              <w:rPr>
                <w:sz w:val="20"/>
                <w:szCs w:val="20"/>
                <w:color w:val="auto"/>
              </w:rPr>
            </w:pPr>
          </w:p>
        </w:tc>
      </w:tr>
      <w:tr>
        <w:trPr>
          <w:trHeight w:val="416"/>
        </w:trPr>
        <w:tc>
          <w:tcPr>
            <w:tcW w:w="1360" w:type="dxa"/>
            <w:vAlign w:val="bottom"/>
          </w:tcPr>
          <w:p>
            <w:pPr>
              <w:ind w:left="160"/>
              <w:spacing w:after="0"/>
              <w:rPr>
                <w:sz w:val="20"/>
                <w:szCs w:val="20"/>
                <w:color w:val="auto"/>
              </w:rPr>
            </w:pPr>
            <w:r>
              <w:rPr>
                <w:rFonts w:ascii="Arial" w:cs="Arial" w:eastAsia="Arial" w:hAnsi="Arial"/>
                <w:sz w:val="18"/>
                <w:szCs w:val="18"/>
                <w:color w:val="auto"/>
              </w:rPr>
              <w:t>Exhibit A</w:t>
            </w:r>
          </w:p>
        </w:tc>
        <w:tc>
          <w:tcPr>
            <w:tcW w:w="10060" w:type="dxa"/>
            <w:vAlign w:val="bottom"/>
          </w:tcPr>
          <w:p>
            <w:pPr>
              <w:ind w:left="500"/>
              <w:spacing w:after="0"/>
              <w:rPr>
                <w:sz w:val="20"/>
                <w:szCs w:val="20"/>
                <w:color w:val="auto"/>
              </w:rPr>
            </w:pPr>
            <w:r>
              <w:rPr>
                <w:rFonts w:ascii="Arial" w:cs="Arial" w:eastAsia="Arial" w:hAnsi="Arial"/>
                <w:sz w:val="18"/>
                <w:szCs w:val="18"/>
                <w:color w:val="auto"/>
              </w:rPr>
              <w:t>Definitions</w:t>
            </w:r>
          </w:p>
        </w:tc>
      </w:tr>
      <w:tr>
        <w:trPr>
          <w:trHeight w:val="215"/>
        </w:trPr>
        <w:tc>
          <w:tcPr>
            <w:tcW w:w="1360" w:type="dxa"/>
            <w:vAlign w:val="bottom"/>
          </w:tcPr>
          <w:p>
            <w:pPr>
              <w:ind w:left="160"/>
              <w:spacing w:after="0"/>
              <w:rPr>
                <w:sz w:val="20"/>
                <w:szCs w:val="20"/>
                <w:color w:val="auto"/>
              </w:rPr>
            </w:pPr>
            <w:r>
              <w:rPr>
                <w:rFonts w:ascii="Arial" w:cs="Arial" w:eastAsia="Arial" w:hAnsi="Arial"/>
                <w:sz w:val="18"/>
                <w:szCs w:val="18"/>
                <w:color w:val="auto"/>
              </w:rPr>
              <w:t>Exhibit B</w:t>
            </w:r>
          </w:p>
        </w:tc>
        <w:tc>
          <w:tcPr>
            <w:tcW w:w="10060" w:type="dxa"/>
            <w:vAlign w:val="bottom"/>
          </w:tcPr>
          <w:p>
            <w:pPr>
              <w:ind w:left="500"/>
              <w:spacing w:after="0"/>
              <w:rPr>
                <w:sz w:val="20"/>
                <w:szCs w:val="20"/>
                <w:color w:val="auto"/>
              </w:rPr>
            </w:pPr>
            <w:r>
              <w:rPr>
                <w:rFonts w:ascii="Arial" w:cs="Arial" w:eastAsia="Arial" w:hAnsi="Arial"/>
                <w:sz w:val="18"/>
                <w:szCs w:val="18"/>
                <w:color w:val="auto"/>
              </w:rPr>
              <w:t>Form of Company Stockholder Support Agreement</w:t>
            </w:r>
          </w:p>
        </w:tc>
      </w:tr>
      <w:tr>
        <w:trPr>
          <w:trHeight w:val="215"/>
        </w:trPr>
        <w:tc>
          <w:tcPr>
            <w:tcW w:w="1360" w:type="dxa"/>
            <w:vAlign w:val="bottom"/>
          </w:tcPr>
          <w:p>
            <w:pPr>
              <w:ind w:left="160"/>
              <w:spacing w:after="0"/>
              <w:rPr>
                <w:sz w:val="20"/>
                <w:szCs w:val="20"/>
                <w:color w:val="auto"/>
              </w:rPr>
            </w:pPr>
            <w:r>
              <w:rPr>
                <w:rFonts w:ascii="Arial" w:cs="Arial" w:eastAsia="Arial" w:hAnsi="Arial"/>
                <w:sz w:val="18"/>
                <w:szCs w:val="18"/>
                <w:color w:val="auto"/>
              </w:rPr>
              <w:t>Exhibit C</w:t>
            </w:r>
          </w:p>
        </w:tc>
        <w:tc>
          <w:tcPr>
            <w:tcW w:w="10060" w:type="dxa"/>
            <w:vAlign w:val="bottom"/>
          </w:tcPr>
          <w:p>
            <w:pPr>
              <w:ind w:left="500"/>
              <w:spacing w:after="0"/>
              <w:rPr>
                <w:sz w:val="20"/>
                <w:szCs w:val="20"/>
                <w:color w:val="auto"/>
              </w:rPr>
            </w:pPr>
            <w:r>
              <w:rPr>
                <w:rFonts w:ascii="Arial" w:cs="Arial" w:eastAsia="Arial" w:hAnsi="Arial"/>
                <w:sz w:val="18"/>
                <w:szCs w:val="18"/>
                <w:color w:val="auto"/>
              </w:rPr>
              <w:t>Form of Purchaser Stockholder Support Agreement</w:t>
            </w:r>
          </w:p>
        </w:tc>
      </w:tr>
      <w:tr>
        <w:trPr>
          <w:trHeight w:val="215"/>
        </w:trPr>
        <w:tc>
          <w:tcPr>
            <w:tcW w:w="1360" w:type="dxa"/>
            <w:vAlign w:val="bottom"/>
          </w:tcPr>
          <w:p>
            <w:pPr>
              <w:ind w:left="160"/>
              <w:spacing w:after="0"/>
              <w:rPr>
                <w:sz w:val="20"/>
                <w:szCs w:val="20"/>
                <w:color w:val="auto"/>
              </w:rPr>
            </w:pPr>
            <w:r>
              <w:rPr>
                <w:rFonts w:ascii="Arial" w:cs="Arial" w:eastAsia="Arial" w:hAnsi="Arial"/>
                <w:sz w:val="18"/>
                <w:szCs w:val="18"/>
                <w:color w:val="auto"/>
              </w:rPr>
              <w:t>Exhibit D</w:t>
            </w:r>
          </w:p>
        </w:tc>
        <w:tc>
          <w:tcPr>
            <w:tcW w:w="10060" w:type="dxa"/>
            <w:vAlign w:val="bottom"/>
          </w:tcPr>
          <w:p>
            <w:pPr>
              <w:ind w:left="500"/>
              <w:spacing w:after="0"/>
              <w:rPr>
                <w:sz w:val="20"/>
                <w:szCs w:val="20"/>
                <w:color w:val="auto"/>
              </w:rPr>
            </w:pPr>
            <w:r>
              <w:rPr>
                <w:rFonts w:ascii="Arial" w:cs="Arial" w:eastAsia="Arial" w:hAnsi="Arial"/>
                <w:sz w:val="18"/>
                <w:szCs w:val="18"/>
                <w:color w:val="auto"/>
              </w:rPr>
              <w:t>Post-Closing Directors and Officers</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Exhibit E</w:t>
            </w:r>
          </w:p>
        </w:tc>
        <w:tc>
          <w:tcPr>
            <w:tcW w:w="10060" w:type="dxa"/>
            <w:vAlign w:val="bottom"/>
          </w:tcPr>
          <w:p>
            <w:pPr>
              <w:ind w:left="500"/>
              <w:spacing w:after="0"/>
              <w:rPr>
                <w:sz w:val="20"/>
                <w:szCs w:val="20"/>
                <w:color w:val="auto"/>
              </w:rPr>
            </w:pPr>
            <w:r>
              <w:rPr>
                <w:rFonts w:ascii="Arial" w:cs="Arial" w:eastAsia="Arial" w:hAnsi="Arial"/>
                <w:sz w:val="18"/>
                <w:szCs w:val="18"/>
                <w:color w:val="auto"/>
              </w:rPr>
              <w:t>Form of Lock-Up Agreement</w:t>
            </w:r>
          </w:p>
        </w:tc>
      </w:tr>
      <w:tr>
        <w:trPr>
          <w:trHeight w:val="572"/>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0" w:name="page311"/>
    <w:bookmarkEnd w:id="31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AGREEMENT AND PLAN OF MERGER AND REORGANIZATION</w:t>
      </w:r>
    </w:p>
    <w:p>
      <w:pPr>
        <w:spacing w:after="0" w:line="220" w:lineRule="exact"/>
        <w:rPr>
          <w:sz w:val="20"/>
          <w:szCs w:val="20"/>
          <w:color w:val="auto"/>
        </w:rPr>
      </w:pPr>
    </w:p>
    <w:p>
      <w:pPr>
        <w:ind w:left="140" w:right="260" w:firstLine="1292"/>
        <w:spacing w:after="0" w:line="260" w:lineRule="auto"/>
        <w:rPr>
          <w:sz w:val="20"/>
          <w:szCs w:val="20"/>
          <w:color w:val="auto"/>
        </w:rPr>
      </w:pPr>
      <w:r>
        <w:rPr>
          <w:rFonts w:ascii="Arial" w:cs="Arial" w:eastAsia="Arial" w:hAnsi="Arial"/>
          <w:sz w:val="18"/>
          <w:szCs w:val="18"/>
          <w:b w:val="1"/>
          <w:bCs w:val="1"/>
          <w:color w:val="auto"/>
        </w:rPr>
        <w:t xml:space="preserve">THIS AGREEMENT AND PLAN OF MERGER AND REORGANIZATION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October 27, 2017, by and among </w:t>
      </w:r>
      <w:r>
        <w:rPr>
          <w:rFonts w:ascii="Arial" w:cs="Arial" w:eastAsia="Arial" w:hAnsi="Arial"/>
          <w:sz w:val="18"/>
          <w:szCs w:val="18"/>
          <w:b w:val="1"/>
          <w:bCs w:val="1"/>
          <w:color w:val="auto"/>
        </w:rPr>
        <w:t>AVIRAGEN THERAPEUTICS,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AGORA MERGER SUB, INC.</w:t>
      </w:r>
      <w:r>
        <w:rPr>
          <w:rFonts w:ascii="Arial" w:cs="Arial" w:eastAsia="Arial" w:hAnsi="Arial"/>
          <w:sz w:val="18"/>
          <w:szCs w:val="18"/>
          <w:color w:val="auto"/>
        </w:rPr>
        <w:t>, a Delaware corporation and wholly owned subsidiary of Parent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xml:space="preserve">”), and </w:t>
      </w:r>
      <w:r>
        <w:rPr>
          <w:rFonts w:ascii="Arial" w:cs="Arial" w:eastAsia="Arial" w:hAnsi="Arial"/>
          <w:sz w:val="18"/>
          <w:szCs w:val="18"/>
          <w:b w:val="1"/>
          <w:bCs w:val="1"/>
          <w:color w:val="auto"/>
        </w:rPr>
        <w:t>VAXART,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RECITALS</w:t>
      </w:r>
    </w:p>
    <w:p>
      <w:pPr>
        <w:spacing w:after="0" w:line="228" w:lineRule="exact"/>
        <w:rPr>
          <w:sz w:val="20"/>
          <w:szCs w:val="20"/>
          <w:color w:val="auto"/>
        </w:rPr>
      </w:pPr>
    </w:p>
    <w:p>
      <w:pPr>
        <w:ind w:left="140" w:right="160" w:firstLine="648"/>
        <w:spacing w:after="0" w:line="262" w:lineRule="auto"/>
        <w:tabs>
          <w:tab w:leader="none" w:pos="11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Parent and the Company intend to effect a merger of Merger Sub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 owned subsidiary of Parent.</w:t>
      </w:r>
    </w:p>
    <w:p>
      <w:pPr>
        <w:spacing w:after="0" w:line="183" w:lineRule="exact"/>
        <w:rPr>
          <w:rFonts w:ascii="Arial" w:cs="Arial" w:eastAsia="Arial" w:hAnsi="Arial"/>
          <w:sz w:val="18"/>
          <w:szCs w:val="18"/>
          <w:color w:val="auto"/>
        </w:rPr>
      </w:pPr>
    </w:p>
    <w:p>
      <w:pPr>
        <w:ind w:left="140" w:right="60" w:firstLine="648"/>
        <w:spacing w:after="0" w:line="262" w:lineRule="auto"/>
        <w:tabs>
          <w:tab w:leader="none" w:pos="117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Parties intend that the Merger qualify as a “reorganization” within the meaning of Section 368(a) of the Code and the Treasury Regulations promulgated thereunder, and by executing this Agreement, the Parties intend to adopt a plan of reorganization within the meaning of Treasury Regulations Sections 1.368-2(g) and 1.368-3.</w:t>
      </w:r>
    </w:p>
    <w:p>
      <w:pPr>
        <w:spacing w:after="0" w:line="183" w:lineRule="exact"/>
        <w:rPr>
          <w:rFonts w:ascii="Arial" w:cs="Arial" w:eastAsia="Arial" w:hAnsi="Arial"/>
          <w:sz w:val="18"/>
          <w:szCs w:val="18"/>
          <w:color w:val="auto"/>
        </w:rPr>
      </w:pPr>
    </w:p>
    <w:p>
      <w:pPr>
        <w:ind w:left="140" w:right="40" w:firstLine="648"/>
        <w:spacing w:after="0" w:line="256" w:lineRule="auto"/>
        <w:tabs>
          <w:tab w:leader="none" w:pos="117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Parent Board has (i) determined that the Contemplated Transactions are fair to, advisable and in the best interests of Parent and its stockholders, (ii) approved and declared advisable this Agreement and the Contemplated Transactions, including the issuance of shares of Parent Common Stock to the stockholders of the Company pursuant to the terms of this Agreement and (iii) determined to recommend, upon the terms and subject to the conditions set forth in this Agreement, that the stockholders of Parent vote to approve the issuance of shares of Parent Common Stock to the stockholders of the Company pursuant to the terms of this Agreement.</w:t>
      </w:r>
    </w:p>
    <w:p>
      <w:pPr>
        <w:spacing w:after="0" w:line="188" w:lineRule="exact"/>
        <w:rPr>
          <w:rFonts w:ascii="Arial" w:cs="Arial" w:eastAsia="Arial" w:hAnsi="Arial"/>
          <w:sz w:val="18"/>
          <w:szCs w:val="18"/>
          <w:color w:val="auto"/>
        </w:rPr>
      </w:pPr>
    </w:p>
    <w:p>
      <w:pPr>
        <w:ind w:left="140" w:right="40" w:firstLine="648"/>
        <w:spacing w:after="0" w:line="258" w:lineRule="auto"/>
        <w:tabs>
          <w:tab w:leader="none" w:pos="118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86" w:lineRule="exact"/>
        <w:rPr>
          <w:rFonts w:ascii="Arial" w:cs="Arial" w:eastAsia="Arial" w:hAnsi="Arial"/>
          <w:sz w:val="18"/>
          <w:szCs w:val="18"/>
          <w:color w:val="auto"/>
        </w:rPr>
      </w:pPr>
    </w:p>
    <w:p>
      <w:pPr>
        <w:ind w:left="140" w:firstLine="648"/>
        <w:spacing w:after="0" w:line="258" w:lineRule="auto"/>
        <w:tabs>
          <w:tab w:leader="none" w:pos="116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86" w:lineRule="exact"/>
        <w:rPr>
          <w:rFonts w:ascii="Arial" w:cs="Arial" w:eastAsia="Arial" w:hAnsi="Arial"/>
          <w:sz w:val="18"/>
          <w:szCs w:val="18"/>
          <w:color w:val="auto"/>
        </w:rPr>
      </w:pPr>
    </w:p>
    <w:p>
      <w:pPr>
        <w:ind w:left="140" w:right="120" w:firstLine="648"/>
        <w:spacing w:after="0" w:line="254" w:lineRule="auto"/>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Parent’s willingness to enter into this Agreement, the officers, directors and stockholders of the Company listed on Section A of the Company Disclosure Schedule (solely in their capacity as stockholders of the Company) are executing support agreements in favor of Parent in substantially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 Support Agreement</w:t>
      </w:r>
      <w:r>
        <w:rPr>
          <w:rFonts w:ascii="Arial" w:cs="Arial" w:eastAsia="Arial" w:hAnsi="Arial"/>
          <w:sz w:val="18"/>
          <w:szCs w:val="18"/>
          <w:color w:val="auto"/>
        </w:rPr>
        <w:t>”), pursuant to which such Persons have, subject to the terms and conditions set forth therein, agreed to vote all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Company Capital Stock in favor of the adoption of this Agreement and thereby approve the Contemplated Transactions and against any competing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725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11" w:name="page312"/>
    <w:bookmarkEnd w:id="31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00" w:firstLine="648"/>
        <w:spacing w:after="0" w:line="274" w:lineRule="auto"/>
        <w:tabs>
          <w:tab w:leader="none" w:pos="118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Concurrently with the execution and delivery of this Agreement and as a condition and inducement to the Company’s willingness to enter into this Agreement, the officers and directors of Parent (solely in their capacity as stockholders of Parent) are executing support agreements in favor of the Company in substantially the form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Parent Stockholder Support Agreement</w:t>
      </w:r>
      <w:r>
        <w:rPr>
          <w:rFonts w:ascii="Arial" w:cs="Arial" w:eastAsia="Arial" w:hAnsi="Arial"/>
          <w:sz w:val="17"/>
          <w:szCs w:val="17"/>
          <w:color w:val="auto"/>
        </w:rPr>
        <w:t>”), pursuant to which such Persons have, subject to the terms and conditions set forth therein, agreed to vote all of their shares of Parent Common Stock in favor of the issuance of the shares of Parent Common Stock to the stockholders of the Company pursuant to the terms of this Agreement.</w:t>
      </w:r>
    </w:p>
    <w:p>
      <w:pPr>
        <w:spacing w:after="0" w:line="176" w:lineRule="exact"/>
        <w:rPr>
          <w:rFonts w:ascii="Arial" w:cs="Arial" w:eastAsia="Arial" w:hAnsi="Arial"/>
          <w:sz w:val="17"/>
          <w:szCs w:val="17"/>
          <w:color w:val="auto"/>
        </w:rPr>
      </w:pPr>
    </w:p>
    <w:p>
      <w:pPr>
        <w:ind w:left="140" w:right="160" w:firstLine="648"/>
        <w:spacing w:after="0" w:line="256" w:lineRule="auto"/>
        <w:tabs>
          <w:tab w:leader="none" w:pos="118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is expected that within three Business Days after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a form reasonably acceptable to Parent, in order to obtain the Required Company Stockholder Vote (each, a “</w:t>
      </w:r>
      <w:r>
        <w:rPr>
          <w:rFonts w:ascii="Arial" w:cs="Arial" w:eastAsia="Arial" w:hAnsi="Arial"/>
          <w:sz w:val="18"/>
          <w:szCs w:val="18"/>
          <w:b w:val="1"/>
          <w:bCs w:val="1"/>
          <w:i w:val="1"/>
          <w:iCs w:val="1"/>
          <w:color w:val="auto"/>
        </w:rPr>
        <w:t>Company Stockholder Written Consent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 Written Consents</w:t>
      </w:r>
      <w:r>
        <w:rPr>
          <w:rFonts w:ascii="Arial" w:cs="Arial" w:eastAsia="Arial" w:hAnsi="Arial"/>
          <w:sz w:val="18"/>
          <w:szCs w:val="18"/>
          <w:color w:val="auto"/>
        </w:rPr>
        <w:t>”).</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0"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1.</w:t>
        <w:tab/>
        <w:t>DESCRIPTION OF TRANSACTION</w:t>
      </w:r>
    </w:p>
    <w:p>
      <w:pPr>
        <w:spacing w:after="0" w:line="224" w:lineRule="exact"/>
        <w:rPr>
          <w:sz w:val="20"/>
          <w:szCs w:val="20"/>
          <w:color w:val="auto"/>
        </w:rPr>
      </w:pPr>
    </w:p>
    <w:p>
      <w:pPr>
        <w:ind w:left="140" w:right="40" w:firstLine="1292"/>
        <w:spacing w:after="0" w:line="26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The Merger</w:t>
      </w:r>
      <w:r>
        <w:rPr>
          <w:rFonts w:ascii="Arial" w:cs="Arial" w:eastAsia="Arial" w:hAnsi="Arial"/>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76" w:lineRule="exact"/>
        <w:rPr>
          <w:sz w:val="20"/>
          <w:szCs w:val="20"/>
          <w:color w:val="auto"/>
        </w:rPr>
      </w:pPr>
    </w:p>
    <w:p>
      <w:pPr>
        <w:ind w:left="140" w:right="480" w:firstLine="1292"/>
        <w:spacing w:after="0" w:line="28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Effects of the Merger</w:t>
      </w:r>
      <w:r>
        <w:rPr>
          <w:rFonts w:ascii="Arial" w:cs="Arial" w:eastAsia="Arial" w:hAnsi="Arial"/>
          <w:sz w:val="18"/>
          <w:szCs w:val="18"/>
          <w:color w:val="auto"/>
        </w:rPr>
        <w:t>. The Merger shall have the effects set forth in this Agreement and in the applicable provisions of the DGCL. As a result of the Merger, the Company will become a wholly owned subsidiary of Parent.</w:t>
      </w:r>
    </w:p>
    <w:p>
      <w:pPr>
        <w:spacing w:after="0" w:line="163" w:lineRule="exact"/>
        <w:rPr>
          <w:sz w:val="20"/>
          <w:szCs w:val="20"/>
          <w:color w:val="auto"/>
        </w:rPr>
      </w:pPr>
    </w:p>
    <w:p>
      <w:pPr>
        <w:ind w:left="140" w:firstLine="1292"/>
        <w:spacing w:after="0" w:line="28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Closing; Effective Time</w:t>
      </w:r>
      <w:r>
        <w:rPr>
          <w:rFonts w:ascii="Arial" w:cs="Arial" w:eastAsia="Arial" w:hAnsi="Arial"/>
          <w:sz w:val="16"/>
          <w:szCs w:val="16"/>
          <w:color w:val="auto"/>
        </w:rPr>
        <w:t xml:space="preserve">. Unless this Agreement is earlier terminated pursuant to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subject to the satisfaction or waiver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the consummation of the Merger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At the Closing, the Parties shall cause the Merger to be consummated by executing and filing with the Secretary of State of the State of Delaware a certificate of merger with respect to the Merger, satisfying the applicable requirements of the DGCL and in a form reasonably acceptable to Parent and the Company (the “</w:t>
      </w:r>
      <w:r>
        <w:rPr>
          <w:rFonts w:ascii="Arial" w:cs="Arial" w:eastAsia="Arial" w:hAnsi="Arial"/>
          <w:sz w:val="16"/>
          <w:szCs w:val="16"/>
          <w:b w:val="1"/>
          <w:bCs w:val="1"/>
          <w:i w:val="1"/>
          <w:iCs w:val="1"/>
          <w:color w:val="auto"/>
        </w:rPr>
        <w:t>Certificate of Merger</w:t>
      </w:r>
      <w:r>
        <w:rPr>
          <w:rFonts w:ascii="Arial" w:cs="Arial" w:eastAsia="Arial" w:hAnsi="Arial"/>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12" w:name="page313"/>
    <w:bookmarkEnd w:id="31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u w:val="single" w:color="auto"/>
          <w:color w:val="auto"/>
        </w:rPr>
        <w:t>Certificate of Incorporation and Bylaws; Directors and Officers</w:t>
      </w:r>
      <w:r>
        <w:rPr>
          <w:rFonts w:ascii="Arial" w:cs="Arial" w:eastAsia="Arial" w:hAnsi="Arial"/>
          <w:sz w:val="16"/>
          <w:szCs w:val="16"/>
          <w:color w:val="auto"/>
        </w:rPr>
        <w:t>. At the Effective Time:</w:t>
      </w:r>
    </w:p>
    <w:p>
      <w:pPr>
        <w:spacing w:after="0" w:line="228" w:lineRule="exact"/>
        <w:rPr>
          <w:sz w:val="20"/>
          <w:szCs w:val="20"/>
          <w:color w:val="auto"/>
        </w:rPr>
      </w:pPr>
    </w:p>
    <w:p>
      <w:pPr>
        <w:ind w:left="140" w:right="180" w:firstLine="1940"/>
        <w:spacing w:after="0" w:line="262" w:lineRule="auto"/>
        <w:tabs>
          <w:tab w:leader="none" w:pos="25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in its entirety to read identically to the certificate of incorporation of Merger Sub as in effect immediately prior to the Effective Time, until thereafter amended as provided by the DGCL and such certificate of incorporation;</w:t>
      </w:r>
    </w:p>
    <w:p>
      <w:pPr>
        <w:spacing w:after="0" w:line="183" w:lineRule="exact"/>
        <w:rPr>
          <w:rFonts w:ascii="Arial" w:cs="Arial" w:eastAsia="Arial" w:hAnsi="Arial"/>
          <w:sz w:val="18"/>
          <w:szCs w:val="18"/>
          <w:color w:val="auto"/>
        </w:rPr>
      </w:pPr>
    </w:p>
    <w:p>
      <w:pPr>
        <w:ind w:left="140" w:firstLine="1940"/>
        <w:spacing w:after="0" w:line="300" w:lineRule="auto"/>
        <w:tabs>
          <w:tab w:leader="none" w:pos="251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certificate of incorporation of Parent shall be identical to the certificate of incorporation of Parent immediately prior to the Effective Time, until thereafter amended as provided by the DGCL and such certificate of incorporation;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the Effective Time, Parent shall file one or more amendments to its Certificate of Incorporation to (i) change the name of Parent to “Vaxart, Inc.” (the “</w:t>
      </w:r>
      <w:r>
        <w:rPr>
          <w:rFonts w:ascii="Arial" w:cs="Arial" w:eastAsia="Arial" w:hAnsi="Arial"/>
          <w:sz w:val="16"/>
          <w:szCs w:val="16"/>
          <w:b w:val="1"/>
          <w:bCs w:val="1"/>
          <w:i w:val="1"/>
          <w:iCs w:val="1"/>
          <w:color w:val="auto"/>
        </w:rPr>
        <w:t>Corporate Name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Change</w:t>
      </w:r>
      <w:r>
        <w:rPr>
          <w:rFonts w:ascii="Arial" w:cs="Arial" w:eastAsia="Arial" w:hAnsi="Arial"/>
          <w:sz w:val="16"/>
          <w:szCs w:val="16"/>
          <w:color w:val="auto"/>
        </w:rPr>
        <w:t>”) and (ii) effect the Reverse Split (but only to the extent that the Required Parent Stockholder Reverse Split Vote has been obtained).</w:t>
      </w:r>
    </w:p>
    <w:p>
      <w:pPr>
        <w:spacing w:after="0" w:line="156" w:lineRule="exact"/>
        <w:rPr>
          <w:rFonts w:ascii="Arial" w:cs="Arial" w:eastAsia="Arial" w:hAnsi="Arial"/>
          <w:sz w:val="16"/>
          <w:szCs w:val="16"/>
          <w:color w:val="auto"/>
        </w:rPr>
      </w:pPr>
    </w:p>
    <w:p>
      <w:pPr>
        <w:ind w:left="140" w:right="160" w:firstLine="1940"/>
        <w:spacing w:after="0" w:line="276" w:lineRule="auto"/>
        <w:tabs>
          <w:tab w:leader="none" w:pos="25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169" w:lineRule="exact"/>
        <w:rPr>
          <w:rFonts w:ascii="Arial" w:cs="Arial" w:eastAsia="Arial" w:hAnsi="Arial"/>
          <w:sz w:val="18"/>
          <w:szCs w:val="18"/>
          <w:color w:val="auto"/>
        </w:rPr>
      </w:pPr>
    </w:p>
    <w:p>
      <w:pPr>
        <w:ind w:left="140" w:right="160" w:firstLine="1940"/>
        <w:spacing w:after="0" w:line="276" w:lineRule="auto"/>
        <w:tabs>
          <w:tab w:leader="none" w:pos="25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directors and officers of Parent, each to hold office in accordance with the certificate of incorporation and bylaws of Parent, shall be as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 and</w:t>
      </w:r>
    </w:p>
    <w:p>
      <w:pPr>
        <w:spacing w:after="0" w:line="169" w:lineRule="exact"/>
        <w:rPr>
          <w:rFonts w:ascii="Arial" w:cs="Arial" w:eastAsia="Arial" w:hAnsi="Arial"/>
          <w:sz w:val="18"/>
          <w:szCs w:val="18"/>
          <w:color w:val="auto"/>
        </w:rPr>
      </w:pPr>
    </w:p>
    <w:p>
      <w:pPr>
        <w:ind w:left="140" w:right="220" w:firstLine="1940"/>
        <w:spacing w:after="0" w:line="262" w:lineRule="auto"/>
        <w:tabs>
          <w:tab w:leader="none" w:pos="25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Parent as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5.14</w:t>
      </w:r>
      <w:r>
        <w:rPr>
          <w:rFonts w:ascii="Arial" w:cs="Arial" w:eastAsia="Arial" w:hAnsi="Arial"/>
          <w:sz w:val="18"/>
          <w:szCs w:val="18"/>
          <w:color w:val="auto"/>
        </w:rPr>
        <w:t>, or such other persons as shall be mutually agreed upon by Parent and the Company.</w:t>
      </w:r>
    </w:p>
    <w:p>
      <w:pPr>
        <w:spacing w:after="0" w:line="179" w:lineRule="exact"/>
        <w:rPr>
          <w:sz w:val="20"/>
          <w:szCs w:val="20"/>
          <w:color w:val="auto"/>
        </w:rPr>
      </w:pPr>
    </w:p>
    <w:p>
      <w:pPr>
        <w:ind w:left="1600"/>
        <w:spacing w:after="0"/>
        <w:tabs>
          <w:tab w:leader="none" w:pos="20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u w:val="single" w:color="auto"/>
          <w:color w:val="auto"/>
        </w:rPr>
        <w:t>Conversion of Shares</w:t>
      </w:r>
      <w:r>
        <w:rPr>
          <w:rFonts w:ascii="Arial" w:cs="Arial" w:eastAsia="Arial" w:hAnsi="Arial"/>
          <w:sz w:val="15"/>
          <w:szCs w:val="15"/>
          <w:color w:val="auto"/>
        </w:rPr>
        <w:t>.</w:t>
      </w:r>
    </w:p>
    <w:p>
      <w:pPr>
        <w:spacing w:after="0" w:line="228" w:lineRule="exact"/>
        <w:rPr>
          <w:sz w:val="20"/>
          <w:szCs w:val="20"/>
          <w:color w:val="auto"/>
        </w:rPr>
      </w:pPr>
    </w:p>
    <w:p>
      <w:pPr>
        <w:ind w:left="140" w:right="480" w:firstLine="1940"/>
        <w:spacing w:after="0" w:line="276" w:lineRule="auto"/>
        <w:tabs>
          <w:tab w:leader="none" w:pos="249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Parent, Merger Sub, the Company or any stockholder of the Company or Parent:</w:t>
      </w:r>
    </w:p>
    <w:p>
      <w:pPr>
        <w:spacing w:after="0" w:line="169" w:lineRule="exact"/>
        <w:rPr>
          <w:rFonts w:ascii="Arial" w:cs="Arial" w:eastAsia="Arial" w:hAnsi="Arial"/>
          <w:sz w:val="18"/>
          <w:szCs w:val="18"/>
          <w:color w:val="auto"/>
        </w:rPr>
      </w:pPr>
    </w:p>
    <w:p>
      <w:pPr>
        <w:ind w:left="780" w:right="20" w:firstLine="1946"/>
        <w:spacing w:after="0" w:line="262" w:lineRule="auto"/>
        <w:tabs>
          <w:tab w:leader="none" w:pos="311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shares of Company Capital Stock held as treasury stock or held or owned by the Company or Merger Sub, or any Subsidiary of the Company immediately prior to the Effective Time shall be canceled and retired and shall cease to exist, and no consideration shall be delivered in exchange therefor; and</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13" w:name="page314"/>
    <w:bookmarkEnd w:id="31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780" w:right="40" w:firstLine="1946"/>
        <w:spacing w:after="0" w:line="310" w:lineRule="auto"/>
        <w:tabs>
          <w:tab w:leader="none" w:pos="316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1.5(c)</w:t>
      </w:r>
      <w:r>
        <w:rPr>
          <w:rFonts w:ascii="Arial" w:cs="Arial" w:eastAsia="Arial" w:hAnsi="Arial"/>
          <w:sz w:val="16"/>
          <w:szCs w:val="16"/>
          <w:color w:val="auto"/>
        </w:rPr>
        <w:t xml:space="preserve">, each share of Company Capital Stock outstanding immediately prior to the Effective Time (excluding shares to be canceled pursuant to </w:t>
      </w:r>
      <w:r>
        <w:rPr>
          <w:rFonts w:ascii="Arial" w:cs="Arial" w:eastAsia="Arial" w:hAnsi="Arial"/>
          <w:sz w:val="16"/>
          <w:szCs w:val="16"/>
          <w:u w:val="single" w:color="auto"/>
          <w:color w:val="auto"/>
        </w:rPr>
        <w:t>Section 1.5(a)(i)</w:t>
      </w:r>
      <w:r>
        <w:rPr>
          <w:rFonts w:ascii="Arial" w:cs="Arial" w:eastAsia="Arial" w:hAnsi="Arial"/>
          <w:sz w:val="16"/>
          <w:szCs w:val="16"/>
          <w:color w:val="auto"/>
        </w:rPr>
        <w:t xml:space="preserve"> and excluding Dissenting Shares) shall be automatically converted solely into the right to receive a number of shares of Parent Common Stock equal to the Exchange Ratio (the “</w:t>
      </w:r>
      <w:r>
        <w:rPr>
          <w:rFonts w:ascii="Arial" w:cs="Arial" w:eastAsia="Arial" w:hAnsi="Arial"/>
          <w:sz w:val="16"/>
          <w:szCs w:val="16"/>
          <w:b w:val="1"/>
          <w:bCs w:val="1"/>
          <w:i w:val="1"/>
          <w:iCs w:val="1"/>
          <w:color w:val="auto"/>
        </w:rPr>
        <w:t>Merger Consideration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40" w:right="140" w:firstLine="1940"/>
        <w:spacing w:after="0" w:line="292" w:lineRule="auto"/>
        <w:tabs>
          <w:tab w:leader="none" w:pos="251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Common Stock issued in exchange for such shares of Company Capital Stock will to the same extent be unvested and subject to the same repurchase option or risk of forfeiture, and such shares of Parent Common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in accordance with its terms.</w:t>
      </w:r>
    </w:p>
    <w:p>
      <w:pPr>
        <w:spacing w:after="0" w:line="164" w:lineRule="exact"/>
        <w:rPr>
          <w:rFonts w:ascii="Arial" w:cs="Arial" w:eastAsia="Arial" w:hAnsi="Arial"/>
          <w:sz w:val="16"/>
          <w:szCs w:val="16"/>
          <w:color w:val="auto"/>
        </w:rPr>
      </w:pPr>
    </w:p>
    <w:p>
      <w:pPr>
        <w:ind w:left="140" w:right="120" w:firstLine="1940"/>
        <w:spacing w:after="0" w:line="295" w:lineRule="auto"/>
        <w:tabs>
          <w:tab w:leader="none" w:pos="250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No fractional shares of Parent Common Stock shall be issued in connection with the Merger, and no certificates or scrip for any such fractional shares shall be issued. Any holder of Company Capital Stock who would otherwise be entitled to receive a fraction of a share of Parent Common Stock (after aggregating all fractional shares of Parent Common Stock issuable to such holder) shall, in lieu of such fraction of a share and upon surrender by such holder of a letter of transmittal in accordance with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any accompanying documents as required therein, be paid in cash the dollar amount (rounded to the nearest whole cent), without interest, determined by multiplying such fraction by the Parent Closing Price.</w:t>
      </w:r>
    </w:p>
    <w:p>
      <w:pPr>
        <w:spacing w:after="0" w:line="161" w:lineRule="exact"/>
        <w:rPr>
          <w:rFonts w:ascii="Arial" w:cs="Arial" w:eastAsia="Arial" w:hAnsi="Arial"/>
          <w:sz w:val="16"/>
          <w:szCs w:val="16"/>
          <w:color w:val="auto"/>
        </w:rPr>
      </w:pPr>
    </w:p>
    <w:p>
      <w:pPr>
        <w:ind w:left="2500" w:hanging="420"/>
        <w:spacing w:after="0"/>
        <w:tabs>
          <w:tab w:leader="none" w:pos="25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Company Options outstanding immediately prior to the Effective Time under the Company Plan shall be treated in</w:t>
      </w:r>
    </w:p>
    <w:p>
      <w:pPr>
        <w:spacing w:after="0" w:line="45"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09" w:lineRule="exact"/>
        <w:rPr>
          <w:rFonts w:ascii="Arial" w:cs="Arial" w:eastAsia="Arial" w:hAnsi="Arial"/>
          <w:sz w:val="16"/>
          <w:szCs w:val="16"/>
          <w:color w:val="auto"/>
        </w:rPr>
      </w:pPr>
    </w:p>
    <w:p>
      <w:pPr>
        <w:ind w:left="140" w:right="20" w:firstLine="1940"/>
        <w:spacing w:after="0" w:line="258" w:lineRule="auto"/>
        <w:tabs>
          <w:tab w:leader="none" w:pos="25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color w:val="auto"/>
        </w:rPr>
      </w:pPr>
    </w:p>
    <w:p>
      <w:pPr>
        <w:ind w:left="140" w:firstLine="1940"/>
        <w:spacing w:after="0" w:line="253" w:lineRule="auto"/>
        <w:tabs>
          <w:tab w:leader="none" w:pos="248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If, between the date of this Agreement and the Effective Time, the outstanding shares of Company Capital Stock or Parent Common Stock shall have been changed into, or exchanged for, a different number of shares or a different class, by reason of any stock dividend, subdivision, reclassification, recapitalization, split (including the Reverse Split), combination or exchange of shares or other like change, the Exchange Ratio shall, to the extent necessary, be equitably adjusted to reflect such change to the extent necessary to provide the holders of Company Capital Stock and Parent Common Stock with the same economic effect as contemplated by this Agreement prior to such stock dividend, subdivision, reclassification, recapitalization, split, combination or exchange of shares or other like change;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herein will be construed to permit the Company or Parent to take any action with respect to Company Capital Stock or Parent Common Stock, respectively, that is prohibited or not expressly permitted by the terms of this Agreement.</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14" w:name="page315"/>
    <w:bookmarkEnd w:id="31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u w:val="single" w:color="auto"/>
          <w:color w:val="auto"/>
        </w:rPr>
        <w:t>Closing of the Company’s Transfer Books</w:t>
      </w:r>
      <w:r>
        <w:rPr>
          <w:rFonts w:ascii="Arial" w:cs="Arial" w:eastAsia="Arial" w:hAnsi="Arial"/>
          <w:sz w:val="16"/>
          <w:szCs w:val="16"/>
          <w:color w:val="auto"/>
        </w:rPr>
        <w:t>. At the Effective Time: (a) all shares of Company Capital Stock outstanding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immediately prior to the Effective Time shall be treated in accordance with </w:t>
      </w:r>
      <w:r>
        <w:rPr>
          <w:rFonts w:ascii="Arial" w:cs="Arial" w:eastAsia="Arial" w:hAnsi="Arial"/>
          <w:sz w:val="16"/>
          <w:szCs w:val="16"/>
          <w:u w:val="single" w:color="auto"/>
          <w:color w:val="auto"/>
        </w:rPr>
        <w:t>Section 1.5(a)</w:t>
      </w:r>
      <w:r>
        <w:rPr>
          <w:rFonts w:ascii="Arial" w:cs="Arial" w:eastAsia="Arial" w:hAnsi="Arial"/>
          <w:sz w:val="16"/>
          <w:szCs w:val="16"/>
          <w:color w:val="auto"/>
        </w:rPr>
        <w:t>, and all holders of certificates representing shares of Company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Stock that were outstanding immediately prior to the Effective Time shall cease to have any rights as stockholders of the Company; and (b)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stock transfer books of the Company shall be closed with respect to all shares of Company Capital Stock outstanding immediately prior to the Effective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Time. No further transfer of any such shares of Company Capital Stock shall be made on such stock transfer books after the Effective Time. If, after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Effective Time, a valid certificate previously representing any shares of Company Capital Stock outstanding immediately prior to the Effective Time (a</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Stock Certificate</w:t>
      </w:r>
      <w:r>
        <w:rPr>
          <w:rFonts w:ascii="Arial" w:cs="Arial" w:eastAsia="Arial" w:hAnsi="Arial"/>
          <w:sz w:val="16"/>
          <w:szCs w:val="16"/>
          <w:color w:val="auto"/>
        </w:rPr>
        <w:t>”) is presented to the Exchange Agent or to the Surviving Corporation, such Company Stock Certificate shall be canceled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shall be exchanged as provided in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w:t>
      </w:r>
      <w:r>
        <w:rPr>
          <w:rFonts w:ascii="Arial" w:cs="Arial" w:eastAsia="Arial" w:hAnsi="Arial"/>
          <w:sz w:val="18"/>
          <w:szCs w:val="18"/>
          <w:color w:val="auto"/>
        </w:rPr>
        <w:t>.</w:t>
      </w:r>
    </w:p>
    <w:p>
      <w:pPr>
        <w:spacing w:after="0" w:line="205"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u w:val="single" w:color="auto"/>
          <w:color w:val="auto"/>
        </w:rPr>
        <w:t>Surrender of Certificates</w:t>
      </w:r>
      <w:r>
        <w:rPr>
          <w:rFonts w:ascii="Arial" w:cs="Arial" w:eastAsia="Arial" w:hAnsi="Arial"/>
          <w:sz w:val="16"/>
          <w:szCs w:val="16"/>
          <w:color w:val="auto"/>
        </w:rPr>
        <w:t>.</w:t>
      </w:r>
    </w:p>
    <w:p>
      <w:pPr>
        <w:spacing w:after="0" w:line="228" w:lineRule="exact"/>
        <w:rPr>
          <w:sz w:val="20"/>
          <w:szCs w:val="20"/>
          <w:color w:val="auto"/>
        </w:rPr>
      </w:pPr>
    </w:p>
    <w:p>
      <w:pPr>
        <w:ind w:left="140" w:right="200" w:firstLine="1940"/>
        <w:spacing w:after="0" w:line="254" w:lineRule="auto"/>
        <w:tabs>
          <w:tab w:leader="none" w:pos="250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 or prior to the Closing Date, Parent and the Company shall agree upon and select a reputable bank, transfer agent or trust company to act as exchange agent in the Merger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At the Effective Time, Parent shall deposit with the Exchange Agent: (i) certificates or evidence of book-entry shares representing the Parent Common Stock issuable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and (ii) cash sufficient to make payments in lieu of fractional shares in accordance with </w:t>
      </w:r>
      <w:r>
        <w:rPr>
          <w:rFonts w:ascii="Arial" w:cs="Arial" w:eastAsia="Arial" w:hAnsi="Arial"/>
          <w:sz w:val="18"/>
          <w:szCs w:val="18"/>
          <w:u w:val="single" w:color="auto"/>
          <w:color w:val="auto"/>
        </w:rPr>
        <w:t>Section 1.5(c)</w:t>
      </w:r>
      <w:r>
        <w:rPr>
          <w:rFonts w:ascii="Arial" w:cs="Arial" w:eastAsia="Arial" w:hAnsi="Arial"/>
          <w:sz w:val="18"/>
          <w:szCs w:val="18"/>
          <w:color w:val="auto"/>
        </w:rPr>
        <w:t>. The Parent Common Stock and cash amounts so deposited with the Exchange Agent, together with any dividends or distributions received by the Exchange Agent with respect to such shares, are referred to collectively as the “</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40" w:firstLine="1940"/>
        <w:spacing w:after="0" w:line="283" w:lineRule="auto"/>
        <w:tabs>
          <w:tab w:leader="none" w:pos="251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delivery of Company Stock Certificates shall be effected, and risk of loss and title to Company Stock Certificates shall pass, only upon proper delivery of such Company Stock Certificates to the Exchange Agent); and (ii) instructions for effecting the surrender of Company Stock Certificates in exchange for shares of Parent Common Stock. Upon surrender of a Company Stock Certificate to the Exchange Agent for exchange, together with a duly executed letter of transmittal and such other documents as may be reasonably required by the Exchange Agent or Parent: (A) the holder of such Company Stock Certificate shall be entitled to receive in exchange therefor a certificate or certificates or book-entry shares representing the Merger Consideration (in a number of whole shares of Parent Common Stock) that such holder has the right to receive pursuant to the provisions of </w:t>
      </w:r>
      <w:r>
        <w:rPr>
          <w:rFonts w:ascii="Arial" w:cs="Arial" w:eastAsia="Arial" w:hAnsi="Arial"/>
          <w:sz w:val="16"/>
          <w:szCs w:val="16"/>
          <w:u w:val="single" w:color="auto"/>
          <w:color w:val="auto"/>
        </w:rPr>
        <w:t>Section 1.5(a)</w:t>
      </w:r>
      <w:r>
        <w:rPr>
          <w:rFonts w:ascii="Arial" w:cs="Arial" w:eastAsia="Arial" w:hAnsi="Arial"/>
          <w:sz w:val="16"/>
          <w:szCs w:val="16"/>
          <w:color w:val="auto"/>
        </w:rPr>
        <w:t xml:space="preserve"> (and cash in lieu of any fractional share of Parent Common Stock pursuant to the provisions of </w:t>
      </w:r>
      <w:r>
        <w:rPr>
          <w:rFonts w:ascii="Arial" w:cs="Arial" w:eastAsia="Arial" w:hAnsi="Arial"/>
          <w:sz w:val="16"/>
          <w:szCs w:val="16"/>
          <w:u w:val="single" w:color="auto"/>
          <w:color w:val="auto"/>
        </w:rPr>
        <w:t>Section 1.5(c)</w:t>
      </w:r>
      <w:r>
        <w:rPr>
          <w:rFonts w:ascii="Arial" w:cs="Arial" w:eastAsia="Arial" w:hAnsi="Arial"/>
          <w:sz w:val="16"/>
          <w:szCs w:val="16"/>
          <w:color w:val="auto"/>
        </w:rPr>
        <w:t xml:space="preserve">); and (B) the Company Stock Certificate so surrendered shall be canceled. Until surrendered as contemplated by this </w:t>
      </w:r>
      <w:r>
        <w:rPr>
          <w:rFonts w:ascii="Arial" w:cs="Arial" w:eastAsia="Arial" w:hAnsi="Arial"/>
          <w:sz w:val="16"/>
          <w:szCs w:val="16"/>
          <w:u w:val="single" w:color="auto"/>
          <w:color w:val="auto"/>
        </w:rPr>
        <w:t>Section 1.7(b)</w:t>
      </w:r>
      <w:r>
        <w:rPr>
          <w:rFonts w:ascii="Arial" w:cs="Arial" w:eastAsia="Arial" w:hAnsi="Arial"/>
          <w:sz w:val="16"/>
          <w:szCs w:val="16"/>
          <w:color w:val="auto"/>
        </w:rPr>
        <w:t xml:space="preserve">, each Company Stock Certificate shall be deemed, from and after the Effective Time, to represent only the right to receive a certificate or certificates or book-entry shares of Parent Common Stock representing the Merger Consideration (and cash in lieu of any fractional share of Parent Common Stock). If any Company Stock Certificate shall have been lost, stolen or destroyed, Parent may, in its discretion and as a condition precedent to the delivery of any shares of Parent Common Stock, require the owner of such lost, stolen or destroyed Company Stock Certificate to provide an applicable affidavit with respect to such Company Stock Certificate. In the event of a transfer of ownership of a Company Stock Certificate that is not registered in the transfer records of the Company, payment of the Merger Consideration may be made to a Person other than the Person in whose name such Company Stock Certificate so surrendered is registered if such Company Stock Certificate shall be properly endorsed or otherwise be in proper form for transfer and the Person requesting such payment shall pay any transfer or other Taxes required by reason of the transfer or establish to the reasonable satisfaction of Parent that such Taxes have been paid or are not applicable. The Merger Consideration and any dividends or other distributions as are payable pursuant to </w:t>
      </w:r>
      <w:r>
        <w:rPr>
          <w:rFonts w:ascii="Arial" w:cs="Arial" w:eastAsia="Arial" w:hAnsi="Arial"/>
          <w:sz w:val="16"/>
          <w:szCs w:val="16"/>
          <w:u w:val="single" w:color="auto"/>
          <w:color w:val="auto"/>
        </w:rPr>
        <w:t>Section 1.7(c)</w:t>
      </w:r>
      <w:r>
        <w:rPr>
          <w:rFonts w:ascii="Arial" w:cs="Arial" w:eastAsia="Arial" w:hAnsi="Arial"/>
          <w:sz w:val="16"/>
          <w:szCs w:val="16"/>
          <w:color w:val="auto"/>
        </w:rPr>
        <w:t xml:space="preserve"> shall be deemed to have been in full satisfaction of all rights pertaining to Company Capital Stock formerly represented by such Company Stock Certificates.</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15" w:name="page316"/>
    <w:bookmarkEnd w:id="31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80" w:firstLine="1940"/>
        <w:spacing w:after="0" w:line="295" w:lineRule="auto"/>
        <w:tabs>
          <w:tab w:leader="none" w:pos="250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declared or made with respect to Parent Common Stock with a record date on or after the Effective Time shall be paid to the holder of any unsurrendered Company Stock Certificate with respect to the shares of Parent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(at which time (or, if later, on the applicable payment date) such holder shall be entitled, subject to the effect of applicable abandoned property, escheat or similar Laws, to receive all such dividends and distributions, without interest).</w:t>
      </w:r>
    </w:p>
    <w:p>
      <w:pPr>
        <w:spacing w:after="0" w:line="161" w:lineRule="exact"/>
        <w:rPr>
          <w:rFonts w:ascii="Arial" w:cs="Arial" w:eastAsia="Arial" w:hAnsi="Arial"/>
          <w:sz w:val="16"/>
          <w:szCs w:val="16"/>
          <w:color w:val="auto"/>
        </w:rPr>
      </w:pPr>
    </w:p>
    <w:p>
      <w:pPr>
        <w:ind w:left="140" w:right="40" w:firstLine="1940"/>
        <w:spacing w:after="0" w:line="256" w:lineRule="auto"/>
        <w:tabs>
          <w:tab w:leader="none" w:pos="2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portion of the Exchange Fund that remains undistributed to holders of Company Stock Certificates as of the date that is one year after the Closing Date shall be delivered to Parent upon demand, and any holders of Company Stock Certificates who have not theretofore surrendered their Company Stock Certificates in accordance with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thereafter look only to Parent for satisfaction of their claims for Parent Common Stock, cash in lieu of fractional shares of Parent Common Stock and any dividends or distributions with respect to shares of Parent Common Stock.</w:t>
      </w:r>
    </w:p>
    <w:p>
      <w:pPr>
        <w:spacing w:after="0" w:line="188" w:lineRule="exact"/>
        <w:rPr>
          <w:rFonts w:ascii="Arial" w:cs="Arial" w:eastAsia="Arial" w:hAnsi="Arial"/>
          <w:sz w:val="18"/>
          <w:szCs w:val="18"/>
          <w:color w:val="auto"/>
        </w:rPr>
      </w:pPr>
    </w:p>
    <w:p>
      <w:pPr>
        <w:ind w:left="140" w:right="120" w:firstLine="1940"/>
        <w:spacing w:after="0" w:line="290" w:lineRule="auto"/>
        <w:tabs>
          <w:tab w:leader="none" w:pos="250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of the Exchange Agent, Parent and the Surviving Corporation shall be entitled to deduct and withhold from any consideration deliverable pursuant to this Agreement to any holder of any Company Stock Certificate such amounts as are required to be deducted or withheld from such consideration under the Code or under any other applicable Law. Each of the Exchange Agent, Parent, and the Surviving Corporation shall, if requested by the Company, use commercially reasonable efforts to cooperate with the Company to reduce or eliminate any such withholding including requesting and providing recipients of consideration a reasonable opportunity to provide documentation establishing exemptions from or reductions of such withholdings.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66" w:lineRule="exact"/>
        <w:rPr>
          <w:rFonts w:ascii="Arial" w:cs="Arial" w:eastAsia="Arial" w:hAnsi="Arial"/>
          <w:sz w:val="16"/>
          <w:szCs w:val="16"/>
          <w:color w:val="auto"/>
        </w:rPr>
      </w:pPr>
    </w:p>
    <w:p>
      <w:pPr>
        <w:ind w:left="140" w:right="120" w:firstLine="1940"/>
        <w:spacing w:after="0" w:line="262" w:lineRule="auto"/>
        <w:tabs>
          <w:tab w:leader="none" w:pos="248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party to this Agreement shall be liable to any holder of any Company Stock Certificate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u w:val="single" w:color="auto"/>
          <w:color w:val="auto"/>
        </w:rPr>
        <w:t>Appraisal Rights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8" w:lineRule="auto"/>
        <w:tabs>
          <w:tab w:leader="none" w:pos="250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shall not be converted into or represent the right to receive the Merger Consideration described in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Arial" w:cs="Arial" w:eastAsia="Arial" w:hAnsi="Arial"/>
          <w:sz w:val="16"/>
          <w:szCs w:val="16"/>
          <w:u w:val="single" w:color="auto"/>
          <w:color w:val="auto"/>
        </w:rPr>
        <w:t>Sections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1.7</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40" w:right="120" w:firstLine="1940"/>
        <w:spacing w:after="0" w:line="254" w:lineRule="auto"/>
        <w:tabs>
          <w:tab w:leader="none" w:pos="25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Parent shall have the right to direct all negotiations and proceedings with respect to such demands;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have the right to participate in such negotiations and proceedings. The Company shall not, except with Parent’s prior written consent, voluntarily make any payment with respect to, or settle or offer to settle, any such demands, or approve any withdrawal of any such demands or agree to do any of the foregoing.</w:t>
      </w:r>
    </w:p>
    <w:p>
      <w:pPr>
        <w:spacing w:after="0" w:line="189" w:lineRule="exact"/>
        <w:rPr>
          <w:sz w:val="20"/>
          <w:szCs w:val="20"/>
          <w:color w:val="auto"/>
        </w:rPr>
      </w:pPr>
    </w:p>
    <w:p>
      <w:pPr>
        <w:ind w:left="140" w:firstLine="1292"/>
        <w:spacing w:after="0" w:line="25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Further Action</w:t>
      </w:r>
      <w:r>
        <w:rPr>
          <w:rFonts w:ascii="Arial" w:cs="Arial" w:eastAsia="Arial" w:hAnsi="Arial"/>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84"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228" w:lineRule="exact"/>
        <w:rPr>
          <w:sz w:val="20"/>
          <w:szCs w:val="20"/>
          <w:color w:val="auto"/>
        </w:rPr>
      </w:pPr>
    </w:p>
    <w:p>
      <w:pPr>
        <w:ind w:left="140" w:right="300" w:firstLine="1292"/>
        <w:spacing w:after="0" w:line="276"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10.13(i)</w:t>
      </w:r>
      <w:r>
        <w:rPr>
          <w:rFonts w:ascii="Arial" w:cs="Arial" w:eastAsia="Arial" w:hAnsi="Arial"/>
          <w:sz w:val="18"/>
          <w:szCs w:val="18"/>
          <w:color w:val="auto"/>
        </w:rPr>
        <w:t>, except as set forth in the written disclosure schedule delivered by the Company to Parent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Parent and Merger Sub as follows: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16" w:name="page317"/>
    <w:bookmarkEnd w:id="31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Due Organization; Subsidiaries</w:t>
      </w:r>
      <w:r>
        <w:rPr>
          <w:rFonts w:ascii="Arial" w:cs="Arial" w:eastAsia="Arial" w:hAnsi="Arial"/>
          <w:sz w:val="16"/>
          <w:szCs w:val="16"/>
          <w:color w:val="auto"/>
        </w:rPr>
        <w:t>.</w:t>
      </w:r>
    </w:p>
    <w:p>
      <w:pPr>
        <w:spacing w:after="0" w:line="228" w:lineRule="exact"/>
        <w:rPr>
          <w:sz w:val="20"/>
          <w:szCs w:val="20"/>
          <w:color w:val="auto"/>
        </w:rPr>
      </w:pPr>
    </w:p>
    <w:p>
      <w:pPr>
        <w:jc w:val="both"/>
        <w:ind w:left="140" w:right="100" w:firstLine="1940"/>
        <w:spacing w:after="0" w:line="300" w:lineRule="auto"/>
        <w:tabs>
          <w:tab w:leader="none" w:pos="250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56" w:lineRule="exact"/>
        <w:rPr>
          <w:rFonts w:ascii="Arial" w:cs="Arial" w:eastAsia="Arial" w:hAnsi="Arial"/>
          <w:sz w:val="16"/>
          <w:szCs w:val="16"/>
          <w:color w:val="auto"/>
        </w:rPr>
      </w:pPr>
    </w:p>
    <w:p>
      <w:pPr>
        <w:jc w:val="both"/>
        <w:ind w:left="140" w:right="140" w:firstLine="1940"/>
        <w:spacing w:after="0" w:line="258" w:lineRule="auto"/>
        <w:tabs>
          <w:tab w:leader="none" w:pos="251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be material to the Company or its business.</w:t>
      </w:r>
    </w:p>
    <w:p>
      <w:pPr>
        <w:spacing w:after="0" w:line="186" w:lineRule="exact"/>
        <w:rPr>
          <w:rFonts w:ascii="Arial" w:cs="Arial" w:eastAsia="Arial" w:hAnsi="Arial"/>
          <w:sz w:val="18"/>
          <w:szCs w:val="18"/>
          <w:color w:val="auto"/>
        </w:rPr>
      </w:pPr>
    </w:p>
    <w:p>
      <w:pPr>
        <w:ind w:left="140" w:right="60" w:firstLine="1940"/>
        <w:spacing w:after="0" w:line="270" w:lineRule="auto"/>
        <w:tabs>
          <w:tab w:leader="none" w:pos="249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The Company has no Subsidiaries, except for the Entities identified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of the Company Disclosure Schedule; and neither the Company nor any of the Entities identified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of the Company Disclosure Schedule owns any capital stock of, or any equity, ownership or profit sharing interest of any nature in, or controls directly or indirectly, any other Entity other than the Entities identified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of the Company Disclosure Schedule.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75" w:lineRule="exact"/>
        <w:rPr>
          <w:sz w:val="20"/>
          <w:szCs w:val="20"/>
          <w:color w:val="auto"/>
        </w:rPr>
      </w:pPr>
    </w:p>
    <w:p>
      <w:pPr>
        <w:ind w:left="140" w:right="280" w:firstLine="1292"/>
        <w:spacing w:after="0" w:line="26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color w:val="auto"/>
        </w:rPr>
        <w:t>. The Company has delivered to Parent accurate and complete copies of the Organizational Documents of the Company and each of its Subsidiaries. Neither the Company nor any of its Subsidiaries is in breach or violation of its Organizational Documents.</w:t>
      </w:r>
    </w:p>
    <w:p>
      <w:pPr>
        <w:spacing w:after="0" w:line="176" w:lineRule="exact"/>
        <w:rPr>
          <w:sz w:val="20"/>
          <w:szCs w:val="20"/>
          <w:color w:val="auto"/>
        </w:rPr>
      </w:pPr>
    </w:p>
    <w:p>
      <w:pPr>
        <w:ind w:left="140" w:firstLine="1292"/>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Authority; Binding Nature of Agreement</w:t>
      </w:r>
      <w:r>
        <w:rPr>
          <w:rFonts w:ascii="Arial" w:cs="Arial" w:eastAsia="Arial" w:hAnsi="Arial"/>
          <w:sz w:val="16"/>
          <w:szCs w:val="16"/>
          <w:color w:val="auto"/>
        </w:rPr>
        <w:t>. The Company and each of its Subsidiaries have all necessary corporate power and authority to enter into and to perform its obligations under this Agreement and to consummate the Contemplated Transactions.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58" w:lineRule="exact"/>
        <w:rPr>
          <w:sz w:val="20"/>
          <w:szCs w:val="20"/>
          <w:color w:val="auto"/>
        </w:rPr>
      </w:pPr>
    </w:p>
    <w:p>
      <w:pPr>
        <w:ind w:left="140" w:right="80"/>
        <w:spacing w:after="0" w:line="258" w:lineRule="auto"/>
        <w:rPr>
          <w:sz w:val="20"/>
          <w:szCs w:val="20"/>
          <w:color w:val="auto"/>
        </w:rPr>
      </w:pPr>
      <w:r>
        <w:rPr>
          <w:rFonts w:ascii="Arial" w:cs="Arial" w:eastAsia="Arial" w:hAnsi="Arial"/>
          <w:sz w:val="18"/>
          <w:szCs w:val="18"/>
          <w:color w:val="auto"/>
        </w:rPr>
        <w:t>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17" w:name="page318"/>
    <w:bookmarkEnd w:id="31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80" w:firstLine="1292"/>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Vote Required</w:t>
      </w:r>
      <w:r>
        <w:rPr>
          <w:rFonts w:ascii="Arial" w:cs="Arial" w:eastAsia="Arial" w:hAnsi="Arial"/>
          <w:sz w:val="16"/>
          <w:szCs w:val="16"/>
          <w:color w:val="auto"/>
        </w:rPr>
        <w:t>. The affirmative vote (or written consent) of (a) the holders of a majority of the shares of Company Common Stock and Company Preferred Stock each outstanding on the record date for the Company Stockholder Written Consent and entitled to vote thereon, voting as a single class, (b) the holders of a majority of the shares of Company Common Stock each outstanding on the record date for the Company Stockholder Written Consent and entitled to vote thereon, voting as a separate class, and (c) the holders of a majority of the shares of Company’s Series B Preferred Stock and Series C Preferred Stock outstanding on the record date for the Company Stockholder Written Consent and entitled to vote thereon, voting as a separate class (collectively, the “</w:t>
      </w:r>
      <w:r>
        <w:rPr>
          <w:rFonts w:ascii="Arial" w:cs="Arial" w:eastAsia="Arial" w:hAnsi="Arial"/>
          <w:sz w:val="16"/>
          <w:szCs w:val="16"/>
          <w:b w:val="1"/>
          <w:bCs w:val="1"/>
          <w:i w:val="1"/>
          <w:iCs w:val="1"/>
          <w:color w:val="auto"/>
        </w:rPr>
        <w:t>Required Company Stockholder Vote</w:t>
      </w:r>
      <w:r>
        <w:rPr>
          <w:rFonts w:ascii="Arial" w:cs="Arial" w:eastAsia="Arial" w:hAnsi="Arial"/>
          <w:sz w:val="16"/>
          <w:szCs w:val="16"/>
          <w:color w:val="auto"/>
        </w:rPr>
        <w:t>”), is the only vote (or written consent) of the holders of any class or series of Company Capital Stock necessary to adopt and approve this Agreement and approve the Contemplated Transactions.</w:t>
      </w:r>
    </w:p>
    <w:p>
      <w:pPr>
        <w:spacing w:after="0" w:line="161" w:lineRule="exact"/>
        <w:rPr>
          <w:sz w:val="20"/>
          <w:szCs w:val="20"/>
          <w:color w:val="auto"/>
        </w:rPr>
      </w:pPr>
    </w:p>
    <w:p>
      <w:pPr>
        <w:ind w:left="140" w:firstLine="1292"/>
        <w:spacing w:after="0" w:line="260"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Non-Contravention; Consents</w:t>
      </w:r>
      <w:r>
        <w:rPr>
          <w:rFonts w:ascii="Arial" w:cs="Arial" w:eastAsia="Arial" w:hAnsi="Arial"/>
          <w:sz w:val="18"/>
          <w:szCs w:val="18"/>
          <w:color w:val="auto"/>
        </w:rPr>
        <w:t>. Subject to obtaining the Required Company Stockholder Vote, the filing of the Certificate of Merger required by the DGCL and any filings under the Hart-Scott-Rodino Act (the “</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neither (x) the execution, delivery or performance of this Agreement by the Company, nor (y) the consummation of the Contemplated Transactions, will directly or indirectly (with or without notice or lapse of time):</w:t>
      </w:r>
    </w:p>
    <w:p>
      <w:pPr>
        <w:spacing w:after="0" w:line="184" w:lineRule="exact"/>
        <w:rPr>
          <w:sz w:val="20"/>
          <w:szCs w:val="20"/>
          <w:color w:val="auto"/>
        </w:rPr>
      </w:pPr>
    </w:p>
    <w:p>
      <w:pPr>
        <w:ind w:left="2500" w:hanging="420"/>
        <w:spacing w:after="0"/>
        <w:tabs>
          <w:tab w:leader="none" w:pos="25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of any of the provisions of the Company’s Organizational Documents;</w:t>
      </w:r>
    </w:p>
    <w:p>
      <w:pPr>
        <w:spacing w:after="0" w:line="235" w:lineRule="exact"/>
        <w:rPr>
          <w:rFonts w:ascii="Arial" w:cs="Arial" w:eastAsia="Arial" w:hAnsi="Arial"/>
          <w:sz w:val="17"/>
          <w:szCs w:val="17"/>
          <w:color w:val="auto"/>
        </w:rPr>
      </w:pPr>
    </w:p>
    <w:p>
      <w:pPr>
        <w:ind w:left="140" w:right="180" w:firstLine="1940"/>
        <w:spacing w:after="0" w:line="278" w:lineRule="auto"/>
        <w:tabs>
          <w:tab w:leader="none" w:pos="251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of, or give any Governmental Body or, to the Knowledge of the Company, other Person the right to challenge the Contemplated Transactions or to exercise any remedy or obtain any relief under, any Law or any order, writ, injunction, judgment or decree to which the Company or its Subsidiaries, or any of the assets owned or used by the Company or its Subsidiaries, is subject, except as would not reasonably be expected to be material to the Company or its business;</w:t>
      </w:r>
    </w:p>
    <w:p>
      <w:pPr>
        <w:spacing w:after="0" w:line="170" w:lineRule="exact"/>
        <w:rPr>
          <w:rFonts w:ascii="Arial" w:cs="Arial" w:eastAsia="Arial" w:hAnsi="Arial"/>
          <w:sz w:val="17"/>
          <w:szCs w:val="17"/>
          <w:color w:val="auto"/>
        </w:rPr>
      </w:pPr>
    </w:p>
    <w:p>
      <w:pPr>
        <w:jc w:val="both"/>
        <w:ind w:left="140" w:right="200" w:firstLine="1940"/>
        <w:spacing w:after="0" w:line="310" w:lineRule="auto"/>
        <w:tabs>
          <w:tab w:leader="none" w:pos="25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to the Knowledge of the Company, contravene, conflict with or result in a violation of any of the terms or requirements of, or give any Governmental Body the right to revoke, withdraw, suspend, cancel, terminate or modify, any Governmental Authorization that is held by the Company or its Subsidiaries, except as would not reasonably be expected to be material to the Company or its business;</w:t>
      </w:r>
    </w:p>
    <w:p>
      <w:pPr>
        <w:spacing w:after="0" w:line="148" w:lineRule="exact"/>
        <w:rPr>
          <w:rFonts w:ascii="Arial" w:cs="Arial" w:eastAsia="Arial" w:hAnsi="Arial"/>
          <w:sz w:val="16"/>
          <w:szCs w:val="16"/>
          <w:color w:val="auto"/>
        </w:rPr>
      </w:pPr>
    </w:p>
    <w:p>
      <w:pPr>
        <w:ind w:left="140" w:right="20" w:firstLine="1940"/>
        <w:spacing w:after="0" w:line="256" w:lineRule="auto"/>
        <w:tabs>
          <w:tab w:leader="none" w:pos="25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(i) declare a default or exercise any remedy under any Company Material Contract; (ii) any material payment, rebate, chargeback, penalty or change in delivery schedule under any Company Material Contract; (iii) accelerate the maturity or performance of any Company Material Contract; or (iv) cancel, terminate or modify any term of any Company Material Contract, except in the case of any non-material breach, default, penalty or modification; or</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18" w:name="page319"/>
    <w:bookmarkEnd w:id="31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20" w:firstLine="1940"/>
        <w:spacing w:after="0" w:line="276" w:lineRule="auto"/>
        <w:tabs>
          <w:tab w:leader="none" w:pos="250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material asset owned or used by the Company or its Subsidiaries (except for Permitted Encumbrances).</w:t>
      </w:r>
    </w:p>
    <w:p>
      <w:pPr>
        <w:spacing w:after="0" w:line="170" w:lineRule="exact"/>
        <w:rPr>
          <w:sz w:val="20"/>
          <w:szCs w:val="20"/>
          <w:color w:val="auto"/>
        </w:rPr>
      </w:pPr>
    </w:p>
    <w:p>
      <w:pPr>
        <w:ind w:left="140" w:right="20"/>
        <w:spacing w:after="0" w:line="286" w:lineRule="auto"/>
        <w:rPr>
          <w:sz w:val="20"/>
          <w:szCs w:val="20"/>
          <w:color w:val="auto"/>
        </w:rPr>
      </w:pPr>
      <w:r>
        <w:rPr>
          <w:rFonts w:ascii="Arial" w:cs="Arial" w:eastAsia="Arial" w:hAnsi="Arial"/>
          <w:sz w:val="16"/>
          <w:szCs w:val="16"/>
          <w:color w:val="auto"/>
        </w:rPr>
        <w:t xml:space="preserve">Except for (i) any Consent set forth on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is or will be required to make any filing with or give any notice to, or to obtain any Consent from, any Person in connection with (x) the execution, delivery or performance of this Agreement, or (y) the consummation of the Contemplated Transactions. 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 The Company is not included within a “person” (as defined in 16 C.F.R. § 801.1(a)(1)) that has one hundred and sixty one million, five hundred thousand dollars ($161,500,000) or more of total assets or annual net sales, in each case as determined in accordance with 16 C.F.R. § 801.11.</w:t>
      </w:r>
    </w:p>
    <w:p>
      <w:pPr>
        <w:spacing w:after="0" w:line="16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90" w:lineRule="auto"/>
        <w:tabs>
          <w:tab w:leader="none" w:pos="249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authorized Company Capital Stock as of the date of this Agreement consists of (i) 110,000,000 shares of Company Common Stock, par value $0.00001 per share, of which 6,738,292 shares have been issued and are outstanding as of the date of this Agreement, and (ii) 82,553,957 shares of preferred stock, par value $0.00001 per share (the “</w:t>
      </w:r>
      <w:r>
        <w:rPr>
          <w:rFonts w:ascii="Arial" w:cs="Arial" w:eastAsia="Arial" w:hAnsi="Arial"/>
          <w:sz w:val="16"/>
          <w:szCs w:val="16"/>
          <w:b w:val="1"/>
          <w:bCs w:val="1"/>
          <w:i w:val="1"/>
          <w:iCs w:val="1"/>
          <w:color w:val="auto"/>
        </w:rPr>
        <w:t>Company Preferred Stock</w:t>
      </w:r>
      <w:r>
        <w:rPr>
          <w:rFonts w:ascii="Arial" w:cs="Arial" w:eastAsia="Arial" w:hAnsi="Arial"/>
          <w:sz w:val="16"/>
          <w:szCs w:val="16"/>
          <w:color w:val="auto"/>
        </w:rPr>
        <w:t>”), of which 4,717,978 shares, $0.00001 par value per share, are designated as Series A Preferred Stock of which 4,717,978 have been issued and are outstanding as of the date of this Agreement; 37,105,352 shares, $0.00001 par value per share, are designated as Series B Preferred Stock of which 25,874,811 have been issued and are outstanding as of the date of this Agreement; and 40,730,627 shares, $0.00001 par value per share, are designated as Series C Preferred Stock of which 30,053,129 have been issued and are outstanding as of the date of this Agreement. The Company does not hold any shares of its capital stock in its treasury.</w:t>
      </w:r>
    </w:p>
    <w:p>
      <w:pPr>
        <w:spacing w:after="0" w:line="166" w:lineRule="exact"/>
        <w:rPr>
          <w:rFonts w:ascii="Arial" w:cs="Arial" w:eastAsia="Arial" w:hAnsi="Arial"/>
          <w:sz w:val="16"/>
          <w:szCs w:val="16"/>
          <w:color w:val="auto"/>
        </w:rPr>
      </w:pPr>
    </w:p>
    <w:p>
      <w:pPr>
        <w:ind w:left="140" w:firstLine="1940"/>
        <w:spacing w:after="0" w:line="287" w:lineRule="auto"/>
        <w:tabs>
          <w:tab w:leader="none" w:pos="250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All of the outstanding shares of Company Common Stock and Company Preferred Stock have been duly authorized and validly issued, and are fully paid and nonassessable. Except as set forth in the Investor Agreements, none of the outstanding shares of Company Common Stock or Company Preferred Stock is entitled or subject to any preemptive right, right of participation, right of maintenance or any similar right and none of the outstanding shares of Company Common Stock or Company Preferred Stock is subject to any right of first refusal in favor of the Company. Except as contemplated herein and in the Investor Agreements,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19" w:name="page320"/>
    <w:bookmarkEnd w:id="31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8" w:lineRule="auto"/>
        <w:tabs>
          <w:tab w:leader="none" w:pos="25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Except for the Company’s Amended and Restated 2007 Equity Incentive Plan (the “</w:t>
      </w:r>
      <w:r>
        <w:rPr>
          <w:rFonts w:ascii="Arial" w:cs="Arial" w:eastAsia="Arial" w:hAnsi="Arial"/>
          <w:sz w:val="17"/>
          <w:szCs w:val="17"/>
          <w:b w:val="1"/>
          <w:bCs w:val="1"/>
          <w:i w:val="1"/>
          <w:iCs w:val="1"/>
          <w:color w:val="auto"/>
        </w:rPr>
        <w:t>Company Plan</w:t>
      </w:r>
      <w:r>
        <w:rPr>
          <w:rFonts w:ascii="Arial" w:cs="Arial" w:eastAsia="Arial" w:hAnsi="Arial"/>
          <w:sz w:val="17"/>
          <w:szCs w:val="17"/>
          <w:color w:val="auto"/>
        </w:rPr>
        <w:t xml:space="preserve">”), the Company does not have any stock option plan or any other plan, program, agreement or arrangement providing for any equity-based compensation for any Person. As of the date of this Agreement, 16,218,577 shares are subject to outstanding Company Options and no shares of Company Common Stock remain available for future grants of awards pursuant to the Company Plan.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of the Company Disclosure Schedule sets forth the following information with respect to each Company Option outstanding as of the date of this Agreement: (i) the name of the optionee; (ii) the number of shares of Company Common Stock subject to such Company Option at the time of grant; (iii) the number of shares of Company Common Stock subject to such Company Option as of the date of this Agreement; (iv) the exercise price of such Company Option; (v) the date on which such Company Option was granted; (vi) the applicable vesting schedule, including the number of vested and unvested shares as of the date of this Agreement and any acceleration provisions; (vii) the date on which such Company Option expires; and (viii) whether such Company Option is intended to constitute an “incentive stock option” (as defined in the Code) or a non-qualified stock option. The Company has made available to Parent an accurate and complete copy of the Company Plan and all stock option agreements evidencing outstanding options granted thereunder. No vesting of Company Options will accelerate in connection with the closing of the Contemplated Transactions.</w:t>
      </w:r>
    </w:p>
    <w:p>
      <w:pPr>
        <w:spacing w:after="0" w:line="179" w:lineRule="exact"/>
        <w:rPr>
          <w:rFonts w:ascii="Arial" w:cs="Arial" w:eastAsia="Arial" w:hAnsi="Arial"/>
          <w:sz w:val="17"/>
          <w:szCs w:val="17"/>
          <w:color w:val="auto"/>
        </w:rPr>
      </w:pPr>
    </w:p>
    <w:p>
      <w:pPr>
        <w:ind w:left="140" w:right="20" w:firstLine="1940"/>
        <w:spacing w:after="0" w:line="271" w:lineRule="auto"/>
        <w:tabs>
          <w:tab w:leader="none" w:pos="251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Except for the Company Options set forth on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is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77" w:lineRule="exact"/>
        <w:rPr>
          <w:rFonts w:ascii="Arial" w:cs="Arial" w:eastAsia="Arial" w:hAnsi="Arial"/>
          <w:sz w:val="17"/>
          <w:szCs w:val="17"/>
          <w:color w:val="auto"/>
        </w:rPr>
      </w:pPr>
    </w:p>
    <w:p>
      <w:pPr>
        <w:ind w:left="140" w:right="100" w:firstLine="1940"/>
        <w:spacing w:after="0" w:line="262" w:lineRule="auto"/>
        <w:tabs>
          <w:tab w:leader="none" w:pos="249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outstanding shares of Company Common Stock, Company Preferred Stock, Company Options and other securities of the Company have been issued and granted in material compliance with (i) all applicable securities Laws and other applicable Law, and (ii) all requirements set forth in applicable Contracts.</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0" w:name="page321"/>
    <w:bookmarkEnd w:id="32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w:t>
      </w:r>
    </w:p>
    <w:p>
      <w:pPr>
        <w:spacing w:after="0" w:line="228" w:lineRule="exact"/>
        <w:rPr>
          <w:sz w:val="20"/>
          <w:szCs w:val="20"/>
          <w:color w:val="auto"/>
        </w:rPr>
      </w:pPr>
    </w:p>
    <w:p>
      <w:pPr>
        <w:ind w:left="140" w:right="60" w:firstLine="1940"/>
        <w:spacing w:after="0" w:line="289" w:lineRule="auto"/>
        <w:tabs>
          <w:tab w:leader="none" w:pos="250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Concurrently with the execution hereof, the Company has provided to Parent true and complete copies of (i) the Company’s audited consolidated balance sheets at December 31, 2016, 2015 and 2014, together with related audited consolidated statements of income, stockholders’ equity and cash flows, and notes thereto, of the Company for the fiscal years then ended and (ii) the Company Unaudited Interim Balance Sheet, together with the unaudited consolidated statements of income, stockholders’ equity and cash flows of the Company for the period reflected in the Company Unaudited Interim Balance Sheet (collectively, the “</w:t>
      </w:r>
      <w:r>
        <w:rPr>
          <w:rFonts w:ascii="Arial" w:cs="Arial" w:eastAsia="Arial" w:hAnsi="Arial"/>
          <w:sz w:val="16"/>
          <w:szCs w:val="16"/>
          <w:b w:val="1"/>
          <w:bCs w:val="1"/>
          <w:i w:val="1"/>
          <w:iCs w:val="1"/>
          <w:color w:val="auto"/>
        </w:rPr>
        <w:t>Company Financials</w:t>
      </w:r>
      <w:r>
        <w:rPr>
          <w:rFonts w:ascii="Arial" w:cs="Arial" w:eastAsia="Arial" w:hAnsi="Arial"/>
          <w:sz w:val="16"/>
          <w:szCs w:val="16"/>
          <w:color w:val="auto"/>
        </w:rPr>
        <w:t>”). The Company Financials were prepared in accordance with GAAP (except as may be indicated in the notes to such financial statements and except that the unaudited financial statements may not contain footnotes and are subject to normal and recurring year-end adjustments, none of which are material) and fairly present, in all material respects, the financial position and operating results of the Company and its consolidated Subsidiaries as of the dates and for the periods indicated therein.</w:t>
      </w:r>
    </w:p>
    <w:p>
      <w:pPr>
        <w:spacing w:after="0" w:line="165" w:lineRule="exact"/>
        <w:rPr>
          <w:rFonts w:ascii="Arial" w:cs="Arial" w:eastAsia="Arial" w:hAnsi="Arial"/>
          <w:sz w:val="16"/>
          <w:szCs w:val="16"/>
          <w:color w:val="auto"/>
        </w:rPr>
      </w:pPr>
    </w:p>
    <w:p>
      <w:pPr>
        <w:ind w:left="140" w:right="140" w:firstLine="1940"/>
        <w:spacing w:after="0" w:line="288" w:lineRule="auto"/>
        <w:tabs>
          <w:tab w:leader="none" w:pos="251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Each of the Company and its Subsidiaries maintains accurate books and records reflecting their assets and liabilities and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and to maintain accountability of the Company’s and its Subsidiaries’ assets; (iii) access to the Company’s and its Subsidiaries’ assets is permitted only in accordance with management’s general or specific authorization; (iv) the recorded accountability for the Company’s and its Subsidiaries’ assets is compared with the existing assets at regular intervals and appropriate action is taken with respect to any differences; and (v) accounts, notes and other receivables and inventory are recorded accurately, and proper and adequate procedures are implemented to effect the collection thereof on a current and timely basis.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66" w:lineRule="exact"/>
        <w:rPr>
          <w:rFonts w:ascii="Arial" w:cs="Arial" w:eastAsia="Arial" w:hAnsi="Arial"/>
          <w:sz w:val="16"/>
          <w:szCs w:val="16"/>
          <w:color w:val="auto"/>
        </w:rPr>
      </w:pPr>
    </w:p>
    <w:p>
      <w:pPr>
        <w:ind w:left="140" w:right="40" w:firstLine="1940"/>
        <w:spacing w:after="0" w:line="285" w:lineRule="auto"/>
        <w:tabs>
          <w:tab w:leader="none" w:pos="2501" w:val="left"/>
        </w:tabs>
        <w:numPr>
          <w:ilvl w:val="0"/>
          <w:numId w:val="241"/>
        </w:numPr>
        <w:rPr>
          <w:rFonts w:ascii="Arial" w:cs="Arial" w:eastAsia="Arial" w:hAnsi="Arial"/>
          <w:sz w:val="17"/>
          <w:szCs w:val="17"/>
          <w:color w:val="auto"/>
        </w:rPr>
      </w:pPr>
      <w:r>
        <w:rPr>
          <w:rFonts w:ascii="Arial" w:cs="Arial" w:eastAsia="Arial" w:hAnsi="Arial"/>
          <w:sz w:val="17"/>
          <w:szCs w:val="17"/>
          <w:u w:val="single" w:color="auto"/>
          <w:color w:val="auto"/>
        </w:rPr>
        <w:t>Section 2.7(c)</w:t>
      </w:r>
      <w:r>
        <w:rPr>
          <w:rFonts w:ascii="Arial" w:cs="Arial" w:eastAsia="Arial" w:hAnsi="Arial"/>
          <w:sz w:val="17"/>
          <w:szCs w:val="17"/>
          <w:color w:val="auto"/>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or any of its Subsidiaries since January 1, 2013.</w:t>
      </w:r>
    </w:p>
    <w:p>
      <w:pPr>
        <w:spacing w:after="0" w:line="164" w:lineRule="exact"/>
        <w:rPr>
          <w:rFonts w:ascii="Arial" w:cs="Arial" w:eastAsia="Arial" w:hAnsi="Arial"/>
          <w:sz w:val="17"/>
          <w:szCs w:val="17"/>
          <w:color w:val="auto"/>
        </w:rPr>
      </w:pPr>
    </w:p>
    <w:p>
      <w:pPr>
        <w:ind w:left="140" w:firstLine="1940"/>
        <w:spacing w:after="0" w:line="254" w:lineRule="auto"/>
        <w:tabs>
          <w:tab w:leader="none" w:pos="251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Since January 1, 2013,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2013, neither the Company nor its independent auditors have identified (i) 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 (iii) any claim or allegation regarding any of the foregoing.</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1" w:name="page322"/>
    <w:bookmarkEnd w:id="32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76"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auto"/>
        </w:rPr>
        <w:t>Absence of Changes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the consent of Parent pursuant to </w:t>
      </w:r>
      <w:r>
        <w:rPr>
          <w:rFonts w:ascii="Arial" w:cs="Arial" w:eastAsia="Arial" w:hAnsi="Arial"/>
          <w:sz w:val="17"/>
          <w:szCs w:val="17"/>
          <w:u w:val="single" w:color="auto"/>
          <w:color w:val="auto"/>
        </w:rPr>
        <w:t>Section 4.2(b)</w:t>
      </w:r>
      <w:r>
        <w:rPr>
          <w:rFonts w:ascii="Arial" w:cs="Arial" w:eastAsia="Arial" w:hAnsi="Arial"/>
          <w:sz w:val="17"/>
          <w:szCs w:val="17"/>
          <w:color w:val="auto"/>
        </w:rPr>
        <w:t xml:space="preserve"> had such action, event or occurrence taken place after the execution and delivery of this Agreement.</w:t>
      </w:r>
    </w:p>
    <w:p>
      <w:pPr>
        <w:spacing w:after="0" w:line="168" w:lineRule="exact"/>
        <w:rPr>
          <w:sz w:val="20"/>
          <w:szCs w:val="20"/>
          <w:color w:val="auto"/>
        </w:rPr>
      </w:pPr>
    </w:p>
    <w:p>
      <w:pPr>
        <w:ind w:left="140" w:right="40" w:firstLine="1292"/>
        <w:spacing w:after="0" w:line="285"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Absence of Undisclosed Liabilities</w:t>
      </w:r>
      <w:r>
        <w:rPr>
          <w:rFonts w:ascii="Arial" w:cs="Arial" w:eastAsia="Arial" w:hAnsi="Arial"/>
          <w:sz w:val="16"/>
          <w:szCs w:val="16"/>
          <w:color w:val="auto"/>
        </w:rPr>
        <w:t>. Neither the Company nor any of its Subsidiaries has any liability, indebtedness, obligation or expense of any kind, whether accrued, absolute, contingent, matured or unmatured (whether or not required to be reflected in the financial statements in accordance with GAAP) (each a “</w:t>
      </w:r>
      <w:r>
        <w:rPr>
          <w:rFonts w:ascii="Arial" w:cs="Arial" w:eastAsia="Arial" w:hAnsi="Arial"/>
          <w:sz w:val="16"/>
          <w:szCs w:val="16"/>
          <w:b w:val="1"/>
          <w:bCs w:val="1"/>
          <w:i w:val="1"/>
          <w:iCs w:val="1"/>
          <w:color w:val="auto"/>
        </w:rPr>
        <w:t>Liability</w:t>
      </w:r>
      <w:r>
        <w:rPr>
          <w:rFonts w:ascii="Arial" w:cs="Arial" w:eastAsia="Arial" w:hAnsi="Arial"/>
          <w:sz w:val="16"/>
          <w:szCs w:val="16"/>
          <w:color w:val="auto"/>
        </w:rPr>
        <w:t>”), individually or in the aggregate,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and which are not in excess of $100,000 in the aggregate;</w:t>
      </w:r>
    </w:p>
    <w:p>
      <w:pPr>
        <w:spacing w:after="0" w:line="3" w:lineRule="exact"/>
        <w:rPr>
          <w:sz w:val="20"/>
          <w:szCs w:val="20"/>
          <w:color w:val="auto"/>
        </w:rPr>
      </w:pPr>
    </w:p>
    <w:p>
      <w:pPr>
        <w:ind w:left="140" w:right="440" w:firstLine="2"/>
        <w:spacing w:after="0" w:line="321" w:lineRule="auto"/>
        <w:tabs>
          <w:tab w:leader="none" w:pos="38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Liabilities for performance of obligations of the Company or any of its Subsidiaries under Company Contracts (other than for breach thereof); (d) Liabilities incurred in connection with the Contemplated Transactions; and (e) Liabilities listed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the Company Disclosure Schedule.</w:t>
      </w:r>
    </w:p>
    <w:p>
      <w:pPr>
        <w:spacing w:after="0" w:line="135" w:lineRule="exact"/>
        <w:rPr>
          <w:sz w:val="20"/>
          <w:szCs w:val="20"/>
          <w:color w:val="auto"/>
        </w:rPr>
      </w:pPr>
    </w:p>
    <w:p>
      <w:pPr>
        <w:ind w:left="140" w:right="40" w:firstLine="1292"/>
        <w:spacing w:after="0" w:line="29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Title to Assets</w:t>
      </w:r>
      <w:r>
        <w:rPr>
          <w:rFonts w:ascii="Arial" w:cs="Arial" w:eastAsia="Arial" w:hAnsi="Arial"/>
          <w:sz w:val="16"/>
          <w:szCs w:val="16"/>
          <w:color w:val="auto"/>
        </w:rPr>
        <w:t>. Each of the Company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54" w:lineRule="exact"/>
        <w:rPr>
          <w:sz w:val="20"/>
          <w:szCs w:val="20"/>
          <w:color w:val="auto"/>
        </w:rPr>
      </w:pPr>
    </w:p>
    <w:p>
      <w:pPr>
        <w:ind w:left="140" w:right="20" w:firstLine="1292"/>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u w:val="single" w:color="auto"/>
          <w:color w:val="auto"/>
        </w:rPr>
        <w:t>Real Property; Leasehold</w:t>
      </w:r>
      <w:r>
        <w:rPr>
          <w:rFonts w:ascii="Arial" w:cs="Arial" w:eastAsia="Arial" w:hAnsi="Arial"/>
          <w:sz w:val="17"/>
          <w:szCs w:val="17"/>
          <w:color w:val="auto"/>
        </w:rPr>
        <w:t>. Neither the Company nor any of its Subsidiaries owns or has 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Arial" w:cs="Arial" w:eastAsia="Arial" w:hAnsi="Arial"/>
          <w:sz w:val="17"/>
          <w:szCs w:val="17"/>
          <w:b w:val="1"/>
          <w:bCs w:val="1"/>
          <w:i w:val="1"/>
          <w:iCs w:val="1"/>
          <w:color w:val="auto"/>
        </w:rPr>
        <w:t>Company Real Estate Leases</w:t>
      </w:r>
      <w:r>
        <w:rPr>
          <w:rFonts w:ascii="Arial" w:cs="Arial" w:eastAsia="Arial" w:hAnsi="Arial"/>
          <w:sz w:val="17"/>
          <w:szCs w:val="17"/>
          <w:color w:val="auto"/>
        </w:rPr>
        <w:t>”), each of which is in full force and effect, with no existing material default thereunder. The Company’s use and operation of each such leased property conforms to all applicable Laws in all material respects, and the Company has exclusive possession of each such leased property and has not granted any occupancy rights to tenants or licensees with respect to such leased property. In addition, each such leased property is free and clear of all Encumbrances other than Permitted Encumbrances. The Company has not received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2" w:name="page323"/>
    <w:bookmarkEnd w:id="32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w:t>
      </w:r>
    </w:p>
    <w:p>
      <w:pPr>
        <w:spacing w:after="0" w:line="228" w:lineRule="exact"/>
        <w:rPr>
          <w:sz w:val="20"/>
          <w:szCs w:val="20"/>
          <w:color w:val="auto"/>
        </w:rPr>
      </w:pPr>
    </w:p>
    <w:p>
      <w:pPr>
        <w:jc w:val="both"/>
        <w:ind w:left="140" w:right="40" w:firstLine="1940"/>
        <w:spacing w:after="0" w:line="300" w:lineRule="auto"/>
        <w:tabs>
          <w:tab w:leader="none" w:pos="249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Company, directly or through any of its Subsidiaries, owns, or has the legal and valid right to use, as currently being used by the Company or any of its Subsidiaries, all Company IP Rights, and with respect to Company IP Rights that are owned by the Company or any of its Subsidiaries, has the right to bring actions for the infringement of such Company IP Rights, in each case except for any failure to own, have such rights to use, or have such rights to bring actions for infringement that would not reasonably be expected to be material to the Company or its business.</w:t>
      </w:r>
    </w:p>
    <w:p>
      <w:pPr>
        <w:spacing w:after="0" w:line="156" w:lineRule="exact"/>
        <w:rPr>
          <w:rFonts w:ascii="Arial" w:cs="Arial" w:eastAsia="Arial" w:hAnsi="Arial"/>
          <w:sz w:val="16"/>
          <w:szCs w:val="16"/>
          <w:color w:val="auto"/>
        </w:rPr>
      </w:pPr>
    </w:p>
    <w:p>
      <w:pPr>
        <w:ind w:left="140" w:right="40" w:firstLine="1940"/>
        <w:spacing w:after="0" w:line="271" w:lineRule="auto"/>
        <w:tabs>
          <w:tab w:leader="none" w:pos="2511"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of the Company Disclosure Schedule sets forth an accurate, true and complete listing of all Company Registered IP, and, specifying as to each such item, as applicable, the owner(s) of record (and, in the case of domain names, the registrar), jurisdiction of application and/or registration, the application and/or registration number, the date of application and/or registration, and the status of application and/or registration. 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for any failure to perform any of the foregoing, individually or collectively, that would not reasonably be expected to be material to the Company or its business.</w:t>
      </w:r>
    </w:p>
    <w:p>
      <w:pPr>
        <w:spacing w:after="0" w:line="177" w:lineRule="exact"/>
        <w:rPr>
          <w:rFonts w:ascii="Arial" w:cs="Arial" w:eastAsia="Arial" w:hAnsi="Arial"/>
          <w:sz w:val="17"/>
          <w:szCs w:val="17"/>
          <w:color w:val="auto"/>
        </w:rPr>
      </w:pPr>
    </w:p>
    <w:p>
      <w:pPr>
        <w:ind w:left="140" w:right="40" w:firstLine="1940"/>
        <w:spacing w:after="0" w:line="287" w:lineRule="auto"/>
        <w:tabs>
          <w:tab w:leader="none" w:pos="2501"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of the Company Disclosure Schedule accurately identifies (i) all Company Contracts pursuant to which Company IP Rights are licensed to the Company or any of its Subsidiaries (other than (A) any non-customized software that (1) is so licensed solely in executable or object code form pursuant to a non-exclusive, internal use software license and other Intellectual Property associated with such software and</w:t>
      </w:r>
    </w:p>
    <w:p>
      <w:pPr>
        <w:ind w:left="140" w:right="140" w:firstLine="2"/>
        <w:spacing w:after="0" w:line="252" w:lineRule="auto"/>
        <w:tabs>
          <w:tab w:leader="none" w:pos="39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is not incorporated into or material to the development, manufacturing, or distribution of any of the Company’s or any of its Subsidiaries’ products or services, (B) any Intellectual Property licensed ancillary to the purchase or use of equipment, reagents or other materials and (C) any confidential information provided under confidentiality agreements), and (ii) whether the license or licenses granted to the Company or any of its Subsidiaries are exclusive or non-exclusive. For purposes of greater certainty, the term “license” in this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includes any license, sublicense, covenant, non-assert, consent, release or waiver.</w:t>
      </w:r>
    </w:p>
    <w:p>
      <w:pPr>
        <w:spacing w:after="0" w:line="190" w:lineRule="exact"/>
        <w:rPr>
          <w:rFonts w:ascii="Arial" w:cs="Arial" w:eastAsia="Arial" w:hAnsi="Arial"/>
          <w:sz w:val="18"/>
          <w:szCs w:val="18"/>
          <w:color w:val="auto"/>
        </w:rPr>
      </w:pPr>
    </w:p>
    <w:p>
      <w:pPr>
        <w:ind w:left="140" w:firstLine="1940"/>
        <w:spacing w:after="0" w:line="256" w:lineRule="auto"/>
        <w:tabs>
          <w:tab w:leader="none" w:pos="2511"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of the Company Disclosure Schedule accurately identifies each Company Contract pursuant to which the Company or any of its Subsidiaries has granted any license under, or any right (whether or not currently exercisable) or interest in, any Company IP Rights owned by the Company or any of its Subsidiaries to any Person (other than any Company IP Rights non-exclusively licensed to (A) customers in the Ordinary Course of Business, and (B) suppliers or service providers for the sole purpose of enabling such suppliers or service providers to provide products and services for the Company’s benefit).</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23" w:name="page324"/>
    <w:bookmarkEnd w:id="32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80" w:firstLine="1940"/>
        <w:spacing w:after="0" w:line="254" w:lineRule="auto"/>
        <w:tabs>
          <w:tab w:leader="none" w:pos="250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 xml:space="preserve"> of the Company Disclosure Schedule, neither the Company nor any of its Subsidiaries is bound by, and no Company IP Rights owned by the Company or any of its Subsidiaries, or, with respect to Company IP Rights licensed to the Company or any of its Subsidiaries, to the Knowledge of the Company, are subject to, any Company Contract containing any covenant or other provision, or any judicial, administrative or arbitral order, judgment, award, order, decree, injunction, settlement or stipulation, that in any way limits or restricts the ability of the Company or any of its Subsidiaries to use, exploit, assert, enforce, sell, transfer or dispose of any such Company IP Rights anywhere in the world, in each case, in a manner that would materially limit the business of the Company as currently conducted or planned to be conducted.</w:t>
      </w:r>
    </w:p>
    <w:p>
      <w:pPr>
        <w:spacing w:after="0" w:line="189" w:lineRule="exact"/>
        <w:rPr>
          <w:rFonts w:ascii="Arial" w:cs="Arial" w:eastAsia="Arial" w:hAnsi="Arial"/>
          <w:sz w:val="18"/>
          <w:szCs w:val="18"/>
          <w:color w:val="auto"/>
        </w:rPr>
      </w:pPr>
    </w:p>
    <w:p>
      <w:pPr>
        <w:jc w:val="both"/>
        <w:ind w:left="140" w:firstLine="1940"/>
        <w:spacing w:after="0" w:line="310" w:lineRule="auto"/>
        <w:tabs>
          <w:tab w:leader="none" w:pos="248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Except as identified in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of the Company Disclosure Schedule, the Company or one of its Subsidiaries is the sole and unrestricted legal and beneficial owner of all right, title, and interest to and in Company IP Rights purported to be owned by the Company or any of its Subsidiaries, free and clear of any Encumbrances (other than Permitted Encumbrances). Without limiting the generality of the foregoing:</w:t>
      </w:r>
    </w:p>
    <w:p>
      <w:pPr>
        <w:spacing w:after="0" w:line="148" w:lineRule="exact"/>
        <w:rPr>
          <w:rFonts w:ascii="Arial" w:cs="Arial" w:eastAsia="Arial" w:hAnsi="Arial"/>
          <w:sz w:val="16"/>
          <w:szCs w:val="16"/>
          <w:color w:val="auto"/>
        </w:rPr>
      </w:pPr>
    </w:p>
    <w:p>
      <w:pPr>
        <w:ind w:left="780" w:right="60" w:firstLine="1946"/>
        <w:spacing w:after="0" w:line="278" w:lineRule="auto"/>
        <w:tabs>
          <w:tab w:leader="none" w:pos="3112" w:val="left"/>
        </w:tabs>
        <w:numPr>
          <w:ilvl w:val="1"/>
          <w:numId w:val="245"/>
        </w:numPr>
        <w:rPr>
          <w:rFonts w:ascii="Arial" w:cs="Arial" w:eastAsia="Arial" w:hAnsi="Arial"/>
          <w:sz w:val="17"/>
          <w:szCs w:val="17"/>
          <w:color w:val="auto"/>
        </w:rPr>
      </w:pPr>
      <w:r>
        <w:rPr>
          <w:rFonts w:ascii="Arial" w:cs="Arial" w:eastAsia="Arial" w:hAnsi="Arial"/>
          <w:sz w:val="17"/>
          <w:szCs w:val="17"/>
          <w:color w:val="auto"/>
        </w:rPr>
        <w:t>Each Person who is or was an employee or contractor of the Company or any of its Subsidiaries and who is or was involved in the creation or development of any material Company IP Rights purported to be owned by the Company or any of its Subsidiaries has signed a valid, enforceable agreement containing an assignment of such Company IP Rights to the Company or such Subsidiary and confidentiality provisions protecting Trade Secrets and confidential information of the Company and its Subsidiaries.</w:t>
      </w:r>
    </w:p>
    <w:p>
      <w:pPr>
        <w:spacing w:after="0" w:line="170" w:lineRule="exact"/>
        <w:rPr>
          <w:rFonts w:ascii="Arial" w:cs="Arial" w:eastAsia="Arial" w:hAnsi="Arial"/>
          <w:sz w:val="17"/>
          <w:szCs w:val="17"/>
          <w:color w:val="auto"/>
        </w:rPr>
      </w:pPr>
    </w:p>
    <w:p>
      <w:pPr>
        <w:ind w:left="780" w:firstLine="1946"/>
        <w:spacing w:after="0" w:line="292" w:lineRule="auto"/>
        <w:tabs>
          <w:tab w:leader="none" w:pos="3161" w:val="left"/>
        </w:tabs>
        <w:numPr>
          <w:ilvl w:val="1"/>
          <w:numId w:val="245"/>
        </w:numPr>
        <w:rPr>
          <w:rFonts w:ascii="Arial" w:cs="Arial" w:eastAsia="Arial" w:hAnsi="Arial"/>
          <w:sz w:val="16"/>
          <w:szCs w:val="16"/>
          <w:color w:val="auto"/>
        </w:rPr>
      </w:pPr>
      <w:r>
        <w:rPr>
          <w:rFonts w:ascii="Arial" w:cs="Arial" w:eastAsia="Arial" w:hAnsi="Arial"/>
          <w:sz w:val="16"/>
          <w:szCs w:val="16"/>
          <w:color w:val="auto"/>
        </w:rPr>
        <w:t>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164" w:lineRule="exact"/>
        <w:rPr>
          <w:rFonts w:ascii="Arial" w:cs="Arial" w:eastAsia="Arial" w:hAnsi="Arial"/>
          <w:sz w:val="16"/>
          <w:szCs w:val="16"/>
          <w:color w:val="auto"/>
        </w:rPr>
      </w:pPr>
    </w:p>
    <w:p>
      <w:pPr>
        <w:ind w:left="780" w:right="260" w:firstLine="1946"/>
        <w:spacing w:after="0" w:line="272" w:lineRule="auto"/>
        <w:tabs>
          <w:tab w:leader="none" w:pos="3211"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Except as identified in </w:t>
      </w:r>
      <w:r>
        <w:rPr>
          <w:rFonts w:ascii="Arial" w:cs="Arial" w:eastAsia="Arial" w:hAnsi="Arial"/>
          <w:sz w:val="17"/>
          <w:szCs w:val="17"/>
          <w:u w:val="single" w:color="auto"/>
          <w:color w:val="auto"/>
        </w:rPr>
        <w:t>Section 2.12(f)(iii)</w:t>
      </w:r>
      <w:r>
        <w:rPr>
          <w:rFonts w:ascii="Arial" w:cs="Arial" w:eastAsia="Arial" w:hAnsi="Arial"/>
          <w:sz w:val="17"/>
          <w:szCs w:val="17"/>
          <w:color w:val="auto"/>
        </w:rPr>
        <w:t xml:space="preserve"> of the Company Disclosure Schedule, no Company IP Rights purported to be owned by the Company or any of its Subsidiaries or, to the Knowledge of the Company, Company IP Rights licensed to the Company or any of its Subsidiaries were developed, in whole or in part (A) pursuant to or in connection with the development of any professional, technical or industry standard, (B) under contract with or using the resources of any Governmental Body, academic institution or other entity that would cause such Company IP Rights to be owned by or licensed to (in whole or in part) such Governmental Body, academic institution or other entity or (C) under any grants or other funding arrangements with third parties.</w:t>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24" w:name="page325"/>
    <w:bookmarkEnd w:id="32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780" w:right="120" w:firstLine="1946"/>
        <w:spacing w:after="0" w:line="258" w:lineRule="auto"/>
        <w:tabs>
          <w:tab w:leader="none" w:pos="319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commercially reasonable steps to protect and maintain the Company IP Rights, including to preserve the confidentiality of all proprietary information that the Company or such Subsidiary holds, or purports to hold, as a material Trade Secret. Any disclosure by the Company or any Subsidiary of material Trade Secrets to any third party has been pursuant to the terms of a written agreement with such Person or is otherwise lawful.</w:t>
      </w:r>
    </w:p>
    <w:p>
      <w:pPr>
        <w:spacing w:after="0" w:line="186" w:lineRule="exact"/>
        <w:rPr>
          <w:rFonts w:ascii="Arial" w:cs="Arial" w:eastAsia="Arial" w:hAnsi="Arial"/>
          <w:sz w:val="18"/>
          <w:szCs w:val="18"/>
          <w:color w:val="auto"/>
        </w:rPr>
      </w:pPr>
    </w:p>
    <w:p>
      <w:pPr>
        <w:jc w:val="both"/>
        <w:ind w:left="780" w:right="260" w:firstLine="1946"/>
        <w:spacing w:after="0" w:line="278" w:lineRule="auto"/>
        <w:tabs>
          <w:tab w:leader="none" w:pos="3151" w:val="left"/>
        </w:tabs>
        <w:numPr>
          <w:ilvl w:val="1"/>
          <w:numId w:val="246"/>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assigned, sold or otherwise transferred ownership of, or agreed to assign, sell or otherwise transfer ownership of, any material Company IP Rights owned or purported to be owned by or exclusively licensed to Company or any of its Subsidiaries to any other Person, and there exists no obligation by the Company or any of its Subsidiaries to assign, sell or otherwise transfer ownership of any material Company IP Rights to any third party.</w:t>
      </w:r>
    </w:p>
    <w:p>
      <w:pPr>
        <w:spacing w:after="0" w:line="170" w:lineRule="exact"/>
        <w:rPr>
          <w:rFonts w:ascii="Arial" w:cs="Arial" w:eastAsia="Arial" w:hAnsi="Arial"/>
          <w:sz w:val="17"/>
          <w:szCs w:val="17"/>
          <w:color w:val="auto"/>
        </w:rPr>
      </w:pPr>
    </w:p>
    <w:p>
      <w:pPr>
        <w:ind w:left="780" w:right="680" w:firstLine="1946"/>
        <w:spacing w:after="0" w:line="306" w:lineRule="auto"/>
        <w:tabs>
          <w:tab w:leader="none" w:pos="3198"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To the Knowledge of the Company, the Company IP Rights are valid and enforceable and constitute all Intellectual Property necessary for the Company and its Subsidiaries to conduct its business as currently conducted.</w:t>
      </w:r>
    </w:p>
    <w:p>
      <w:pPr>
        <w:spacing w:after="0" w:line="147" w:lineRule="exact"/>
        <w:rPr>
          <w:rFonts w:ascii="Arial" w:cs="Arial" w:eastAsia="Arial" w:hAnsi="Arial"/>
          <w:sz w:val="17"/>
          <w:szCs w:val="17"/>
          <w:color w:val="auto"/>
        </w:rPr>
      </w:pPr>
    </w:p>
    <w:p>
      <w:pPr>
        <w:ind w:left="140" w:right="360" w:firstLine="1940"/>
        <w:spacing w:after="0" w:line="271" w:lineRule="auto"/>
        <w:tabs>
          <w:tab w:leader="none" w:pos="250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manufacture, marketing, license, sale or intended use of any product or technology currently licensed, sold or developed by the Company or any of its Subsidiaries does not violate any license or agreement between the Company or its Subsidiaries and any third party, and does not infringe or misappropriate any Intellectual Property right of any third party as of the date hereof, which infringement or misappropriation would reasonably be expected to be material to the Company or its business. To the Knowledge of the Company, no third party is infringing upon any Company IP Rights or violating any license or agreement between the Company or its Subsidiaries and such third party, and the Company and its Subsidiaries have not sent any written communication to or asserted or threatened in writing any action or claim against any Person involving or relating to the infringement or misappropriation of any Company IP Rights.</w:t>
      </w:r>
    </w:p>
    <w:p>
      <w:pPr>
        <w:spacing w:after="0" w:line="177" w:lineRule="exact"/>
        <w:rPr>
          <w:rFonts w:ascii="Arial" w:cs="Arial" w:eastAsia="Arial" w:hAnsi="Arial"/>
          <w:sz w:val="17"/>
          <w:szCs w:val="17"/>
          <w:color w:val="auto"/>
        </w:rPr>
      </w:pPr>
    </w:p>
    <w:p>
      <w:pPr>
        <w:ind w:left="140" w:firstLine="1940"/>
        <w:spacing w:after="0" w:line="254" w:lineRule="auto"/>
        <w:tabs>
          <w:tab w:leader="none" w:pos="250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any opposition, interference, inter partes review, or other proceeding in any patent or other government office) contesting the validity, ownership or right to use, sell, license or dispose of any Company IP Rights owned by the Company or any of its Subsidiaries or any of the Company’s or any of its Subsidiaries’ products or technologies, or, to the Knowledge of the Company, any Company IP Rights licensed to the Company or any of its Subsidiaries. Neither the Company nor any of its Subsidiaries has received any written notice asserting or suggesting that any such Company IP Rights, or the Company’s or any of its Subsidiaries’ right to use, sell, license or dispose of any such Company IP Rights or products or technologies conflicts with or infringes or misappropriates or will conflict with or infringe or misappropriate the rights of any other Person.</w:t>
      </w:r>
    </w:p>
    <w:p>
      <w:pPr>
        <w:spacing w:after="0" w:line="189" w:lineRule="exact"/>
        <w:rPr>
          <w:rFonts w:ascii="Arial" w:cs="Arial" w:eastAsia="Arial" w:hAnsi="Arial"/>
          <w:sz w:val="18"/>
          <w:szCs w:val="18"/>
          <w:color w:val="auto"/>
        </w:rPr>
      </w:pPr>
    </w:p>
    <w:p>
      <w:pPr>
        <w:ind w:left="140" w:firstLine="1940"/>
        <w:spacing w:after="0" w:line="258" w:lineRule="auto"/>
        <w:tabs>
          <w:tab w:leader="none" w:pos="247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Except as set forth in the Contracts listed on </w:t>
      </w:r>
      <w:r>
        <w:rPr>
          <w:rFonts w:ascii="Arial" w:cs="Arial" w:eastAsia="Arial" w:hAnsi="Arial"/>
          <w:sz w:val="18"/>
          <w:szCs w:val="18"/>
          <w:u w:val="single" w:color="auto"/>
          <w:color w:val="auto"/>
        </w:rPr>
        <w:t>Section 2.12(i)</w:t>
      </w:r>
      <w:r>
        <w:rPr>
          <w:rFonts w:ascii="Arial" w:cs="Arial" w:eastAsia="Arial" w:hAnsi="Arial"/>
          <w:sz w:val="18"/>
          <w:szCs w:val="18"/>
          <w:color w:val="auto"/>
        </w:rPr>
        <w:t xml:space="preserve"> of the Company Disclosure Schedule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is material and remains in force as of the date of this Agreement.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5" w:name="page326"/>
    <w:bookmarkEnd w:id="32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u w:val="single" w:color="auto"/>
          <w:color w:val="auto"/>
        </w:rPr>
        <w:t>Agreements, Contracts and Commitments</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306" w:lineRule="auto"/>
        <w:tabs>
          <w:tab w:leader="none" w:pos="2501"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Section 2.13(a)</w:t>
      </w:r>
      <w:r>
        <w:rPr>
          <w:rFonts w:ascii="Arial" w:cs="Arial" w:eastAsia="Arial" w:hAnsi="Arial"/>
          <w:sz w:val="17"/>
          <w:szCs w:val="17"/>
          <w:color w:val="auto"/>
        </w:rPr>
        <w:t xml:space="preserve"> of the Company Disclosure Schedule lists the following Company Contracts in effect as of the date of this Agreement other than any Benefit Plans (each, a “</w:t>
      </w:r>
      <w:r>
        <w:rPr>
          <w:rFonts w:ascii="Arial" w:cs="Arial" w:eastAsia="Arial" w:hAnsi="Arial"/>
          <w:sz w:val="17"/>
          <w:szCs w:val="17"/>
          <w:b w:val="1"/>
          <w:bCs w:val="1"/>
          <w:i w:val="1"/>
          <w:iCs w:val="1"/>
          <w:color w:val="auto"/>
        </w:rPr>
        <w:t>Company Material Contract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Company Material Contracts</w:t>
      </w:r>
      <w:r>
        <w:rPr>
          <w:rFonts w:ascii="Arial" w:cs="Arial" w:eastAsia="Arial" w:hAnsi="Arial"/>
          <w:sz w:val="17"/>
          <w:szCs w:val="17"/>
          <w:color w:val="auto"/>
        </w:rPr>
        <w:t>”):</w:t>
      </w:r>
    </w:p>
    <w:p>
      <w:pPr>
        <w:spacing w:after="0" w:line="147" w:lineRule="exact"/>
        <w:rPr>
          <w:rFonts w:ascii="Arial" w:cs="Arial" w:eastAsia="Arial" w:hAnsi="Arial"/>
          <w:sz w:val="17"/>
          <w:szCs w:val="17"/>
          <w:color w:val="auto"/>
        </w:rPr>
      </w:pPr>
    </w:p>
    <w:p>
      <w:pPr>
        <w:ind w:left="3200" w:hanging="474"/>
        <w:spacing w:after="0"/>
        <w:tabs>
          <w:tab w:leader="none" w:pos="32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each Company Contract relating to any agreement of indemnification or guaranty not entered into in the</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Ordinary Course of Business;</w:t>
      </w:r>
    </w:p>
    <w:p>
      <w:pPr>
        <w:spacing w:after="0" w:line="209" w:lineRule="exact"/>
        <w:rPr>
          <w:rFonts w:ascii="Arial" w:cs="Arial" w:eastAsia="Arial" w:hAnsi="Arial"/>
          <w:sz w:val="17"/>
          <w:szCs w:val="17"/>
          <w:color w:val="auto"/>
        </w:rPr>
      </w:pPr>
    </w:p>
    <w:p>
      <w:pPr>
        <w:ind w:left="780" w:right="160" w:firstLine="1946"/>
        <w:spacing w:after="0" w:line="262" w:lineRule="auto"/>
        <w:tabs>
          <w:tab w:leader="none" w:pos="3206"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each Company Contract containing (A) any covenant limiting the freedom of the Company, its Subsidiaries or the Surviving Corporation to engage in any line of business or compete with any Person, (B) any most-favored pricing arrangement, (C) any exclusivity provision, or (D) any non-solicitation provision;</w:t>
      </w:r>
    </w:p>
    <w:p>
      <w:pPr>
        <w:spacing w:after="0" w:line="183" w:lineRule="exact"/>
        <w:rPr>
          <w:rFonts w:ascii="Arial" w:cs="Arial" w:eastAsia="Arial" w:hAnsi="Arial"/>
          <w:sz w:val="18"/>
          <w:szCs w:val="18"/>
          <w:color w:val="auto"/>
        </w:rPr>
      </w:pPr>
    </w:p>
    <w:p>
      <w:pPr>
        <w:ind w:left="780" w:firstLine="1946"/>
        <w:spacing w:after="0" w:line="276" w:lineRule="auto"/>
        <w:tabs>
          <w:tab w:leader="none" w:pos="32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$250,000 pursuant to its express terms and not cancelable without penalty;</w:t>
      </w:r>
    </w:p>
    <w:p>
      <w:pPr>
        <w:spacing w:after="0" w:line="169" w:lineRule="exact"/>
        <w:rPr>
          <w:rFonts w:ascii="Arial" w:cs="Arial" w:eastAsia="Arial" w:hAnsi="Arial"/>
          <w:sz w:val="18"/>
          <w:szCs w:val="18"/>
          <w:color w:val="auto"/>
        </w:rPr>
      </w:pPr>
    </w:p>
    <w:p>
      <w:pPr>
        <w:ind w:left="3200" w:hanging="474"/>
        <w:spacing w:after="0"/>
        <w:tabs>
          <w:tab w:leader="none" w:pos="320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each Company Contract relating to the disposition or acquisition of material assets or any ownership interest in</w:t>
      </w:r>
    </w:p>
    <w:p>
      <w:pPr>
        <w:spacing w:after="0" w:line="4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any Entity;</w:t>
      </w:r>
    </w:p>
    <w:p>
      <w:pPr>
        <w:spacing w:after="0" w:line="209" w:lineRule="exact"/>
        <w:rPr>
          <w:rFonts w:ascii="Arial" w:cs="Arial" w:eastAsia="Arial" w:hAnsi="Arial"/>
          <w:sz w:val="16"/>
          <w:szCs w:val="16"/>
          <w:color w:val="auto"/>
        </w:rPr>
      </w:pPr>
    </w:p>
    <w:p>
      <w:pPr>
        <w:ind w:left="780" w:right="140" w:firstLine="1946"/>
        <w:spacing w:after="0" w:line="310" w:lineRule="auto"/>
        <w:tabs>
          <w:tab w:leader="none" w:pos="3241"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each Company Contract relating to any mortgages, indentures, loans, notes or credit agreements, security agreements or other agreements or instruments relating to the borrowing of money or extension of credit or creating any material Encumbrances with respect to any assets of the Company or any of its Subsidiaries or any loans or debt obligations with officers or directors of the Company;</w:t>
      </w:r>
    </w:p>
    <w:p>
      <w:pPr>
        <w:spacing w:after="0" w:line="148" w:lineRule="exact"/>
        <w:rPr>
          <w:rFonts w:ascii="Arial" w:cs="Arial" w:eastAsia="Arial" w:hAnsi="Arial"/>
          <w:sz w:val="16"/>
          <w:szCs w:val="16"/>
          <w:color w:val="auto"/>
        </w:rPr>
      </w:pPr>
    </w:p>
    <w:p>
      <w:pPr>
        <w:ind w:left="780" w:right="80" w:firstLine="1946"/>
        <w:spacing w:after="0" w:line="252" w:lineRule="auto"/>
        <w:tabs>
          <w:tab w:leader="none" w:pos="320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6" w:name="page327"/>
    <w:bookmarkEnd w:id="32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780" w:right="160" w:firstLine="1946"/>
        <w:spacing w:after="0" w:line="276" w:lineRule="auto"/>
        <w:tabs>
          <w:tab w:leader="none" w:pos="320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169" w:lineRule="exact"/>
        <w:rPr>
          <w:rFonts w:ascii="Arial" w:cs="Arial" w:eastAsia="Arial" w:hAnsi="Arial"/>
          <w:sz w:val="18"/>
          <w:szCs w:val="18"/>
          <w:color w:val="auto"/>
        </w:rPr>
      </w:pPr>
    </w:p>
    <w:p>
      <w:pPr>
        <w:ind w:left="3220" w:hanging="494"/>
        <w:spacing w:after="0"/>
        <w:tabs>
          <w:tab w:leader="none" w:pos="32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223" w:lineRule="exact"/>
        <w:rPr>
          <w:rFonts w:ascii="Arial" w:cs="Arial" w:eastAsia="Arial" w:hAnsi="Arial"/>
          <w:sz w:val="18"/>
          <w:szCs w:val="18"/>
          <w:color w:val="auto"/>
        </w:rPr>
      </w:pPr>
    </w:p>
    <w:p>
      <w:pPr>
        <w:ind w:left="3200" w:hanging="474"/>
        <w:spacing w:after="0"/>
        <w:tabs>
          <w:tab w:leader="none" w:pos="32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each Company Contract with any Governmental Body;</w:t>
      </w:r>
    </w:p>
    <w:p>
      <w:pPr>
        <w:spacing w:after="0" w:line="223" w:lineRule="exact"/>
        <w:rPr>
          <w:rFonts w:ascii="Arial" w:cs="Arial" w:eastAsia="Arial" w:hAnsi="Arial"/>
          <w:sz w:val="18"/>
          <w:szCs w:val="18"/>
          <w:color w:val="auto"/>
        </w:rPr>
      </w:pPr>
    </w:p>
    <w:p>
      <w:pPr>
        <w:ind w:left="3200" w:hanging="474"/>
        <w:spacing w:after="0"/>
        <w:tabs>
          <w:tab w:leader="none" w:pos="32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 xml:space="preserve">each Company Contract required to be listed on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2.12(d)</w:t>
      </w:r>
      <w:r>
        <w:rPr>
          <w:rFonts w:ascii="Arial" w:cs="Arial" w:eastAsia="Arial" w:hAnsi="Arial"/>
          <w:sz w:val="16"/>
          <w:szCs w:val="16"/>
          <w:color w:val="auto"/>
        </w:rPr>
        <w:t xml:space="preserve"> of the Company Disclosure</w:t>
      </w:r>
    </w:p>
    <w:p>
      <w:pPr>
        <w:spacing w:after="0" w:line="45"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Schedule;</w:t>
      </w:r>
    </w:p>
    <w:p>
      <w:pPr>
        <w:spacing w:after="0" w:line="209" w:lineRule="exact"/>
        <w:rPr>
          <w:rFonts w:ascii="Arial" w:cs="Arial" w:eastAsia="Arial" w:hAnsi="Arial"/>
          <w:sz w:val="16"/>
          <w:szCs w:val="16"/>
          <w:color w:val="auto"/>
        </w:rPr>
      </w:pPr>
    </w:p>
    <w:p>
      <w:pPr>
        <w:ind w:left="780" w:right="480" w:firstLine="1946"/>
        <w:spacing w:after="0" w:line="276" w:lineRule="auto"/>
        <w:tabs>
          <w:tab w:leader="none" w:pos="320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each Company Contract containing any royalty, dividend or similar arrangement based on the revenues or profits of the Company or any of its Subsidiaries; or</w:t>
      </w:r>
    </w:p>
    <w:p>
      <w:pPr>
        <w:spacing w:after="0" w:line="169" w:lineRule="exact"/>
        <w:rPr>
          <w:rFonts w:ascii="Arial" w:cs="Arial" w:eastAsia="Arial" w:hAnsi="Arial"/>
          <w:sz w:val="18"/>
          <w:szCs w:val="18"/>
          <w:color w:val="auto"/>
        </w:rPr>
      </w:pPr>
    </w:p>
    <w:p>
      <w:pPr>
        <w:jc w:val="both"/>
        <w:ind w:left="780" w:right="100" w:firstLine="1946"/>
        <w:spacing w:after="0" w:line="300" w:lineRule="auto"/>
        <w:tabs>
          <w:tab w:leader="none" w:pos="320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$250,000 in the aggregate, or obligations after the date of this Agreement in excess of $250,000 in the aggregate, or (B) that is material to the business or operations of the Company and its Subsidiaries, taken as a whole.</w:t>
      </w:r>
    </w:p>
    <w:p>
      <w:pPr>
        <w:spacing w:after="0" w:line="156" w:lineRule="exact"/>
        <w:rPr>
          <w:rFonts w:ascii="Arial" w:cs="Arial" w:eastAsia="Arial" w:hAnsi="Arial"/>
          <w:sz w:val="16"/>
          <w:szCs w:val="16"/>
          <w:color w:val="auto"/>
        </w:rPr>
      </w:pPr>
    </w:p>
    <w:p>
      <w:pPr>
        <w:ind w:left="140" w:firstLine="1940"/>
        <w:spacing w:after="0" w:line="269" w:lineRule="auto"/>
        <w:tabs>
          <w:tab w:leader="none" w:pos="250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The Company has delivered or made available to Parent accurate and complete copies of all Company Material Contracts, including all amendments thereto. Except as set forth in </w:t>
      </w:r>
      <w:r>
        <w:rPr>
          <w:rFonts w:ascii="Arial" w:cs="Arial" w:eastAsia="Arial" w:hAnsi="Arial"/>
          <w:sz w:val="17"/>
          <w:szCs w:val="17"/>
          <w:u w:val="single" w:color="auto"/>
          <w:color w:val="auto"/>
        </w:rPr>
        <w:t>Section 2.13(b)</w:t>
      </w:r>
      <w:r>
        <w:rPr>
          <w:rFonts w:ascii="Arial" w:cs="Arial" w:eastAsia="Arial" w:hAnsi="Arial"/>
          <w:sz w:val="17"/>
          <w:szCs w:val="17"/>
          <w:color w:val="auto"/>
        </w:rPr>
        <w:t xml:space="preserve"> of the Company Disclosure Schedule,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written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be material to the Company or its business.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74"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u w:val="single" w:color="auto"/>
          <w:color w:val="auto"/>
        </w:rPr>
        <w:t>Compliance; Permits; Restrictions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68" w:lineRule="auto"/>
        <w:tabs>
          <w:tab w:leader="none" w:pos="249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Company and each of its Subsidiaries are, and since January 1, 2013 have been, in compliance in all material respects with all applicable Laws, including the Federal Food, Drug, and Cosmetic Act (“</w:t>
      </w:r>
      <w:r>
        <w:rPr>
          <w:rFonts w:ascii="Arial" w:cs="Arial" w:eastAsia="Arial" w:hAnsi="Arial"/>
          <w:sz w:val="17"/>
          <w:szCs w:val="17"/>
          <w:b w:val="1"/>
          <w:bCs w:val="1"/>
          <w:i w:val="1"/>
          <w:iCs w:val="1"/>
          <w:color w:val="auto"/>
        </w:rPr>
        <w:t>FDCA</w:t>
      </w:r>
      <w:r>
        <w:rPr>
          <w:rFonts w:ascii="Arial" w:cs="Arial" w:eastAsia="Arial" w:hAnsi="Arial"/>
          <w:sz w:val="17"/>
          <w:szCs w:val="17"/>
          <w:color w:val="auto"/>
        </w:rPr>
        <w:t>”), the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regulations adopted thereunder, the Controlled Substance Act and any other similar Law administered or promulgated by the FDA or other comparable Governmental Body responsible for regulation of the development, clinical testing, manufacturing, sale, marketing, distribution and importation or exportation of drug products (each, a “</w:t>
      </w:r>
      <w:r>
        <w:rPr>
          <w:rFonts w:ascii="Arial" w:cs="Arial" w:eastAsia="Arial" w:hAnsi="Arial"/>
          <w:sz w:val="17"/>
          <w:szCs w:val="17"/>
          <w:b w:val="1"/>
          <w:bCs w:val="1"/>
          <w:i w:val="1"/>
          <w:iCs w:val="1"/>
          <w:color w:val="auto"/>
        </w:rPr>
        <w:t>Drug Regulatory Agency</w:t>
      </w:r>
      <w:r>
        <w:rPr>
          <w:rFonts w:ascii="Arial" w:cs="Arial" w:eastAsia="Arial" w:hAnsi="Arial"/>
          <w:sz w:val="17"/>
          <w:szCs w:val="17"/>
          <w:color w:val="auto"/>
        </w:rPr>
        <w:t>”), except for any noncompliance, either individually or in the aggregate, which would not be material to the Company. No investigation, claim, suit, proceeding, audit or other action by any Governmental Body is pending or, to the Knowledge of the Company, threatened in writing against the Company or any of its Subsidiaries. There is no agreement, judgment, injunction, order or decree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7" w:name="page328"/>
    <w:bookmarkEnd w:id="32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54" w:lineRule="auto"/>
        <w:tabs>
          <w:tab w:leader="none" w:pos="250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and its Subsidiaries hold all required Governmental Authorizations which are material to the operation of the business of the Company and its Subsidiaries as currently conducted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of the Company Disclosure Schedule identifies each Company Permit. Each of the Company and its Subsidiaries is in material compliance with the terms of the Company Permits. No Legal Proceeding is pending or, to the Knowledge of the Company, threatened, which seeks to revoke,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89" w:lineRule="exact"/>
        <w:rPr>
          <w:rFonts w:ascii="Arial" w:cs="Arial" w:eastAsia="Arial" w:hAnsi="Arial"/>
          <w:sz w:val="18"/>
          <w:szCs w:val="18"/>
          <w:color w:val="auto"/>
        </w:rPr>
      </w:pPr>
    </w:p>
    <w:p>
      <w:pPr>
        <w:ind w:left="140" w:right="100" w:firstLine="1940"/>
        <w:spacing w:after="0" w:line="262" w:lineRule="auto"/>
        <w:tabs>
          <w:tab w:leader="none" w:pos="249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 are no proceedings pending or, to the Knowledge of the Company, threatened with respect to an alleged material violation by the Company or any of its Subsidiaries of the FDCA, FDA regulations adopted thereunder, the Controlled Substance Act or any other similar Law administered or promulgated by any Drug Regulatory Agency.</w:t>
      </w:r>
    </w:p>
    <w:p>
      <w:pPr>
        <w:spacing w:after="0" w:line="183" w:lineRule="exact"/>
        <w:rPr>
          <w:rFonts w:ascii="Arial" w:cs="Arial" w:eastAsia="Arial" w:hAnsi="Arial"/>
          <w:sz w:val="18"/>
          <w:szCs w:val="18"/>
          <w:color w:val="auto"/>
        </w:rPr>
      </w:pPr>
    </w:p>
    <w:p>
      <w:pPr>
        <w:ind w:left="140" w:right="20" w:firstLine="1940"/>
        <w:spacing w:after="0" w:line="283" w:lineRule="auto"/>
        <w:tabs>
          <w:tab w:leader="none" w:pos="250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 and each of its Subsidiaries holds all required Governmental Authorizations issuable by any Drug Regulatory Agency necessary or material to the conduct of the business of the Company or such Subsidiary as currently conducted, and, as applicable, the development, clinical testing, manufacturing, marketing, distribution and importation or exportation, as currently conducted, of any of its products or product candidates (collectively, the “</w:t>
      </w:r>
      <w:r>
        <w:rPr>
          <w:rFonts w:ascii="Arial" w:cs="Arial" w:eastAsia="Arial" w:hAnsi="Arial"/>
          <w:sz w:val="16"/>
          <w:szCs w:val="16"/>
          <w:b w:val="1"/>
          <w:bCs w:val="1"/>
          <w:i w:val="1"/>
          <w:iCs w:val="1"/>
          <w:color w:val="auto"/>
        </w:rPr>
        <w:t>Company Products</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Company Regulatory Permits</w:t>
      </w:r>
      <w:r>
        <w:rPr>
          <w:rFonts w:ascii="Arial" w:cs="Arial" w:eastAsia="Arial" w:hAnsi="Arial"/>
          <w:sz w:val="16"/>
          <w:szCs w:val="16"/>
          <w:color w:val="auto"/>
        </w:rPr>
        <w:t xml:space="preserve">”) and no such Company Regulatory Permit has been (i) revoked, withdrawn, suspended, cancelled or terminated or (ii) modified in any adverse manner, other than immaterial adverse modifications. The Company and each of its Subsidiaries are in compliance in all material respects with the Company Regulatory Permits and have not received any written notice or other written communication, or to the Knowledge of the Company, any other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Except for the information and files identified in </w:t>
      </w:r>
      <w:r>
        <w:rPr>
          <w:rFonts w:ascii="Arial" w:cs="Arial" w:eastAsia="Arial" w:hAnsi="Arial"/>
          <w:sz w:val="16"/>
          <w:szCs w:val="16"/>
          <w:u w:val="single" w:color="auto"/>
          <w:color w:val="auto"/>
        </w:rPr>
        <w:t>Section 2.14(d)</w:t>
      </w:r>
      <w:r>
        <w:rPr>
          <w:rFonts w:ascii="Arial" w:cs="Arial" w:eastAsia="Arial" w:hAnsi="Arial"/>
          <w:sz w:val="16"/>
          <w:szCs w:val="16"/>
          <w:color w:val="auto"/>
        </w:rPr>
        <w:t xml:space="preserve"> of the Company Disclosure Schedule, the Company has made available to Parent all information requested by Parent in the Company’s or its Subsidiaries’ possession or control relating to the Company Products and the development, clinical testing, manufacturing, importation and exportation of the Company Products, including complete copies of the following (to the extent there are any): (x) 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notices, letters, filings, correspondence and meeting minutes with any other Governmental Body. The Company and each of its Subsidiaries have complied in all material respects with the ICH E9 Guidance for Industry: Statistical Principles for Clinical Trials in the management of the clinical data that have been presented by the Company. To the Knowledge of the Company, there are no facts that would be reasonably likely to result in any warning, untitled or notice of violation letter or Form FDA-483 to the Company or any manufacturer of any Company Products from the FDA. The Company is not aware of any studies, tests or trials the results of which the Company believes reasonably call into question (i) the study, test or trial results of any Company Products, (ii) the efficacy or safety of any Company Products or (iii) any of the Company’s filings with any Governmental Body.</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8" w:name="page329"/>
    <w:bookmarkEnd w:id="32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9" w:lineRule="auto"/>
        <w:tabs>
          <w:tab w:leader="none" w:pos="249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21 C.F.R. Parts 50, 54, 56, 58 and 312. No preclinical or clinical trial conducted by or on behalf of the Company or any of its Subsidiaries has been terminated or suspended prior to completion for safety or non-compliance reasons. Since January 1, 2013, neither the Company nor any of its Subsidiaries has received any notices, correspondence, or other communications from any Drug Regulatory Agency requiring, or to the Knowledge of the Company threatening to initiate, the termination or suspension of any clinical studies conducted by or on behalf of, or sponsored by, the Company or any of its Subsidiaries or in which the Company or any of its Subsidiaries or their respective current products or product candidates, including the Company Products, have participated.</w:t>
      </w:r>
    </w:p>
    <w:p>
      <w:pPr>
        <w:spacing w:after="0" w:line="177" w:lineRule="exact"/>
        <w:rPr>
          <w:rFonts w:ascii="Arial" w:cs="Arial" w:eastAsia="Arial" w:hAnsi="Arial"/>
          <w:sz w:val="17"/>
          <w:szCs w:val="17"/>
          <w:color w:val="auto"/>
        </w:rPr>
      </w:pPr>
    </w:p>
    <w:p>
      <w:pPr>
        <w:ind w:left="140" w:firstLine="1940"/>
        <w:spacing w:after="0" w:line="288" w:lineRule="auto"/>
        <w:tabs>
          <w:tab w:leader="none" w:pos="248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or any of their respective officers, employees or agents has been convicted of any crime or engaged in any conduct that could result in a debarment or exclusion (i) under 21 U.S.C. Section 335a or (ii) any similar applicable Law. No debarment or exclusionary claims, actions, proceedings or investigations in respect of their business or products are pending or, to the Knowledge of the Company, threatened in writing against the Company, any of its Subsidiaries or any of their respective officers, employees or agents.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29" w:name="page330"/>
    <w:bookmarkEnd w:id="32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7" w:lineRule="auto"/>
        <w:tabs>
          <w:tab w:leader="none" w:pos="2508"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Company and its Subsidiaries have complied with all applicable Laws relating to patient, medical or individual health information, including the Health Insurance Portability and Accountability Act of 1996 and its implementing regulations promulgated thereunder, all as amended from time to time (collectively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xml:space="preserve">”), including the standards for the privacy of Individually Identifiable Health Information at 45 C.F.R. Parts 160 and 164, Subparts A and E, the 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As applicable, the Company and its Subsidiaries have created and maintained written policies and procedures to protect the privacy of all protected health information, provided training to employees and agents where required under HIPAA, and have implemented security procedures, including physical, technical and administrative safeguards, to protect personal information and Protected Health Information stored or transmitted in electronic form. Neither the Company nor its Subsidiaries have received written notice from the Office for Civil Rights for the U.S. Department of Health and Human Services or any other Governmental Body of any allegation regarding its failure to comply with HIPAA or any other state law or regulation applicable to the protection of individually identifiable health information or personally identifiable information. No successful Security Incident, Breach of Unsecured Protected Health Information or breach of personally identifiable information under applicable state or federal laws have occurred with respect to information maintained or transmitted to the Company, any of its Subsidiaries, or an agent or third party subject to a Business Associate Agreement with the Company or a Subsidiary of the Company. All capitalized terms in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not otherwise defined in this Agreement shall have the meanings set forth under HIPAA.</w:t>
      </w:r>
    </w:p>
    <w:p>
      <w:pPr>
        <w:spacing w:after="0" w:line="177"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u w:val="single" w:color="auto"/>
          <w:color w:val="auto"/>
        </w:rPr>
        <w:t>Legal Proceedings; Orders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78" w:lineRule="auto"/>
        <w:tabs>
          <w:tab w:leader="none" w:pos="249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As of the date of this Agreement, there is no pending Legal Proceeding and, to the Knowledge of the Company, no Person has threatened in writing to commence any Legal Proceeding: (i) that involves (A) the Company, (B) any of its Subsidiaries, (C) any Company Associate (in his or her capacity as such) or (D) any of the material assets owned or used by the Company or its Subsidiaries; or (ii) that challenges, or that may have the effect of preventing, delaying, making illegal or otherwise interfering with, the Contemplated Transactions.</w:t>
      </w:r>
    </w:p>
    <w:p>
      <w:pPr>
        <w:spacing w:after="0" w:line="170" w:lineRule="exact"/>
        <w:rPr>
          <w:rFonts w:ascii="Arial" w:cs="Arial" w:eastAsia="Arial" w:hAnsi="Arial"/>
          <w:sz w:val="17"/>
          <w:szCs w:val="17"/>
          <w:color w:val="auto"/>
        </w:rPr>
      </w:pPr>
    </w:p>
    <w:p>
      <w:pPr>
        <w:ind w:left="140" w:right="140" w:firstLine="1940"/>
        <w:spacing w:after="0" w:line="276" w:lineRule="auto"/>
        <w:tabs>
          <w:tab w:leader="none" w:pos="25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of the Company Disclosure Schedule, since January 1, 2013, no Legal Proceeding has been pending against the Company that resulted in material liability to the Company.</w:t>
      </w:r>
    </w:p>
    <w:p>
      <w:pPr>
        <w:spacing w:after="0" w:line="169" w:lineRule="exact"/>
        <w:rPr>
          <w:rFonts w:ascii="Arial" w:cs="Arial" w:eastAsia="Arial" w:hAnsi="Arial"/>
          <w:sz w:val="18"/>
          <w:szCs w:val="18"/>
          <w:color w:val="auto"/>
        </w:rPr>
      </w:pPr>
    </w:p>
    <w:p>
      <w:pPr>
        <w:ind w:left="140" w:right="40" w:firstLine="1940"/>
        <w:spacing w:after="0" w:line="256" w:lineRule="auto"/>
        <w:tabs>
          <w:tab w:leader="none" w:pos="249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There is no order, writ, injunction, judgment or decree to which the Company or any of its Subsidiaries, or any of the material assets owned or used by the Company or any of its Subsidiaries, is subject. To the Knowledge of the Company, no officer or other Key Employee of the Company or any of its Subsidiaries is subject to any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30" w:name="page331"/>
    <w:bookmarkEnd w:id="33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28" w:lineRule="exact"/>
        <w:rPr>
          <w:sz w:val="20"/>
          <w:szCs w:val="20"/>
          <w:color w:val="auto"/>
        </w:rPr>
      </w:pPr>
    </w:p>
    <w:p>
      <w:pPr>
        <w:ind w:left="140" w:right="140" w:firstLine="1940"/>
        <w:spacing w:after="0" w:line="300" w:lineRule="auto"/>
        <w:tabs>
          <w:tab w:leader="none" w:pos="249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Company and each of its Subsidiaries have timely filed all income Tax Returns and other material Tax Returns that they were required to file under applicable Law. All such Tax Returns are correct and complete in all material respects and have been prepared in compliance with all applicable Law. No claim has ever been made by any Governmental Body in any jurisdiction where the Company or any of its Subsidiaries does not file a particular Tax Return or pay a particular Tax that the Company or such Subsidiary is subject to taxation by that jurisdiction.</w:t>
      </w:r>
    </w:p>
    <w:p>
      <w:pPr>
        <w:spacing w:after="0" w:line="156" w:lineRule="exact"/>
        <w:rPr>
          <w:rFonts w:ascii="Arial" w:cs="Arial" w:eastAsia="Arial" w:hAnsi="Arial"/>
          <w:sz w:val="16"/>
          <w:szCs w:val="16"/>
          <w:color w:val="auto"/>
        </w:rPr>
      </w:pPr>
    </w:p>
    <w:p>
      <w:pPr>
        <w:jc w:val="both"/>
        <w:ind w:left="140" w:right="420" w:firstLine="1940"/>
        <w:spacing w:after="0" w:line="285" w:lineRule="auto"/>
        <w:tabs>
          <w:tab w:leader="none" w:pos="25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income and other material Taxes due and owing by the Company or any of its Subsidiaries on or before the date hereof (whether or not shown on any Tax Return) have been fully paid. Since the date of the Company Unaudited Interim Balance Sheet, neither the Company nor any of its Subsidiaries has incurred any material Liability for Taxes outside the Ordinary Course of Business.</w:t>
      </w:r>
    </w:p>
    <w:p>
      <w:pPr>
        <w:spacing w:after="0" w:line="164" w:lineRule="exact"/>
        <w:rPr>
          <w:rFonts w:ascii="Arial" w:cs="Arial" w:eastAsia="Arial" w:hAnsi="Arial"/>
          <w:sz w:val="17"/>
          <w:szCs w:val="17"/>
          <w:color w:val="auto"/>
        </w:rPr>
      </w:pPr>
    </w:p>
    <w:p>
      <w:pPr>
        <w:ind w:left="140" w:right="20" w:firstLine="1940"/>
        <w:spacing w:after="0" w:line="285" w:lineRule="auto"/>
        <w:tabs>
          <w:tab w:leader="none" w:pos="249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All Taxes that the Company or any of its Subsidiaries are or were required by Law to withhold or collect have been duly and timely withheld or collected in all material respects on behalf of its respective employees, independent contractors, stockholders, or other third parties and, have been timely paid to the proper Governmental Body or other Person or properly set aside in accounts for this purpose.</w:t>
      </w:r>
    </w:p>
    <w:p>
      <w:pPr>
        <w:spacing w:after="0" w:line="164" w:lineRule="exact"/>
        <w:rPr>
          <w:rFonts w:ascii="Arial" w:cs="Arial" w:eastAsia="Arial" w:hAnsi="Arial"/>
          <w:sz w:val="17"/>
          <w:szCs w:val="17"/>
          <w:color w:val="auto"/>
        </w:rPr>
      </w:pPr>
    </w:p>
    <w:p>
      <w:pPr>
        <w:ind w:left="140" w:right="80" w:firstLine="1940"/>
        <w:spacing w:after="0" w:line="262" w:lineRule="auto"/>
        <w:tabs>
          <w:tab w:leader="none" w:pos="250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Taxes that are being contested in good faith and for which adequate reserves have been made on the Company Unaudited Interim Balance Sheet) upon any of the assets of the Company or any of its Subsidiaries.</w:t>
      </w:r>
    </w:p>
    <w:p>
      <w:pPr>
        <w:spacing w:after="0" w:line="183" w:lineRule="exact"/>
        <w:rPr>
          <w:rFonts w:ascii="Arial" w:cs="Arial" w:eastAsia="Arial" w:hAnsi="Arial"/>
          <w:sz w:val="18"/>
          <w:szCs w:val="18"/>
          <w:color w:val="auto"/>
        </w:rPr>
      </w:pPr>
    </w:p>
    <w:p>
      <w:pPr>
        <w:ind w:left="140" w:firstLine="1940"/>
        <w:spacing w:after="0" w:line="295" w:lineRule="auto"/>
        <w:tabs>
          <w:tab w:leader="none" w:pos="250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 deficiencies for income or other material Taxes with respect to the Company or any of its Subsidiaries have been claimed, proposed or assessed by any Governmental Body in writing. There are no pending or ongoing, and to the Knowledge of the Company, threatened audits, assessments or other actions for or relating to any liability in respect of a material amount of Taxes of the Company or any of its Subsidiaries. Neither the Company nor any of its Subsidiaries (or any of their predecessors) has waived any statute of limitations in respect of any income or other material Taxes or agreed to any extension of time with respect to any income or other material Tax assessment or deficiency.</w:t>
      </w:r>
    </w:p>
    <w:p>
      <w:pPr>
        <w:spacing w:after="0" w:line="161" w:lineRule="exact"/>
        <w:rPr>
          <w:rFonts w:ascii="Arial" w:cs="Arial" w:eastAsia="Arial" w:hAnsi="Arial"/>
          <w:sz w:val="16"/>
          <w:szCs w:val="16"/>
          <w:color w:val="auto"/>
        </w:rPr>
      </w:pPr>
    </w:p>
    <w:p>
      <w:pPr>
        <w:ind w:left="140" w:right="280" w:firstLine="1940"/>
        <w:spacing w:after="0" w:line="306" w:lineRule="auto"/>
        <w:tabs>
          <w:tab w:leader="none" w:pos="248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been a United States real property holding corporation within the meaning of Section 897(c)(2) of the Code during the applicable period specified in Section 897(c)(1)(A)(ii) of the Code.</w:t>
      </w:r>
    </w:p>
    <w:p>
      <w:pPr>
        <w:spacing w:after="0" w:line="147" w:lineRule="exact"/>
        <w:rPr>
          <w:rFonts w:ascii="Arial" w:cs="Arial" w:eastAsia="Arial" w:hAnsi="Arial"/>
          <w:sz w:val="17"/>
          <w:szCs w:val="17"/>
          <w:color w:val="auto"/>
        </w:rPr>
      </w:pPr>
    </w:p>
    <w:p>
      <w:pPr>
        <w:ind w:left="140" w:right="120" w:firstLine="1940"/>
        <w:spacing w:after="0" w:line="262" w:lineRule="auto"/>
        <w:tabs>
          <w:tab w:leader="none" w:pos="25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331" w:name="page332"/>
    <w:bookmarkEnd w:id="33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90" w:lineRule="auto"/>
        <w:tabs>
          <w:tab w:leader="none" w:pos="251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(v) installment sale or open transaction disposition made on or prior to the Closing Date; (vi) prepaid amount received or deferred revenue accrued on or prior to the Closing Date; or (vii) election under Section 108(i) of the Code (or any similar provision of state, local or foreign Law).</w:t>
      </w:r>
    </w:p>
    <w:p>
      <w:pPr>
        <w:spacing w:after="0" w:line="166" w:lineRule="exact"/>
        <w:rPr>
          <w:rFonts w:ascii="Arial" w:cs="Arial" w:eastAsia="Arial" w:hAnsi="Arial"/>
          <w:sz w:val="16"/>
          <w:szCs w:val="16"/>
          <w:color w:val="auto"/>
        </w:rPr>
      </w:pPr>
    </w:p>
    <w:p>
      <w:pPr>
        <w:ind w:left="140" w:right="80" w:firstLine="1940"/>
        <w:spacing w:after="0" w:line="258" w:lineRule="auto"/>
        <w:tabs>
          <w:tab w:leader="none" w:pos="24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 consolidated, combined or unitary Tax group (other than such a group the common parent of which is the Company). Neither the Company nor any of its Subsidiaries has any Liability for any material Taxes of any Person (other than the Company and any of its Subsidiaries) under Treasury Regulations Section 1.1502-6 (or any similar provision of state, local, or foreign Law), or as a transferee or successor.</w:t>
      </w:r>
    </w:p>
    <w:p>
      <w:pPr>
        <w:spacing w:after="0" w:line="186" w:lineRule="exact"/>
        <w:rPr>
          <w:rFonts w:ascii="Arial" w:cs="Arial" w:eastAsia="Arial" w:hAnsi="Arial"/>
          <w:sz w:val="18"/>
          <w:szCs w:val="18"/>
          <w:color w:val="auto"/>
        </w:rPr>
      </w:pPr>
    </w:p>
    <w:p>
      <w:pPr>
        <w:ind w:left="140" w:firstLine="1940"/>
        <w:spacing w:after="0" w:line="262" w:lineRule="auto"/>
        <w:tabs>
          <w:tab w:leader="none" w:pos="24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 (or any similar provisions of state or local Law).</w:t>
      </w:r>
    </w:p>
    <w:p>
      <w:pPr>
        <w:spacing w:after="0" w:line="183" w:lineRule="exact"/>
        <w:rPr>
          <w:rFonts w:ascii="Arial" w:cs="Arial" w:eastAsia="Arial" w:hAnsi="Arial"/>
          <w:sz w:val="18"/>
          <w:szCs w:val="18"/>
          <w:color w:val="auto"/>
        </w:rPr>
      </w:pPr>
    </w:p>
    <w:p>
      <w:pPr>
        <w:ind w:left="140" w:right="480" w:firstLine="1940"/>
        <w:spacing w:after="0" w:line="306" w:lineRule="auto"/>
        <w:tabs>
          <w:tab w:leader="none" w:pos="251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ever had a permanent establishment (within the meaning of an applicable Tax treaty) or otherwise has an office or fixed place of business in a jurisdiction outside of the United States.</w:t>
      </w:r>
    </w:p>
    <w:p>
      <w:pPr>
        <w:spacing w:after="0" w:line="147" w:lineRule="exact"/>
        <w:rPr>
          <w:rFonts w:ascii="Arial" w:cs="Arial" w:eastAsia="Arial" w:hAnsi="Arial"/>
          <w:sz w:val="17"/>
          <w:szCs w:val="17"/>
          <w:color w:val="auto"/>
        </w:rPr>
      </w:pPr>
    </w:p>
    <w:p>
      <w:pPr>
        <w:jc w:val="both"/>
        <w:ind w:left="140" w:right="160" w:firstLine="1940"/>
        <w:spacing w:after="0" w:line="262" w:lineRule="auto"/>
        <w:tabs>
          <w:tab w:leader="none" w:pos="247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83" w:lineRule="exact"/>
        <w:rPr>
          <w:rFonts w:ascii="Arial" w:cs="Arial" w:eastAsia="Arial" w:hAnsi="Arial"/>
          <w:sz w:val="18"/>
          <w:szCs w:val="18"/>
          <w:color w:val="auto"/>
        </w:rPr>
      </w:pPr>
    </w:p>
    <w:p>
      <w:pPr>
        <w:ind w:left="140" w:right="360" w:firstLine="1940"/>
        <w:spacing w:after="0" w:line="276" w:lineRule="auto"/>
        <w:tabs>
          <w:tab w:leader="none" w:pos="256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taken any action or knows of any fact that would reasonably be expected to prevent the Merger from qualifying for the Intended Tax Treatment.</w:t>
      </w:r>
    </w:p>
    <w:p>
      <w:pPr>
        <w:spacing w:after="0" w:line="170" w:lineRule="exact"/>
        <w:rPr>
          <w:sz w:val="20"/>
          <w:szCs w:val="20"/>
          <w:color w:val="auto"/>
        </w:rPr>
      </w:pPr>
    </w:p>
    <w:p>
      <w:pPr>
        <w:ind w:left="140" w:right="200" w:firstLine="1292"/>
        <w:spacing w:after="0" w:line="276"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each reference to the Company or any of its Subsidiaries shall be deemed to include any Person that was liquidated into, merged with, or is otherwise a predecessor to, the Company.</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32" w:name="page333"/>
    <w:bookmarkEnd w:id="33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b w:val="1"/>
          <w:bCs w:val="1"/>
          <w:u w:val="single" w:color="auto"/>
          <w:color w:val="auto"/>
        </w:rPr>
        <w:t>Employee and Labor Matters; Benefit Plans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69" w:lineRule="auto"/>
        <w:tabs>
          <w:tab w:leader="none" w:pos="2501"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Section 2.17(a)</w:t>
      </w:r>
      <w:r>
        <w:rPr>
          <w:rFonts w:ascii="Arial" w:cs="Arial" w:eastAsia="Arial" w:hAnsi="Arial"/>
          <w:sz w:val="17"/>
          <w:szCs w:val="17"/>
          <w:color w:val="auto"/>
        </w:rPr>
        <w:t xml:space="preserve"> of the Company Disclosure Schedule is a list of all material Benefit Plans, including, without limitation, each Benefit Plan that provides for retirement, change in control, deferred compensation, incentive compensation, severance or retiree medical or life insurance benefits. “</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each (i)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paid-time off, holiday, welfare and fringe benefit plan, program, contract, or arrangement (whether written or unwritten, qualified or nonqualified, funded or unfunded and including any that have been frozen or terminated), in any case, maintained, contributed to, or required to be contributed to, by the Company or any of its Subsidiaries or Company ERISA Affiliates for the benefit of any current or former employee, director, officer or independent contractor of the Company or any of its Subsidiaries or under which the Company or any of its Subsidiaries has any actual or contingent liability (including, without limitation, as to the result of it being treated as a single employer under Code Section 414 with any other person).</w:t>
      </w:r>
    </w:p>
    <w:p>
      <w:pPr>
        <w:spacing w:after="0" w:line="177" w:lineRule="exact"/>
        <w:rPr>
          <w:rFonts w:ascii="Arial" w:cs="Arial" w:eastAsia="Arial" w:hAnsi="Arial"/>
          <w:sz w:val="17"/>
          <w:szCs w:val="17"/>
          <w:color w:val="auto"/>
        </w:rPr>
      </w:pPr>
    </w:p>
    <w:p>
      <w:pPr>
        <w:ind w:left="140" w:right="80" w:firstLine="1940"/>
        <w:spacing w:after="0" w:line="269" w:lineRule="auto"/>
        <w:tabs>
          <w:tab w:leader="none" w:pos="25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As applicable with respect to each material Benefit Plan, the Company has made available to Parent, true and complete copies of (i) each material Benefit Plan, including all amendments thereto, and in the case of an unwritten material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Arial" w:cs="Arial" w:eastAsia="Arial" w:hAnsi="Arial"/>
          <w:sz w:val="17"/>
          <w:szCs w:val="17"/>
          <w:i w:val="1"/>
          <w:iCs w:val="1"/>
          <w:color w:val="auto"/>
        </w:rPr>
        <w:t>e.g.</w:t>
      </w:r>
      <w:r>
        <w:rPr>
          <w:rFonts w:ascii="Arial" w:cs="Arial" w:eastAsia="Arial" w:hAnsi="Arial"/>
          <w:sz w:val="17"/>
          <w:szCs w:val="17"/>
          <w:color w:val="auto"/>
        </w:rPr>
        <w:t>, Form 5500 and all schedules thereto), (v) the most recent IRS determination, opinion or advisory letter, (vi) the most recent summary annual reports, nondiscrimination testing reports, actuarial reports, financial statements and trustee reports, (vii) all records, notices and filings concerning IRS or Department of Labor or other Governmental Body audits or investigations, “prohibited transactions” within the meaning of Section 406 of ERISA or Section 4975 of the Code and (viii) all policies and procedures established to comply with the privacy and security rules of HIPAA.</w:t>
      </w:r>
    </w:p>
    <w:p>
      <w:pPr>
        <w:spacing w:after="0" w:line="181" w:lineRule="exact"/>
        <w:rPr>
          <w:rFonts w:ascii="Arial" w:cs="Arial" w:eastAsia="Arial" w:hAnsi="Arial"/>
          <w:sz w:val="17"/>
          <w:szCs w:val="17"/>
          <w:color w:val="auto"/>
        </w:rPr>
      </w:pPr>
    </w:p>
    <w:p>
      <w:pPr>
        <w:ind w:left="140" w:right="240" w:firstLine="1940"/>
        <w:spacing w:after="0" w:line="276" w:lineRule="auto"/>
        <w:tabs>
          <w:tab w:leader="none" w:pos="25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Benefit Plan has been maintained, operated and administered in compliance in all material respects with its terms and any related documents or agreements and the applicable provisions of ERISA, the Code and all other Laws.</w:t>
      </w:r>
    </w:p>
    <w:p>
      <w:pPr>
        <w:spacing w:after="0" w:line="169" w:lineRule="exact"/>
        <w:rPr>
          <w:rFonts w:ascii="Arial" w:cs="Arial" w:eastAsia="Arial" w:hAnsi="Arial"/>
          <w:sz w:val="18"/>
          <w:szCs w:val="18"/>
          <w:color w:val="auto"/>
        </w:rPr>
      </w:pPr>
    </w:p>
    <w:p>
      <w:pPr>
        <w:ind w:left="140" w:right="180" w:firstLine="1940"/>
        <w:spacing w:after="0" w:line="274" w:lineRule="auto"/>
        <w:tabs>
          <w:tab w:leader="none" w:pos="250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Benefit Plans which are “employee pension benefit plans” within the meaning of Section 3(2) of ERISA and which are intended to meet the qualification requirements of Section 401(a) of the Code have received determination letters from the IRS on which they may currently rely to the effect that such plans are qualified under Section 401(a) of the Code and the related trusts are exempt from federal income Taxes under Section 501(a) of the Code, respectively, and to the Knowledge of the Company, nothing has occurred that would reasonably be expected to materially adversely affect the qualification of such Benefit Plan or the tax exempt status of the related trust.</w:t>
      </w:r>
    </w:p>
    <w:p>
      <w:pPr>
        <w:spacing w:after="0" w:line="176" w:lineRule="exact"/>
        <w:rPr>
          <w:rFonts w:ascii="Arial" w:cs="Arial" w:eastAsia="Arial" w:hAnsi="Arial"/>
          <w:sz w:val="17"/>
          <w:szCs w:val="17"/>
          <w:color w:val="auto"/>
        </w:rPr>
      </w:pPr>
    </w:p>
    <w:p>
      <w:pPr>
        <w:ind w:left="140" w:right="180" w:firstLine="1940"/>
        <w:spacing w:after="0" w:line="287" w:lineRule="auto"/>
        <w:tabs>
          <w:tab w:leader="none" w:pos="250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Neither the Company, any of its Subsidiaries nor any Company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w:t>
      </w:r>
    </w:p>
    <w:p>
      <w:pPr>
        <w:ind w:left="140" w:right="20"/>
        <w:spacing w:after="0" w:line="259" w:lineRule="auto"/>
        <w:rPr>
          <w:rFonts w:ascii="Arial" w:cs="Arial" w:eastAsia="Arial" w:hAnsi="Arial"/>
          <w:sz w:val="16"/>
          <w:szCs w:val="16"/>
          <w:color w:val="auto"/>
        </w:rPr>
      </w:pPr>
      <w:r>
        <w:rPr>
          <w:rFonts w:ascii="Arial" w:cs="Arial" w:eastAsia="Arial" w:hAnsi="Arial"/>
          <w:sz w:val="18"/>
          <w:szCs w:val="18"/>
          <w:color w:val="auto"/>
        </w:rPr>
        <w:t>3(37) of ERISA), (iii) any “multiple employer plan” (within the meaning of Section 413 of the Code) or (iv) any “multiple employer welfare arrangement” (within the meaning of Section 3(40) of ERISA).</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33" w:name="page334"/>
    <w:bookmarkEnd w:id="33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140" w:right="40" w:firstLine="1940"/>
        <w:spacing w:after="0" w:line="258" w:lineRule="auto"/>
        <w:tabs>
          <w:tab w:leader="none" w:pos="247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Body involving any Benefit Plan, and no pending or, to the Knowledge of the Company, threatened claims (except for individual claims for benefits payable in the normal operation of the Benefit Plans), suits or proceedings involving any Benefit Plan, any fiduciary thereof or service provider thereto, in any case except as would not be reasonably expected to result in material liability to the Company or any of its Subsidiaries.</w:t>
      </w:r>
    </w:p>
    <w:p>
      <w:pPr>
        <w:spacing w:after="0" w:line="186" w:lineRule="exact"/>
        <w:rPr>
          <w:rFonts w:ascii="Arial" w:cs="Arial" w:eastAsia="Arial" w:hAnsi="Arial"/>
          <w:sz w:val="18"/>
          <w:szCs w:val="18"/>
          <w:color w:val="auto"/>
        </w:rPr>
      </w:pPr>
    </w:p>
    <w:p>
      <w:pPr>
        <w:ind w:left="140" w:right="60" w:firstLine="1940"/>
        <w:spacing w:after="0" w:line="256" w:lineRule="auto"/>
        <w:tabs>
          <w:tab w:leader="none" w:pos="25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Neither the Company, any of its Subsidiaries or Company ERISA Affiliates, nor to the Knowledge of the Company, any fiduciary, trustee or administrator of any Benefit Plan, has engaged in, or in connection with the transactions contemplated by this Agreement will engage in, any transaction with respect to any Benefit Plan which would subject any such Benefit Plan, the Company, any of its Subsidiaries or Company ERISA Affiliates or Parent to a material Tax, material penalty or material liability for a “prohibited transaction” under Section 406 of ERISA or Section 4975 of the Code.</w:t>
      </w:r>
    </w:p>
    <w:p>
      <w:pPr>
        <w:spacing w:after="0" w:line="188" w:lineRule="exact"/>
        <w:rPr>
          <w:rFonts w:ascii="Arial" w:cs="Arial" w:eastAsia="Arial" w:hAnsi="Arial"/>
          <w:sz w:val="18"/>
          <w:szCs w:val="18"/>
          <w:color w:val="auto"/>
        </w:rPr>
      </w:pPr>
    </w:p>
    <w:p>
      <w:pPr>
        <w:ind w:left="140" w:firstLine="1940"/>
        <w:spacing w:after="0" w:line="262" w:lineRule="auto"/>
        <w:tabs>
          <w:tab w:leader="none" w:pos="25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Benefit Plan provides death, medical, dental, vision, life insurance or other welfare benefits beyond termination of service or retirement other than coverage mandated by Law and neither the Company nor any of its Subsidiaries or Company ERISA Affiliates has made a written or oral representation promising the same.</w:t>
      </w:r>
    </w:p>
    <w:p>
      <w:pPr>
        <w:spacing w:after="0" w:line="183" w:lineRule="exact"/>
        <w:rPr>
          <w:rFonts w:ascii="Arial" w:cs="Arial" w:eastAsia="Arial" w:hAnsi="Arial"/>
          <w:sz w:val="18"/>
          <w:szCs w:val="18"/>
          <w:color w:val="auto"/>
        </w:rPr>
      </w:pPr>
    </w:p>
    <w:p>
      <w:pPr>
        <w:jc w:val="both"/>
        <w:ind w:left="140" w:right="100" w:firstLine="1940"/>
        <w:spacing w:after="0" w:line="274" w:lineRule="auto"/>
        <w:tabs>
          <w:tab w:leader="none" w:pos="247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Neither the execution of, nor the performance of the transactions contemplated by, this Agreement will either alone or in connection with any other event(s) (i) result in any payment becoming due to any current or former employee, director, officer, or independent contractor of the Company or any Subsidiary thereof, (ii) increase any amount of compensation or benefits otherwise payable under any Benefit Plan, (iii) result in the acceleration of the time of payment, funding or vesting of any benefits under any Benefit Plan, (iv) require any contribution or payment to fund any obligation under any Benefit Plan or (v) limit the right to merge, amend or terminate any Benefit Plan.</w:t>
      </w:r>
    </w:p>
    <w:p>
      <w:pPr>
        <w:spacing w:after="0" w:line="176" w:lineRule="exact"/>
        <w:rPr>
          <w:rFonts w:ascii="Arial" w:cs="Arial" w:eastAsia="Arial" w:hAnsi="Arial"/>
          <w:sz w:val="17"/>
          <w:szCs w:val="17"/>
          <w:color w:val="auto"/>
        </w:rPr>
      </w:pPr>
    </w:p>
    <w:p>
      <w:pPr>
        <w:ind w:left="140" w:right="20" w:firstLine="1940"/>
        <w:spacing w:after="0" w:line="300" w:lineRule="auto"/>
        <w:tabs>
          <w:tab w:leader="none" w:pos="247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Neither the execution of, nor the consummation of the transactions contemplated by this Agreement (either alone or when combined with the occurrence of any other event, including without limitation, a termination of employment) will result in the receipt or retention by any person who is a “disqualified individual” (within the meaning of Code Section 280G) of any payment or benefit that is or could be characterized as a “parachute payment” (within the meaning of Code Section 280G), determined without regard to the application of Code Section 280G(b)(5).</w:t>
      </w:r>
    </w:p>
    <w:p>
      <w:pPr>
        <w:spacing w:after="0" w:line="156" w:lineRule="exact"/>
        <w:rPr>
          <w:rFonts w:ascii="Arial" w:cs="Arial" w:eastAsia="Arial" w:hAnsi="Arial"/>
          <w:sz w:val="16"/>
          <w:szCs w:val="16"/>
          <w:color w:val="auto"/>
        </w:rPr>
      </w:pPr>
    </w:p>
    <w:p>
      <w:pPr>
        <w:ind w:left="140" w:right="400" w:firstLine="1940"/>
        <w:spacing w:after="0" w:line="276" w:lineRule="auto"/>
        <w:tabs>
          <w:tab w:leader="none" w:pos="250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exercise price of each Company Option is not and never has been less than the fair market value of one share of Company Common Stock as of the grant date of such Company Option.</w:t>
      </w:r>
    </w:p>
    <w:p>
      <w:pPr>
        <w:spacing w:after="0" w:line="169" w:lineRule="exact"/>
        <w:rPr>
          <w:rFonts w:ascii="Arial" w:cs="Arial" w:eastAsia="Arial" w:hAnsi="Arial"/>
          <w:sz w:val="18"/>
          <w:szCs w:val="18"/>
          <w:color w:val="auto"/>
        </w:rPr>
      </w:pPr>
    </w:p>
    <w:p>
      <w:pPr>
        <w:ind w:left="140" w:right="120" w:firstLine="1940"/>
        <w:spacing w:after="0" w:line="340" w:lineRule="auto"/>
        <w:tabs>
          <w:tab w:leader="none" w:pos="247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No current or former employee, officer, director or independent contractor of the Company or any of its Subsidiaries has any “gross up” agreements or other assurance of reimbursement for any Taxes imposed under Code Section 409A or Code Section 4999.</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34" w:name="page335"/>
    <w:bookmarkEnd w:id="33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2" w:lineRule="auto"/>
        <w:tabs>
          <w:tab w:leader="none" w:pos="256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Benefit Plan maintained outside of the United States (each, a “</w:t>
      </w:r>
      <w:r>
        <w:rPr>
          <w:rFonts w:ascii="Arial" w:cs="Arial" w:eastAsia="Arial" w:hAnsi="Arial"/>
          <w:sz w:val="18"/>
          <w:szCs w:val="18"/>
          <w:b w:val="1"/>
          <w:bCs w:val="1"/>
          <w:i w:val="1"/>
          <w:iCs w:val="1"/>
          <w:color w:val="auto"/>
        </w:rPr>
        <w:t>Foreign Plan</w:t>
      </w:r>
      <w:r>
        <w:rPr>
          <w:rFonts w:ascii="Arial" w:cs="Arial" w:eastAsia="Arial" w:hAnsi="Arial"/>
          <w:sz w:val="18"/>
          <w:szCs w:val="18"/>
          <w:color w:val="auto"/>
        </w:rPr>
        <w:t>”) has obtained from the Governmental Body having jurisdiction with respect to such plan any required determinations that such plan is in compliance with the Laws of any such Governmental Body.</w:t>
      </w:r>
    </w:p>
    <w:p>
      <w:pPr>
        <w:spacing w:after="0" w:line="183" w:lineRule="exact"/>
        <w:rPr>
          <w:rFonts w:ascii="Arial" w:cs="Arial" w:eastAsia="Arial" w:hAnsi="Arial"/>
          <w:sz w:val="18"/>
          <w:szCs w:val="18"/>
          <w:color w:val="auto"/>
        </w:rPr>
      </w:pPr>
    </w:p>
    <w:p>
      <w:pPr>
        <w:ind w:left="140" w:right="40" w:firstLine="1940"/>
        <w:spacing w:after="0" w:line="262" w:lineRule="auto"/>
        <w:tabs>
          <w:tab w:leader="none" w:pos="250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assets of each of the Foreign Plans (which is an employee pension benefit plan as defined in Section 3(2) of ERISA (whether or not subject to ERISA) or otherwise provides retirement, medical or life insurance benefits following retirement or other termination of service or employment) are at least equal to the liabilities of such plans.</w:t>
      </w:r>
    </w:p>
    <w:p>
      <w:pPr>
        <w:spacing w:after="0" w:line="183" w:lineRule="exact"/>
        <w:rPr>
          <w:rFonts w:ascii="Arial" w:cs="Arial" w:eastAsia="Arial" w:hAnsi="Arial"/>
          <w:sz w:val="18"/>
          <w:szCs w:val="18"/>
          <w:color w:val="auto"/>
        </w:rPr>
      </w:pPr>
    </w:p>
    <w:p>
      <w:pPr>
        <w:ind w:left="140" w:right="220" w:firstLine="1940"/>
        <w:spacing w:after="0" w:line="278" w:lineRule="auto"/>
        <w:tabs>
          <w:tab w:leader="none" w:pos="251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bound by, or has a duty to bargain under, any collective bargaining agreement or other Contract with a labor union, labor organization, or similar Person representing any of its employees, and there is no labor union, labor organization, or similar Person representing or, to the Knowledge of the Company, purporting to represent or seeking to represent any employees of the Company or its Subsidiaries, including through the filing of a petition for representation election.</w:t>
      </w:r>
    </w:p>
    <w:p>
      <w:pPr>
        <w:spacing w:after="0" w:line="170" w:lineRule="exact"/>
        <w:rPr>
          <w:rFonts w:ascii="Arial" w:cs="Arial" w:eastAsia="Arial" w:hAnsi="Arial"/>
          <w:sz w:val="17"/>
          <w:szCs w:val="17"/>
          <w:color w:val="auto"/>
        </w:rPr>
      </w:pPr>
    </w:p>
    <w:p>
      <w:pPr>
        <w:ind w:left="140" w:firstLine="1940"/>
        <w:spacing w:after="0" w:line="285" w:lineRule="auto"/>
        <w:tabs>
          <w:tab w:leader="none" w:pos="250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Company and each of its Subsidiaries is, and since January 1, 2013 has been, in material compliance with all applicable Laws respecting labor, employment, employment practices, and terms and conditions of employment, including worker classification, tax withholding, prohibited discrimination and retaliation, equal employment opportunities, harassment, fair employment practices, meal and rest periods, immigration, employee safety and health, wages (including overtime wages), unemployment and workers’ compensation, leaves of absence, and hours of work. Except as would not be reasonably likely to result in a material liability to the Company or any of its Subsidiaries, with respect to employees of the Company and its Subsidiaries, each of the Company and its Subsidiaries, since January 1, 2013: (i) has withheld and reported all amounts required by Law or by agreement to be withheld and reported with respect to wages, salaries and other payments, benefits, or compensation to employees, (ii) is not liable for any arrears of wages (including overtime wages), severance pay or any Taxes or any penalty for failure to comply with any of the foregoing, and (iii) is not liable for any payment to any trust or other fund governed by or maintained by or on behalf of any Governmental Body, with respect to unemployment compensation benefits, disability, social security or other benefits or obligations for employees (other than routine payments to be made in the Ordinary Course of Business). There are no actions, suits, claims, charges, lawsuits, investigations, audits or administrative matters pending or, to the Knowledge of the Company, threatened or reasonably anticipated against the Company or any of its Subsidiaries relating to any employee, applicant for employment, consultant, employment agreement or Benefit Plan (other than routine claims for benefits).</w:t>
      </w:r>
    </w:p>
    <w:p>
      <w:pPr>
        <w:spacing w:after="0" w:line="174" w:lineRule="exact"/>
        <w:rPr>
          <w:rFonts w:ascii="Arial" w:cs="Arial" w:eastAsia="Arial" w:hAnsi="Arial"/>
          <w:sz w:val="16"/>
          <w:szCs w:val="16"/>
          <w:color w:val="auto"/>
        </w:rPr>
      </w:pPr>
    </w:p>
    <w:p>
      <w:pPr>
        <w:ind w:left="140" w:right="140" w:firstLine="1940"/>
        <w:spacing w:after="0" w:line="254" w:lineRule="auto"/>
        <w:tabs>
          <w:tab w:leader="none" w:pos="25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as would not be reasonably likely to result in a material liability to the Company or any of its Subsidiaries, with respect to each individual who currently renders services to the Company or any of its Subsidiaries, the Company and each of its Subsidiaries has accurately classified each such individual as an employee, independent contractor, or otherwise under all applicable Laws and, for each individual classified as an employee, the Company and each of its Subsidiaries has accurately classified him or her as overtime eligible or overtime ineligible under all applicable Laws. Neither the Company nor any of its Subsidiaries has any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35" w:name="page336"/>
    <w:bookmarkEnd w:id="33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60" w:firstLine="1940"/>
        <w:spacing w:after="0" w:line="254" w:lineRule="auto"/>
        <w:tabs>
          <w:tab w:leader="none" w:pos="247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is not and has not been in the past three (3) years, nor is there or has there been in the past three (3) years any threat of, any strike, slowdown, work stoppage, lockout, union election petition, demand for recognition, or any similar activity or dispute, or, to the Knowledge of the Company, any union organizing activity, against the Company or any of its Subsidiaries. No event has occurred, and no condition or circumstance exists, that might directly or indirectly be likely to give rise to or provide a basis for the commencement of any such strike, slowdown, work stoppage, lockout, union election petition, demand for recognition, any similar activity or dispute, or, to the Knowledge of the Company, any union organizing activity.</w:t>
      </w:r>
    </w:p>
    <w:p>
      <w:pPr>
        <w:spacing w:after="0" w:line="192" w:lineRule="exact"/>
        <w:rPr>
          <w:rFonts w:ascii="Arial" w:cs="Arial" w:eastAsia="Arial" w:hAnsi="Arial"/>
          <w:sz w:val="18"/>
          <w:szCs w:val="18"/>
          <w:color w:val="auto"/>
        </w:rPr>
      </w:pPr>
    </w:p>
    <w:p>
      <w:pPr>
        <w:ind w:left="140" w:firstLine="1940"/>
        <w:spacing w:after="0" w:line="262" w:lineRule="auto"/>
        <w:tabs>
          <w:tab w:leader="none" w:pos="248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is no Legal Proceeding, claim, unfair labor practice charge or complaint, labor dispute or grievance pending or, to the Knowledge of the Company, threatened in writing against the Company or any of its Subsidiaries relating to labor, employment, employment practices, or terms and conditions of employment.</w:t>
      </w:r>
    </w:p>
    <w:p>
      <w:pPr>
        <w:spacing w:after="0" w:line="183" w:lineRule="exact"/>
        <w:rPr>
          <w:rFonts w:ascii="Arial" w:cs="Arial" w:eastAsia="Arial" w:hAnsi="Arial"/>
          <w:sz w:val="18"/>
          <w:szCs w:val="18"/>
          <w:color w:val="auto"/>
        </w:rPr>
      </w:pPr>
    </w:p>
    <w:p>
      <w:pPr>
        <w:ind w:left="140" w:right="320" w:firstLine="1940"/>
        <w:spacing w:after="0" w:line="276" w:lineRule="auto"/>
        <w:tabs>
          <w:tab w:leader="none" w:pos="24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or any Company Affiliate is a party or by which it is bound to compensate any of its employees for excise taxes paid pursuant to Section 4999 of the Code.</w:t>
      </w:r>
    </w:p>
    <w:p>
      <w:pPr>
        <w:spacing w:after="0" w:line="169" w:lineRule="exact"/>
        <w:rPr>
          <w:rFonts w:ascii="Arial" w:cs="Arial" w:eastAsia="Arial" w:hAnsi="Arial"/>
          <w:sz w:val="18"/>
          <w:szCs w:val="18"/>
          <w:color w:val="auto"/>
        </w:rPr>
      </w:pPr>
    </w:p>
    <w:p>
      <w:pPr>
        <w:ind w:left="2500" w:hanging="420"/>
        <w:spacing w:after="0"/>
        <w:tabs>
          <w:tab w:leader="none" w:pos="250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of the date hereof, no Key Employee has submitted his or her resignation or, to the Knowledge of the Company,</w:t>
      </w:r>
    </w:p>
    <w:p>
      <w:pPr>
        <w:spacing w:after="0" w:line="34" w:lineRule="exact"/>
        <w:rPr>
          <w:rFonts w:ascii="Arial" w:cs="Arial" w:eastAsia="Arial" w:hAnsi="Arial"/>
          <w:sz w:val="17"/>
          <w:szCs w:val="17"/>
          <w:color w:val="auto"/>
        </w:rPr>
      </w:pPr>
    </w:p>
    <w:p>
      <w:pPr>
        <w:ind w:left="140"/>
        <w:spacing w:after="0"/>
        <w:rPr>
          <w:rFonts w:ascii="Arial" w:cs="Arial" w:eastAsia="Arial" w:hAnsi="Arial"/>
          <w:sz w:val="17"/>
          <w:szCs w:val="17"/>
          <w:color w:val="auto"/>
        </w:rPr>
      </w:pPr>
      <w:r>
        <w:rPr>
          <w:rFonts w:ascii="Arial" w:cs="Arial" w:eastAsia="Arial" w:hAnsi="Arial"/>
          <w:sz w:val="18"/>
          <w:szCs w:val="18"/>
          <w:color w:val="auto"/>
        </w:rPr>
        <w:t>intends to resign.</w:t>
      </w:r>
    </w:p>
    <w:p>
      <w:pPr>
        <w:spacing w:after="0" w:line="205" w:lineRule="exact"/>
        <w:rPr>
          <w:sz w:val="20"/>
          <w:szCs w:val="20"/>
          <w:color w:val="auto"/>
        </w:rPr>
      </w:pPr>
    </w:p>
    <w:p>
      <w:pPr>
        <w:ind w:left="140" w:right="60" w:firstLine="1292"/>
        <w:spacing w:after="0" w:line="285"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The Company and each of its Subsidiaries are and since January 1, 2013 have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the Company or its business. Neither the Company nor any of its Subsidiaries has received since January 1, 2013 (or prior to that time, which is pending and unresolved), any written notice or other communication (in writing or otherwise), whether from a Governmental Body or other Person, that alleges that the Company or any of its Subsidiaries is not in compliance with or has liability pursuant to any Environmental Law and, to the Knowledge of the Company, there are no circumstances that would reasonably be expected to prevent or interfere with the Company’s or any of its Subsidiaries’ compliance in any material respects with any Environmental Law, except where such failure to comply would not reasonably be expected to be material to the Company or its business. No current or (during the time a prior property was leased or controlled by the Company or any of its Subsidiaries) prior property leased or controlled by the Company or any of its Subsidiaries has had a release of or exposure to Hazardous Substances in material violation of or as would reasonably be expected to result in any material liability of the Company or any of its Subsidiaries pursuant to Environmental Law. No consent, approval or Governmental Authorization of or registration or filing with any Governmental Body is required by Environmental Laws in connection with the execution and delivery of this Agreement or the Contemplated Transactions. Prior to the date hereof, the Company has provided or otherwise made available to Parent true and correct copies of all material environmental reports, assessments, studies and audits in the possession or control of the Company or any of its Subsidiaries with respect to any property leased or controlled by the Company or any of its Subsidiaries or any business operated by them.</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36" w:name="page337"/>
    <w:bookmarkEnd w:id="33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20" w:firstLine="1292"/>
        <w:spacing w:after="0" w:line="269"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Company has delivered or made available to Parent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2013,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to the Knowledge of the Company, informed the Company or any of its Subsidiaries of its intent to do so.</w:t>
      </w:r>
    </w:p>
    <w:p>
      <w:pPr>
        <w:spacing w:after="0" w:line="178" w:lineRule="exact"/>
        <w:rPr>
          <w:sz w:val="20"/>
          <w:szCs w:val="20"/>
          <w:color w:val="auto"/>
        </w:rPr>
      </w:pPr>
    </w:p>
    <w:p>
      <w:pPr>
        <w:ind w:left="140" w:right="100" w:firstLine="1292"/>
        <w:spacing w:after="0" w:line="287" w:lineRule="auto"/>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b w:val="1"/>
          <w:bCs w:val="1"/>
          <w:u w:val="single" w:color="auto"/>
          <w:color w:val="auto"/>
        </w:rPr>
        <w:t>No Financial Advisors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60" w:lineRule="exact"/>
        <w:rPr>
          <w:sz w:val="20"/>
          <w:szCs w:val="20"/>
          <w:color w:val="auto"/>
        </w:rPr>
      </w:pPr>
    </w:p>
    <w:p>
      <w:pPr>
        <w:ind w:left="140" w:right="220" w:firstLine="1292"/>
        <w:spacing w:after="0" w:line="280"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The information supplied by the Company and each of its Subsidiaries for inclusion in the Proxy Statement (including any of the Company Financials) will not, as of the date of the Proxy Statement or as of the date such information is prepared or presented, (i) contain any statement that is inaccurate or misleading with respect to any material facts, or (ii) omit to state any material fact necessary in order to make such information, in light of the circumstances under which such information will be provided, not false or misleading.</w:t>
      </w:r>
    </w:p>
    <w:p>
      <w:pPr>
        <w:spacing w:after="0" w:line="164"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92" w:lineRule="auto"/>
        <w:tabs>
          <w:tab w:leader="none" w:pos="2501"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Section 2.22(a)</w:t>
      </w:r>
      <w:r>
        <w:rPr>
          <w:rFonts w:ascii="Arial" w:cs="Arial" w:eastAsia="Arial" w:hAnsi="Arial"/>
          <w:sz w:val="16"/>
          <w:szCs w:val="16"/>
          <w:color w:val="auto"/>
        </w:rPr>
        <w:t xml:space="preserve"> of the Company Disclosure Schedule describes any material transactions or relationships, since January 1, 2013, between, on one hand, the Company or any of its Subsidiaries and, on the other hand, any (i) executive officer or director of the Company or any of its Subsidiaries or any of such executive officer’s or director’s immediate family members, (ii) owner of more than five percent (5%) of the voting power of the outstanding Company Capital Stock or (iii) to the Knowledge of the Company, any “related person” (within the meaning of Item 404 of Regulation S-K under the Securities Act) of any such officer, director or owner (other than the Company or its Subsidiaries) in the case of each of (i), (ii) or (iii) that is of the type that would be required to be disclosed under Item 404 of Regulation S-K under the Securities Act.</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37" w:name="page338"/>
    <w:bookmarkEnd w:id="33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240" w:firstLine="1940"/>
        <w:spacing w:after="0" w:line="258" w:lineRule="auto"/>
        <w:tabs>
          <w:tab w:leader="none" w:pos="2511"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Section 2.22(b)</w:t>
      </w:r>
      <w:r>
        <w:rPr>
          <w:rFonts w:ascii="Arial" w:cs="Arial" w:eastAsia="Arial" w:hAnsi="Arial"/>
          <w:sz w:val="18"/>
          <w:szCs w:val="18"/>
          <w:color w:val="auto"/>
        </w:rPr>
        <w:t xml:space="preserve"> of the Company Disclosure Schedule lists each stockholders agreement, voting agreement, registration rights agreement, co-sale agreement or other similar Contract between the Company and any holders of Company Capital Stock, including any such Contract granting any Person investor rights, rights of first refusal, rights of first offer, registration rights, director designation rights or similar rights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83" w:lineRule="exact"/>
        <w:rPr>
          <w:sz w:val="20"/>
          <w:szCs w:val="20"/>
          <w:color w:val="auto"/>
        </w:rPr>
      </w:pPr>
    </w:p>
    <w:p>
      <w:pPr>
        <w:ind w:left="140" w:right="60" w:firstLine="1292"/>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Anti-Bribery</w:t>
      </w:r>
      <w:r>
        <w:rPr>
          <w:rFonts w:ascii="Arial" w:cs="Arial" w:eastAsia="Arial" w:hAnsi="Arial"/>
          <w:sz w:val="18"/>
          <w:szCs w:val="18"/>
          <w:color w:val="auto"/>
        </w:rPr>
        <w:t>. None of the Company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the UK Bribery Act of 2010 or any other anti-bribery or anti-corruption Law (collectively, the “</w:t>
      </w:r>
      <w:r>
        <w:rPr>
          <w:rFonts w:ascii="Arial" w:cs="Arial" w:eastAsia="Arial" w:hAnsi="Arial"/>
          <w:sz w:val="18"/>
          <w:szCs w:val="18"/>
          <w:b w:val="1"/>
          <w:bCs w:val="1"/>
          <w:i w:val="1"/>
          <w:iCs w:val="1"/>
          <w:color w:val="auto"/>
        </w:rPr>
        <w:t>Anti-Bribery Laws</w:t>
      </w:r>
      <w:r>
        <w:rPr>
          <w:rFonts w:ascii="Arial" w:cs="Arial" w:eastAsia="Arial" w:hAnsi="Arial"/>
          <w:sz w:val="18"/>
          <w:szCs w:val="18"/>
          <w:color w:val="auto"/>
        </w:rPr>
        <w:t>”). Neither the Company nor any of its Subsidiaries is or has been the subject of any investigation or inquiry by any Governmental Body with respect to potential violations of Anti-Bribery Laws.</w:t>
      </w:r>
    </w:p>
    <w:p>
      <w:pPr>
        <w:spacing w:after="0" w:line="188" w:lineRule="exact"/>
        <w:rPr>
          <w:sz w:val="20"/>
          <w:szCs w:val="20"/>
          <w:color w:val="auto"/>
        </w:rPr>
      </w:pPr>
    </w:p>
    <w:p>
      <w:pPr>
        <w:ind w:left="140" w:right="60" w:firstLine="1292"/>
        <w:spacing w:after="0" w:line="291"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u w:val="single" w:color="auto"/>
          <w:color w:val="auto"/>
        </w:rPr>
        <w:t>No Other Representations or Warranties; Disclaimer of Other Representations and Warranties</w:t>
      </w:r>
      <w:r>
        <w:rPr>
          <w:rFonts w:ascii="Arial" w:cs="Arial" w:eastAsia="Arial" w:hAnsi="Arial"/>
          <w:sz w:val="16"/>
          <w:szCs w:val="16"/>
          <w:color w:val="auto"/>
        </w:rPr>
        <w:t>. The Company acknowledges and agrees that, except for the representations and warranties expressly set forth in this Agreement (a) each of Parent and Merger Sub is not making and has not made any representations or warranties relating to itself or its business or otherwise in connection with the transactions contemplated by this Agreement, including the Merger, and any such other representations and warranties are hereby expressly disclaimed, and none of the Company or its Representatives is relying on any representation or warranty of Parent or Merger Sub except for those expressly set forth in this Agreement, and (b) no Person has been authorized by Parent or Merger Sub to make any representation or warranty relating to Parent or Merger Sub or their respective businesses, and if made, such representation or warranty must not be relied upon by the Company as having been authorized by Parent or Merger Sub.</w:t>
      </w:r>
    </w:p>
    <w:p>
      <w:pPr>
        <w:spacing w:after="0" w:line="161"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MERGER SUB</w:t>
      </w:r>
    </w:p>
    <w:p>
      <w:pPr>
        <w:spacing w:after="0" w:line="228" w:lineRule="exact"/>
        <w:rPr>
          <w:sz w:val="20"/>
          <w:szCs w:val="20"/>
          <w:color w:val="auto"/>
        </w:rPr>
      </w:pPr>
    </w:p>
    <w:p>
      <w:pPr>
        <w:ind w:left="140" w:firstLine="1292"/>
        <w:spacing w:after="0" w:line="272"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10.13(i)</w:t>
      </w:r>
      <w:r>
        <w:rPr>
          <w:rFonts w:ascii="Arial" w:cs="Arial" w:eastAsia="Arial" w:hAnsi="Arial"/>
          <w:sz w:val="17"/>
          <w:szCs w:val="17"/>
          <w:color w:val="auto"/>
        </w:rPr>
        <w:t>, except (i) as set forth in the written disclosure schedule delivered by Parent to the Company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 Schedule</w:t>
      </w:r>
      <w:r>
        <w:rPr>
          <w:rFonts w:ascii="Arial" w:cs="Arial" w:eastAsia="Arial" w:hAnsi="Arial"/>
          <w:sz w:val="17"/>
          <w:szCs w:val="17"/>
          <w:color w:val="auto"/>
        </w:rPr>
        <w:t>”) or (ii) as disclosed in the Parent SEC Documents filed with the SEC prior to the date hereof and publicly available on the SEC’s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Parent and Merger Sub represent and warrant to the Company as follows:</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38" w:name="page339"/>
    <w:bookmarkEnd w:id="33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Due Organization; Subsidiaries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72" w:lineRule="auto"/>
        <w:tabs>
          <w:tab w:leader="none" w:pos="250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Each of Parent and Merger Sub is a corporation duly incorporated, validly existing and in good standing under the Laws of the State of Delaware and has all necessary corporate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reasonably be expected to prevent or materially delay the ability of Parent and Merger Sub to consummate the Contemplated Transactions. Since the date of its incorporation, Merger Sub has not engaged in any activities other than activities incident to its formation or in connection with or as contemplated by this Agreement.</w:t>
      </w:r>
    </w:p>
    <w:p>
      <w:pPr>
        <w:spacing w:after="0" w:line="178" w:lineRule="exact"/>
        <w:rPr>
          <w:rFonts w:ascii="Arial" w:cs="Arial" w:eastAsia="Arial" w:hAnsi="Arial"/>
          <w:sz w:val="17"/>
          <w:szCs w:val="17"/>
          <w:color w:val="auto"/>
        </w:rPr>
      </w:pPr>
    </w:p>
    <w:p>
      <w:pPr>
        <w:jc w:val="both"/>
        <w:ind w:left="140" w:firstLine="1940"/>
        <w:spacing w:after="0" w:line="285" w:lineRule="auto"/>
        <w:tabs>
          <w:tab w:leader="none" w:pos="2511"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Parent Material Adverse Effect.</w:t>
      </w:r>
    </w:p>
    <w:p>
      <w:pPr>
        <w:spacing w:after="0" w:line="164" w:lineRule="exact"/>
        <w:rPr>
          <w:rFonts w:ascii="Arial" w:cs="Arial" w:eastAsia="Arial" w:hAnsi="Arial"/>
          <w:sz w:val="17"/>
          <w:szCs w:val="17"/>
          <w:color w:val="auto"/>
        </w:rPr>
      </w:pPr>
    </w:p>
    <w:p>
      <w:pPr>
        <w:ind w:left="140" w:right="60" w:firstLine="1940"/>
        <w:spacing w:after="0" w:line="256" w:lineRule="auto"/>
        <w:tabs>
          <w:tab w:leader="none" w:pos="250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be reasonably expected to have a Parent Material Adverse Effect.</w:t>
      </w:r>
    </w:p>
    <w:p>
      <w:pPr>
        <w:spacing w:after="0" w:line="184" w:lineRule="exact"/>
        <w:rPr>
          <w:sz w:val="20"/>
          <w:szCs w:val="20"/>
          <w:color w:val="auto"/>
        </w:rPr>
      </w:pPr>
    </w:p>
    <w:p>
      <w:pPr>
        <w:ind w:left="140" w:right="300" w:firstLine="1292"/>
        <w:spacing w:after="0" w:line="26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color w:val="auto"/>
        </w:rPr>
        <w:t>. Parent has made available to the Company accurate and complete copies of Parent’s and Merger Sub’s Organizational Documents in effect as of the date of this Agreement. Neither Parent nor Merger Sub is in material breach or violation of its respective Organizational Documents.</w:t>
      </w:r>
    </w:p>
    <w:p>
      <w:pPr>
        <w:spacing w:after="0" w:line="176" w:lineRule="exact"/>
        <w:rPr>
          <w:sz w:val="20"/>
          <w:szCs w:val="20"/>
          <w:color w:val="auto"/>
        </w:rPr>
      </w:pPr>
    </w:p>
    <w:p>
      <w:pPr>
        <w:ind w:left="140" w:right="80" w:firstLine="1292"/>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Authority; Binding Nature of Agreement</w:t>
      </w:r>
      <w:r>
        <w:rPr>
          <w:rFonts w:ascii="Arial" w:cs="Arial" w:eastAsia="Arial" w:hAnsi="Arial"/>
          <w:sz w:val="16"/>
          <w:szCs w:val="16"/>
          <w:color w:val="auto"/>
        </w:rPr>
        <w:t>. Each of Parent and Merger Sub has all necessary corporate power and authority to enter into and to perform its obligations under this Agreement and to consummate the Contemplated Transactions. The Parent Board (at meetings duly called and held) has: (a) determined that the Contemplated Transactions are fair to, advisable and in the best interests of Parent and its stockholders; (b) approved and declared advisable this Agreement and the Contemplated Transactions, including the issuance of shares of Parent Common Stock to the stockholders of the Company pursuant to the terms of this Agreement and the treatment of the Company Options pursuant to this Agreement; and (c) determined to recommend, upon the terms and subject to the conditions set forth in this Agreement, that the stockholders of Parent vote to approve this Agreement and the Contemplated Transactions, including the issuance of shares of Parent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subject to the Enforceability Exceptions.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39" w:name="page340"/>
    <w:bookmarkEnd w:id="33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60" w:firstLine="1292"/>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Vote Required</w:t>
      </w:r>
      <w:r>
        <w:rPr>
          <w:rFonts w:ascii="Arial" w:cs="Arial" w:eastAsia="Arial" w:hAnsi="Arial"/>
          <w:sz w:val="16"/>
          <w:szCs w:val="16"/>
          <w:color w:val="auto"/>
        </w:rPr>
        <w:t>. The affirmative vote of (i) a majority of the votes cast at the Parent Stockholders’ Meeting is the only vote of the holders of any class or series of Parent’s capital stock necessary to approve the issuance of the shares of Parent Common Stock to the stockholders of the Company pursuant to the terms of this Agreement (the “</w:t>
      </w:r>
      <w:r>
        <w:rPr>
          <w:rFonts w:ascii="Arial" w:cs="Arial" w:eastAsia="Arial" w:hAnsi="Arial"/>
          <w:sz w:val="16"/>
          <w:szCs w:val="16"/>
          <w:b w:val="1"/>
          <w:bCs w:val="1"/>
          <w:i w:val="1"/>
          <w:iCs w:val="1"/>
          <w:color w:val="auto"/>
        </w:rPr>
        <w:t>Required Parent Stockholder Merger Vote</w:t>
      </w:r>
      <w:r>
        <w:rPr>
          <w:rFonts w:ascii="Arial" w:cs="Arial" w:eastAsia="Arial" w:hAnsi="Arial"/>
          <w:sz w:val="16"/>
          <w:szCs w:val="16"/>
          <w:color w:val="auto"/>
        </w:rPr>
        <w:t>”) and (ii) a majority of the outstanding shares of Parent Common Stock is the only vote of the holders of any class or series of Parent’s capital stock necessary to approve the Reverse Split (the “</w:t>
      </w:r>
      <w:r>
        <w:rPr>
          <w:rFonts w:ascii="Arial" w:cs="Arial" w:eastAsia="Arial" w:hAnsi="Arial"/>
          <w:sz w:val="16"/>
          <w:szCs w:val="16"/>
          <w:b w:val="1"/>
          <w:bCs w:val="1"/>
          <w:i w:val="1"/>
          <w:i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Parent Stockholder Reverse Split Vote</w:t>
      </w:r>
      <w:r>
        <w:rPr>
          <w:rFonts w:ascii="Arial" w:cs="Arial" w:eastAsia="Arial" w:hAnsi="Arial"/>
          <w:sz w:val="16"/>
          <w:szCs w:val="16"/>
          <w:color w:val="auto"/>
        </w:rPr>
        <w:t>” and, together with the Required Parent Stockholder Merger Vote, the “</w:t>
      </w:r>
      <w:r>
        <w:rPr>
          <w:rFonts w:ascii="Arial" w:cs="Arial" w:eastAsia="Arial" w:hAnsi="Arial"/>
          <w:sz w:val="16"/>
          <w:szCs w:val="16"/>
          <w:b w:val="1"/>
          <w:bCs w:val="1"/>
          <w:i w:val="1"/>
          <w:iCs w:val="1"/>
          <w:color w:val="auto"/>
        </w:rPr>
        <w:t>Required Parent Stockholder Vote</w:t>
      </w:r>
      <w:r>
        <w:rPr>
          <w:rFonts w:ascii="Arial" w:cs="Arial" w:eastAsia="Arial" w:hAnsi="Arial"/>
          <w:sz w:val="16"/>
          <w:szCs w:val="16"/>
          <w:color w:val="auto"/>
        </w:rPr>
        <w:t>”).</w:t>
      </w:r>
    </w:p>
    <w:p>
      <w:pPr>
        <w:spacing w:after="0" w:line="154" w:lineRule="exact"/>
        <w:rPr>
          <w:sz w:val="20"/>
          <w:szCs w:val="20"/>
          <w:color w:val="auto"/>
        </w:rPr>
      </w:pPr>
    </w:p>
    <w:p>
      <w:pPr>
        <w:ind w:left="140" w:right="300" w:firstLine="1292"/>
        <w:spacing w:after="0" w:line="31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Non-Contravention; Consents</w:t>
      </w:r>
      <w:r>
        <w:rPr>
          <w:rFonts w:ascii="Arial" w:cs="Arial" w:eastAsia="Arial" w:hAnsi="Arial"/>
          <w:sz w:val="16"/>
          <w:szCs w:val="16"/>
          <w:color w:val="auto"/>
        </w:rPr>
        <w:t>. Subject to obtaining the Required Parent Stockholder Vote and the filing of the Certificate of Merger required by the DGCL and any filings under the HSR Act, neither (x) the execution, delivery or performance of this Agreement by Parent or Merger Sub, nor (y) the consummation of the Contemplated Transactions, will directly or indirectly (with or without notice or lapse of time):</w:t>
      </w:r>
    </w:p>
    <w:p>
      <w:pPr>
        <w:spacing w:after="0" w:line="145" w:lineRule="exact"/>
        <w:rPr>
          <w:sz w:val="20"/>
          <w:szCs w:val="20"/>
          <w:color w:val="auto"/>
        </w:rPr>
      </w:pPr>
    </w:p>
    <w:p>
      <w:pPr>
        <w:ind w:left="2500" w:hanging="420"/>
        <w:spacing w:after="0"/>
        <w:tabs>
          <w:tab w:leader="none" w:pos="25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of any of the provisions of the Organizational Documents of Parent or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Merger Sub;</w:t>
      </w:r>
    </w:p>
    <w:p>
      <w:pPr>
        <w:spacing w:after="0" w:line="209" w:lineRule="exact"/>
        <w:rPr>
          <w:sz w:val="20"/>
          <w:szCs w:val="20"/>
          <w:color w:val="auto"/>
        </w:rPr>
      </w:pPr>
    </w:p>
    <w:p>
      <w:pPr>
        <w:ind w:left="140" w:firstLine="1940"/>
        <w:spacing w:after="0" w:line="258" w:lineRule="auto"/>
        <w:tabs>
          <w:tab w:leader="none" w:pos="25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or give any Governmental Body or, to the Knowledge of Parent, other Person the right to challenge the Contemplated Transactions or to exercise any remedy or obtain any relief under, any Law or any order, writ, injunction, judgment or decree to which Parent or Merger Sub, or any of the assets owned or used by Parent or Merger Sub, is subject, except as would not reasonably be expected to be material to Parent or its business;</w:t>
      </w:r>
    </w:p>
    <w:p>
      <w:pPr>
        <w:spacing w:after="0" w:line="186" w:lineRule="exact"/>
        <w:rPr>
          <w:rFonts w:ascii="Arial" w:cs="Arial" w:eastAsia="Arial" w:hAnsi="Arial"/>
          <w:sz w:val="18"/>
          <w:szCs w:val="18"/>
          <w:color w:val="auto"/>
        </w:rPr>
      </w:pPr>
    </w:p>
    <w:p>
      <w:pPr>
        <w:ind w:left="140" w:right="80" w:firstLine="1940"/>
        <w:spacing w:after="0" w:line="262" w:lineRule="auto"/>
        <w:tabs>
          <w:tab w:leader="none" w:pos="250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to the Knowledge of Parent, contravene, conflict with or result in a violation of any of the terms or requirements of, or give any Governmental Body the right to revoke, withdraw, suspend, cancel, terminate or modify, any Governmental Authorization that is held by Parent, except as would not reasonably be expected to be material to Parent or its business;</w:t>
      </w:r>
    </w:p>
    <w:p>
      <w:pPr>
        <w:spacing w:after="0" w:line="183" w:lineRule="exact"/>
        <w:rPr>
          <w:rFonts w:ascii="Arial" w:cs="Arial" w:eastAsia="Arial" w:hAnsi="Arial"/>
          <w:sz w:val="18"/>
          <w:szCs w:val="18"/>
          <w:color w:val="auto"/>
        </w:rPr>
      </w:pPr>
    </w:p>
    <w:p>
      <w:pPr>
        <w:ind w:left="140" w:right="80" w:firstLine="1940"/>
        <w:spacing w:after="0" w:line="256" w:lineRule="auto"/>
        <w:tabs>
          <w:tab w:leader="none" w:pos="25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Parent Material Contract, or give any Person the right to: (i) declare a default or exercise any remedy under any Parent Material Contract; (ii) any material payment, rebate, chargeback, penalty or change in delivery schedule under any Parent Material Contract; (iii) accelerate the maturity or performance of any Parent Material Contract; or (iv) cancel, terminate or modify any term of any Parent Material Contract, except in the case of any non-material breach, default, penalty or modification; or</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40" w:name="page341"/>
    <w:bookmarkEnd w:id="34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420" w:firstLine="1940"/>
        <w:spacing w:after="0" w:line="276" w:lineRule="auto"/>
        <w:tabs>
          <w:tab w:leader="none" w:pos="250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material asset owned or used by Parent (except for Permitted Encumbrances).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Except for (i) any Consent set forth 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Parent Disclosure Schedule under any Parent Contract, (ii) the Required Parent Stockholder Vote,</w:t>
      </w:r>
    </w:p>
    <w:p>
      <w:pPr>
        <w:spacing w:after="0" w:line="46" w:lineRule="exact"/>
        <w:rPr>
          <w:sz w:val="20"/>
          <w:szCs w:val="20"/>
          <w:color w:val="auto"/>
        </w:rPr>
      </w:pPr>
    </w:p>
    <w:p>
      <w:pPr>
        <w:ind w:left="140" w:firstLine="2"/>
        <w:spacing w:after="0" w:line="284" w:lineRule="auto"/>
        <w:tabs>
          <w:tab w:leader="none" w:pos="45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filing of the Certificate of Merger with the Secretary of State of the State of Delaware pursuant to the DGCL, (iv) the filing of an amendment to Parent’s certificate of incorporation to effect the Reverse Split (to the extent applicable) and the Corporate Name Change, (iv) such consents, waivers, approvals, orders, authorizations, registrations, declarations and filings as may be required under applicable federal and state securities Laws and (v) any filings required by the HSR Act, Parent is not and will not be required to make any filing with or give any notice to, or to obtain any Consent from, any Person in connection with (x) the execution, delivery or performance of this Agreement, or (y) the consummation of the Contemplated Transactions, which if individually or in the aggregate were not given or obtained, would reasonably be expected to prevent or materially delay the ability of Parent and Merger Sub to consummate the Contemplated Transactions.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Parent is not included within a “person” (as defined in 16 C.F.R. § 801.1(a)(1)) that has one hundred and sixty one million, five hundred thousand dollars ($161,500,000) or more of total assets or annual net sales, in each case as determined in accordance with 16 C.F.R. § 801.11. Prior to the execution of the Parent Stockholder Support Agreements, the Parent Board approved the Parent Stockholder Support Agreements and the transactions contemplated thereby.</w:t>
      </w:r>
    </w:p>
    <w:p>
      <w:pPr>
        <w:spacing w:after="0" w:line="166"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58" w:lineRule="auto"/>
        <w:tabs>
          <w:tab w:leader="none" w:pos="249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authorized capital stock of Parent consists of (i) 200,000,000 shares of Parent Common Stock, par value $0.10 per share, of which 38,649,237 shares have been issued and are outstanding as of September 1, 2017 (the “</w:t>
      </w:r>
      <w:r>
        <w:rPr>
          <w:rFonts w:ascii="Arial" w:cs="Arial" w:eastAsia="Arial" w:hAnsi="Arial"/>
          <w:sz w:val="18"/>
          <w:szCs w:val="18"/>
          <w:b w:val="1"/>
          <w:bCs w:val="1"/>
          <w:i w:val="1"/>
          <w:iCs w:val="1"/>
          <w:color w:val="auto"/>
        </w:rPr>
        <w:t>Capitalization Date</w:t>
      </w:r>
      <w:r>
        <w:rPr>
          <w:rFonts w:ascii="Arial" w:cs="Arial" w:eastAsia="Arial" w:hAnsi="Arial"/>
          <w:sz w:val="18"/>
          <w:szCs w:val="18"/>
          <w:color w:val="auto"/>
        </w:rPr>
        <w:t>”) and (ii) 5,000,000 shares of Preferred Stock, par value $0.10 per share, of which no shares have been issued and are outstanding as of the Capitalization Date. Parent does not hold any shares of its capital stock in its treasury.</w:t>
      </w:r>
    </w:p>
    <w:p>
      <w:pPr>
        <w:spacing w:after="0" w:line="186" w:lineRule="exact"/>
        <w:rPr>
          <w:rFonts w:ascii="Arial" w:cs="Arial" w:eastAsia="Arial" w:hAnsi="Arial"/>
          <w:sz w:val="18"/>
          <w:szCs w:val="18"/>
          <w:color w:val="auto"/>
        </w:rPr>
      </w:pPr>
    </w:p>
    <w:p>
      <w:pPr>
        <w:jc w:val="both"/>
        <w:ind w:left="140" w:right="220" w:firstLine="1940"/>
        <w:spacing w:after="0" w:line="287" w:lineRule="auto"/>
        <w:tabs>
          <w:tab w:leader="none" w:pos="250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w:t>
      </w:r>
    </w:p>
    <w:p>
      <w:pPr>
        <w:ind w:left="140" w:right="80"/>
        <w:spacing w:after="0" w:line="252" w:lineRule="auto"/>
        <w:rPr>
          <w:rFonts w:ascii="Arial" w:cs="Arial" w:eastAsia="Arial" w:hAnsi="Arial"/>
          <w:sz w:val="16"/>
          <w:szCs w:val="16"/>
          <w:color w:val="auto"/>
        </w:rPr>
      </w:pPr>
      <w:r>
        <w:rPr>
          <w:rFonts w:ascii="Arial" w:cs="Arial" w:eastAsia="Arial" w:hAnsi="Arial"/>
          <w:sz w:val="18"/>
          <w:szCs w:val="18"/>
          <w:color w:val="auto"/>
        </w:rPr>
        <w:t>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it bound by any Contract pursuant to which it may become obligated, to repurchase, redeem or otherwise acquire any outstanding shares of Parent Common Stock or other securities.</w:t>
      </w:r>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1" w:name="page342"/>
    <w:bookmarkEnd w:id="34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140" w:right="220" w:firstLine="1940"/>
        <w:spacing w:after="0" w:line="287" w:lineRule="auto"/>
        <w:tabs>
          <w:tab w:leader="none" w:pos="250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Except for the 2016 Equity Incentive Plan, as amended from time to time, and the 2007 Omnibus Equity and Incentive Plan, as amended from time to time (the “</w:t>
      </w:r>
      <w:r>
        <w:rPr>
          <w:rFonts w:ascii="Arial" w:cs="Arial" w:eastAsia="Arial" w:hAnsi="Arial"/>
          <w:sz w:val="16"/>
          <w:szCs w:val="16"/>
          <w:b w:val="1"/>
          <w:bCs w:val="1"/>
          <w:i w:val="1"/>
          <w:iCs w:val="1"/>
          <w:color w:val="auto"/>
        </w:rPr>
        <w:t>Parent Stock Plans</w:t>
      </w:r>
      <w:r>
        <w:rPr>
          <w:rFonts w:ascii="Arial" w:cs="Arial" w:eastAsia="Arial" w:hAnsi="Arial"/>
          <w:sz w:val="16"/>
          <w:szCs w:val="16"/>
          <w:color w:val="auto"/>
        </w:rPr>
        <w:t xml:space="preserve">”), and except as set forth on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of the Parent Disclosure Schedule, Parent does not have any stock option plan or any other plan, program, agreement or arrangement providing for any equity-based compensation for any Person.</w:t>
      </w:r>
    </w:p>
    <w:p>
      <w:pPr>
        <w:ind w:left="140" w:right="200"/>
        <w:spacing w:after="0" w:line="291" w:lineRule="auto"/>
        <w:rPr>
          <w:rFonts w:ascii="Arial" w:cs="Arial" w:eastAsia="Arial" w:hAnsi="Arial"/>
          <w:sz w:val="16"/>
          <w:szCs w:val="16"/>
          <w:color w:val="auto"/>
        </w:rPr>
      </w:pPr>
      <w:r>
        <w:rPr>
          <w:rFonts w:ascii="Arial" w:cs="Arial" w:eastAsia="Arial" w:hAnsi="Arial"/>
          <w:sz w:val="16"/>
          <w:szCs w:val="16"/>
          <w:color w:val="auto"/>
        </w:rPr>
        <w:t>Section A of the Parent Disclosure Schedule lists each outstanding Parent Option, setting forth the name of each holder, the number of shares subject to each such grant, the exercise price and the period during which each such Parent Option may be exercised after the cessation of “continuous service” (as defined in the Parent Stock Plans) except in the event of death or disability. As of the date of this Agreement, 7,452,999 shares have been reserved for issuance upon exercise of Parent Options granted under the Parent Stock Plans that are outstanding as of the date of this Agreement, no Parent RSUs are outstanding as of the date of this Agreement and 3,031,747 shares remain available for future issuance pursuant to the Parent Stock Plans.</w:t>
      </w:r>
    </w:p>
    <w:p>
      <w:pPr>
        <w:spacing w:after="0" w:line="162" w:lineRule="exact"/>
        <w:rPr>
          <w:rFonts w:ascii="Arial" w:cs="Arial" w:eastAsia="Arial" w:hAnsi="Arial"/>
          <w:sz w:val="16"/>
          <w:szCs w:val="16"/>
          <w:color w:val="auto"/>
        </w:rPr>
      </w:pPr>
    </w:p>
    <w:p>
      <w:pPr>
        <w:ind w:left="140" w:right="20" w:firstLine="1940"/>
        <w:spacing w:after="0" w:line="290" w:lineRule="auto"/>
        <w:tabs>
          <w:tab w:leader="none" w:pos="251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Except for the Parent Stock Plans, including the Parent Options and the Parent RSUs, and as otherwise set forth on </w:t>
      </w:r>
      <w:r>
        <w:rPr>
          <w:rFonts w:ascii="Arial" w:cs="Arial" w:eastAsia="Arial" w:hAnsi="Arial"/>
          <w:sz w:val="16"/>
          <w:szCs w:val="16"/>
          <w:u w:val="single" w:color="auto"/>
          <w:color w:val="auto"/>
        </w:rPr>
        <w:t>Section 3.6(d)</w:t>
      </w:r>
      <w:r>
        <w:rPr>
          <w:rFonts w:ascii="Arial" w:cs="Arial" w:eastAsia="Arial" w:hAnsi="Arial"/>
          <w:sz w:val="16"/>
          <w:szCs w:val="16"/>
          <w:color w:val="auto"/>
        </w:rPr>
        <w:t xml:space="preserve"> of the Parent Disclosure Schedule,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is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w:t>
      </w:r>
    </w:p>
    <w:p>
      <w:pPr>
        <w:spacing w:after="0" w:line="166" w:lineRule="exact"/>
        <w:rPr>
          <w:rFonts w:ascii="Arial" w:cs="Arial" w:eastAsia="Arial" w:hAnsi="Arial"/>
          <w:sz w:val="16"/>
          <w:szCs w:val="16"/>
          <w:color w:val="auto"/>
        </w:rPr>
      </w:pPr>
    </w:p>
    <w:p>
      <w:pPr>
        <w:ind w:left="140" w:right="120" w:firstLine="1940"/>
        <w:spacing w:after="0" w:line="340" w:lineRule="auto"/>
        <w:tabs>
          <w:tab w:leader="none" w:pos="249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All outstanding shares of Parent Common Stock, Parent Options and other securities of Parent have been issued and granted in material compliance with (i) all applicable securities Laws and other applicable Law, and (ii) all requirements set forth in applicable Contracts.</w:t>
      </w:r>
    </w:p>
    <w:p>
      <w:pPr>
        <w:spacing w:after="0" w:line="121"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u w:val="single" w:color="auto"/>
          <w:color w:val="auto"/>
        </w:rPr>
        <w:t>SEC Filings; Financial Statements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6" w:lineRule="auto"/>
        <w:tabs>
          <w:tab w:leader="none" w:pos="250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Parent has delivered or made available to the Company accurate and complete copies of all registration statements, proxy statements, Certifications (as defined below) and other statements, reports, schedules, forms and other documents filed by Parent with the SEC since January 1, 2016 (the “</w:t>
      </w:r>
      <w:r>
        <w:rPr>
          <w:rFonts w:ascii="Arial" w:cs="Arial" w:eastAsia="Arial" w:hAnsi="Arial"/>
          <w:sz w:val="16"/>
          <w:szCs w:val="16"/>
          <w:b w:val="1"/>
          <w:bCs w:val="1"/>
          <w:i w:val="1"/>
          <w:iCs w:val="1"/>
          <w:color w:val="auto"/>
        </w:rPr>
        <w:t>Parent SEC Documents</w:t>
      </w:r>
      <w:r>
        <w:rPr>
          <w:rFonts w:ascii="Arial" w:cs="Arial" w:eastAsia="Arial" w:hAnsi="Arial"/>
          <w:sz w:val="16"/>
          <w:szCs w:val="16"/>
          <w:color w:val="auto"/>
        </w:rPr>
        <w:t xml:space="preserve">”), other than such documents that can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All material statements, reports, schedules, forms and other documents required to have been filed by Parent or its officers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Arial" w:cs="Arial" w:eastAsia="Arial" w:hAnsi="Arial"/>
          <w:sz w:val="16"/>
          <w:szCs w:val="16"/>
          <w:b w:val="1"/>
          <w:bCs w:val="1"/>
          <w:i w:val="1"/>
          <w:iCs w:val="1"/>
          <w:color w:val="auto"/>
        </w:rPr>
        <w:t>Certifications</w:t>
      </w:r>
      <w:r>
        <w:rPr>
          <w:rFonts w:ascii="Arial" w:cs="Arial" w:eastAsia="Arial" w:hAnsi="Arial"/>
          <w:sz w:val="16"/>
          <w:szCs w:val="16"/>
          <w:color w:val="auto"/>
        </w:rPr>
        <w:t xml:space="preserve">”) are accurate and complete and comply as to form and content with all applicable Laws. As used in this </w:t>
      </w:r>
      <w:r>
        <w:rPr>
          <w:rFonts w:ascii="Arial" w:cs="Arial" w:eastAsia="Arial" w:hAnsi="Arial"/>
          <w:sz w:val="16"/>
          <w:szCs w:val="16"/>
          <w:u w:val="single" w:color="auto"/>
          <w:color w:val="auto"/>
        </w:rPr>
        <w:t>Section 3.7</w:t>
      </w:r>
      <w:r>
        <w:rPr>
          <w:rFonts w:ascii="Arial" w:cs="Arial" w:eastAsia="Arial" w:hAnsi="Arial"/>
          <w:sz w:val="16"/>
          <w:szCs w:val="16"/>
          <w:color w:val="auto"/>
        </w:rPr>
        <w:t>, the term “file” and variations thereof shall be broadly construed to include any manner in which a document or information is furnished, supplied or otherwise made available to the SEC.</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2" w:name="page343"/>
    <w:bookmarkEnd w:id="34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2520" w:hanging="440"/>
        <w:spacing w:after="0"/>
        <w:tabs>
          <w:tab w:leader="none" w:pos="25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Parent SEC</w:t>
      </w:r>
    </w:p>
    <w:p>
      <w:pPr>
        <w:spacing w:after="0" w:line="34" w:lineRule="exact"/>
        <w:rPr>
          <w:rFonts w:ascii="Arial" w:cs="Arial" w:eastAsia="Arial" w:hAnsi="Arial"/>
          <w:sz w:val="17"/>
          <w:szCs w:val="17"/>
          <w:color w:val="auto"/>
        </w:rPr>
      </w:pPr>
    </w:p>
    <w:p>
      <w:pPr>
        <w:ind w:left="140" w:right="100"/>
        <w:spacing w:after="0" w:line="286" w:lineRule="auto"/>
        <w:rPr>
          <w:rFonts w:ascii="Arial" w:cs="Arial" w:eastAsia="Arial" w:hAnsi="Arial"/>
          <w:sz w:val="17"/>
          <w:szCs w:val="17"/>
          <w:color w:val="auto"/>
        </w:rPr>
      </w:pPr>
      <w:r>
        <w:rPr>
          <w:rFonts w:ascii="Arial" w:cs="Arial" w:eastAsia="Arial" w:hAnsi="Arial"/>
          <w:sz w:val="16"/>
          <w:szCs w:val="16"/>
          <w:color w:val="auto"/>
        </w:rPr>
        <w:t>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Form 10-Q of the SEC,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69" w:lineRule="exact"/>
        <w:rPr>
          <w:rFonts w:ascii="Arial" w:cs="Arial" w:eastAsia="Arial" w:hAnsi="Arial"/>
          <w:sz w:val="17"/>
          <w:szCs w:val="17"/>
          <w:color w:val="auto"/>
        </w:rPr>
      </w:pPr>
    </w:p>
    <w:p>
      <w:pPr>
        <w:ind w:left="2500" w:hanging="420"/>
        <w:spacing w:after="0"/>
        <w:tabs>
          <w:tab w:leader="none" w:pos="25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Parent is in compliance in all material respects with the applicable current listing and governance rules and regulations of</w:t>
      </w:r>
    </w:p>
    <w:p>
      <w:pPr>
        <w:spacing w:after="0" w:line="45"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209" w:lineRule="exact"/>
        <w:rPr>
          <w:rFonts w:ascii="Arial" w:cs="Arial" w:eastAsia="Arial" w:hAnsi="Arial"/>
          <w:sz w:val="16"/>
          <w:szCs w:val="16"/>
          <w:color w:val="auto"/>
        </w:rPr>
      </w:pPr>
    </w:p>
    <w:p>
      <w:pPr>
        <w:ind w:left="140" w:firstLine="1940"/>
        <w:spacing w:after="0" w:line="285" w:lineRule="auto"/>
        <w:tabs>
          <w:tab w:leader="none" w:pos="251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internal control over financial reporting as of June 30, 2017,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3" w:name="page344"/>
    <w:bookmarkEnd w:id="34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140" w:right="20" w:firstLine="1940"/>
        <w:spacing w:after="0" w:line="300" w:lineRule="auto"/>
        <w:tabs>
          <w:tab w:leader="none" w:pos="250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Certifications.</w:t>
      </w:r>
    </w:p>
    <w:p>
      <w:pPr>
        <w:spacing w:after="0" w:line="153" w:lineRule="exact"/>
        <w:rPr>
          <w:sz w:val="20"/>
          <w:szCs w:val="20"/>
          <w:color w:val="auto"/>
        </w:rPr>
      </w:pPr>
    </w:p>
    <w:p>
      <w:pPr>
        <w:ind w:left="140" w:firstLine="1292"/>
        <w:spacing w:after="0" w:line="273"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Absence of Undisclosed Liabilities</w:t>
      </w:r>
      <w:r>
        <w:rPr>
          <w:rFonts w:ascii="Arial" w:cs="Arial" w:eastAsia="Arial" w:hAnsi="Arial"/>
          <w:sz w:val="17"/>
          <w:szCs w:val="17"/>
          <w:color w:val="auto"/>
        </w:rPr>
        <w:t xml:space="preserve">. As of the date hereof, Parent does not have any Liability, individually or in the aggregate, of a type required to be recorded or reflected on a balance sheet or disclosed in the footnotes thereto under GAAP except for: (a) Liabilities disclosed, reflected or reserved against in the Parent Balance Sheet; (b) Liabilities that have been incurred by Parent since the date of the Parent Balance Sheet in the Ordinary Course of Business; (c) Liabilities for performance of obligations of Parent under Parent Contracts; (d) Liabilities incurred in connection with the Contemplated Transactions; (e) Liabilities which would not, individually or in the aggregate, reasonably be expected to be material to the Parent; and (f) Liabilities described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of the Parent Disclosure Schedule.</w:t>
      </w:r>
    </w:p>
    <w:p>
      <w:pPr>
        <w:spacing w:after="0" w:line="173" w:lineRule="exact"/>
        <w:rPr>
          <w:sz w:val="20"/>
          <w:szCs w:val="20"/>
          <w:color w:val="auto"/>
        </w:rPr>
      </w:pPr>
    </w:p>
    <w:p>
      <w:pPr>
        <w:ind w:left="140" w:right="40" w:firstLine="1292"/>
        <w:spacing w:after="0" w:line="276"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b w:val="1"/>
          <w:bCs w:val="1"/>
          <w:u w:val="single" w:color="auto"/>
          <w:color w:val="auto"/>
        </w:rPr>
        <w:t>Absence of Changes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of the Parent Disclosure Schedule, between the Parent Balance Sheet Date and the date of this Agreement, Parent has conducted its business only in the Ordinary Course of Business (except for the execution and performance of this Agreement and the discussions, negotiations and transactions related thereto or to other similar transactions) and there has not been any (a) Parent Material Adverse Effect or (b) action, event or occurrence that would have required the consent of the Company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had such action, event or occurrence taken place after the execution and delivery of this Agreement.</w:t>
      </w:r>
    </w:p>
    <w:p>
      <w:pPr>
        <w:spacing w:after="0" w:line="168" w:lineRule="exact"/>
        <w:rPr>
          <w:sz w:val="20"/>
          <w:szCs w:val="20"/>
          <w:color w:val="auto"/>
        </w:rPr>
      </w:pPr>
    </w:p>
    <w:p>
      <w:pPr>
        <w:ind w:left="140" w:firstLine="1292"/>
        <w:spacing w:after="0" w:line="270"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b w:val="1"/>
          <w:bCs w:val="1"/>
          <w:u w:val="single" w:color="auto"/>
          <w:color w:val="auto"/>
        </w:rPr>
        <w:t>Real Property; Leasehold</w:t>
      </w:r>
      <w:r>
        <w:rPr>
          <w:rFonts w:ascii="Arial" w:cs="Arial" w:eastAsia="Arial" w:hAnsi="Arial"/>
          <w:sz w:val="17"/>
          <w:szCs w:val="17"/>
          <w:color w:val="auto"/>
        </w:rPr>
        <w:t>. Parent does not own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and (b) copies of all leases under which any such real property is possessed (the “</w:t>
      </w:r>
      <w:r>
        <w:rPr>
          <w:rFonts w:ascii="Arial" w:cs="Arial" w:eastAsia="Arial" w:hAnsi="Arial"/>
          <w:sz w:val="17"/>
          <w:szCs w:val="17"/>
          <w:b w:val="1"/>
          <w:bCs w:val="1"/>
          <w:i w:val="1"/>
          <w:iCs w:val="1"/>
          <w:color w:val="auto"/>
        </w:rPr>
        <w:t>Parent Real Estate Leases</w:t>
      </w:r>
      <w:r>
        <w:rPr>
          <w:rFonts w:ascii="Arial" w:cs="Arial" w:eastAsia="Arial" w:hAnsi="Arial"/>
          <w:sz w:val="17"/>
          <w:szCs w:val="17"/>
          <w:color w:val="auto"/>
        </w:rPr>
        <w:t>”), each of which is in full force and effect, with no existing material default thereunder. Parent’s use and operation of each such leased property conforms to all applicable Laws in all material respects, and Parent has exclusive possession of each such leased property and has not granted any occupancy rights to tenants or licensees with respect to such leased property. In addition, each such leased property is free and clear of all Encumbrances other than Permitted Encumbrances. Parent has not received written notice from its landlords or any Governmental Body that: (i) relates to violations of building, zoning, safety or fire ordinances or regulations; (ii) claims any defect or deficiency with respect to any of such properties; or (iii) requests the performance of any repairs, alterations or other work to such properties.</w:t>
      </w:r>
    </w:p>
    <w:p>
      <w:pPr>
        <w:spacing w:after="0" w:line="174" w:lineRule="exact"/>
        <w:rPr>
          <w:sz w:val="20"/>
          <w:szCs w:val="20"/>
          <w:color w:val="auto"/>
        </w:rPr>
      </w:pPr>
    </w:p>
    <w:p>
      <w:pPr>
        <w:ind w:left="140" w:right="220" w:firstLine="1292"/>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Title to Assets</w:t>
      </w:r>
      <w:r>
        <w:rPr>
          <w:rFonts w:ascii="Arial" w:cs="Arial" w:eastAsia="Arial" w:hAnsi="Arial"/>
          <w:sz w:val="18"/>
          <w:szCs w:val="18"/>
          <w:color w:val="auto"/>
        </w:rPr>
        <w:t>. Parent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on the Parent Balance Sheet; and (b) all other assets reflected in the books and records of the Parent as being owned by Parent. All of such assets are owned or, in the case of leased assets, leased by Parent free and clear of any Encumbrances, other than Permitted Encumbrances.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4" w:name="page345"/>
    <w:bookmarkEnd w:id="34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w:t>
      </w:r>
    </w:p>
    <w:p>
      <w:pPr>
        <w:spacing w:after="0" w:line="228" w:lineRule="exact"/>
        <w:rPr>
          <w:sz w:val="20"/>
          <w:szCs w:val="20"/>
          <w:color w:val="auto"/>
        </w:rPr>
      </w:pPr>
    </w:p>
    <w:p>
      <w:pPr>
        <w:ind w:left="140" w:right="260" w:firstLine="1940"/>
        <w:spacing w:after="0" w:line="258" w:lineRule="auto"/>
        <w:tabs>
          <w:tab w:leader="none" w:pos="25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Parent owns, or has the legal and valid right to use, as currently being used by Parent, all Parent IP Rights, and with respect to Parent IP Rights that are owned by Parent, has the right to bring actions for the infringement of such Parent IP Rights, in each case except for any failure to own, have such rights to use, or have such rights to bring actions for infringement that would not reasonably be expected to be material to Parent or its business.</w:t>
      </w:r>
    </w:p>
    <w:p>
      <w:pPr>
        <w:spacing w:after="0" w:line="186" w:lineRule="exact"/>
        <w:rPr>
          <w:rFonts w:ascii="Arial" w:cs="Arial" w:eastAsia="Arial" w:hAnsi="Arial"/>
          <w:sz w:val="18"/>
          <w:szCs w:val="18"/>
          <w:color w:val="auto"/>
        </w:rPr>
      </w:pPr>
    </w:p>
    <w:p>
      <w:pPr>
        <w:ind w:left="140" w:right="20" w:firstLine="1940"/>
        <w:spacing w:after="0" w:line="254" w:lineRule="auto"/>
        <w:tabs>
          <w:tab w:leader="none" w:pos="2511"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of the Parent Disclosure Schedule sets forth an accurate, true and complete listing of all Parent Registered IP, and, specifying as to each such item, as applicable, the owner(s) of record (and, in the case of domain names, the registrar), jurisdiction of application and/or registration, the application and/or registration number, the date of application and/or registration, and the status of application and/or registration. Each item of Parent IP Rights that is Parent Registered IP is and at all times has been filed and maintained in compliance with all applicable Law and all filings, payments, and other actions required to be made or taken to maintain such item of Parent Registered IP in full force and effect have been made by the applicable deadline, except for any failure to perform any of the foregoing, individually or collectively, that would not reasonably be expected to be material to the Parent or its business.</w:t>
      </w:r>
    </w:p>
    <w:p>
      <w:pPr>
        <w:spacing w:after="0" w:line="189" w:lineRule="exact"/>
        <w:rPr>
          <w:rFonts w:ascii="Arial" w:cs="Arial" w:eastAsia="Arial" w:hAnsi="Arial"/>
          <w:sz w:val="18"/>
          <w:szCs w:val="18"/>
          <w:color w:val="auto"/>
        </w:rPr>
      </w:pPr>
    </w:p>
    <w:p>
      <w:pPr>
        <w:ind w:left="140" w:firstLine="1940"/>
        <w:spacing w:after="0" w:line="271" w:lineRule="auto"/>
        <w:tabs>
          <w:tab w:leader="none" w:pos="2501"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Section 3.12(c)</w:t>
      </w:r>
      <w:r>
        <w:rPr>
          <w:rFonts w:ascii="Arial" w:cs="Arial" w:eastAsia="Arial" w:hAnsi="Arial"/>
          <w:sz w:val="17"/>
          <w:szCs w:val="17"/>
          <w:color w:val="auto"/>
        </w:rPr>
        <w:t xml:space="preserve"> of the Parent Disclosure Schedule accurately identifies (i) all Parent Contracts pursuant to which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Parent’s products or services, (B) any Intellectual Property licensed ancillary to the purchase or use of equipment, reagents or other materials and (C) any confidential information provided under confidentiality agreements), and (ii) whether the license or licenses granted to Parent are exclusive or non-exclusive. For purposes of greater certainty, the term “license” in this </w:t>
      </w:r>
      <w:r>
        <w:rPr>
          <w:rFonts w:ascii="Arial" w:cs="Arial" w:eastAsia="Arial" w:hAnsi="Arial"/>
          <w:sz w:val="17"/>
          <w:szCs w:val="17"/>
          <w:u w:val="single" w:color="auto"/>
          <w:color w:val="auto"/>
        </w:rPr>
        <w:t>Section 3.12(c)</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3.12(d)</w:t>
      </w:r>
      <w:r>
        <w:rPr>
          <w:rFonts w:ascii="Arial" w:cs="Arial" w:eastAsia="Arial" w:hAnsi="Arial"/>
          <w:sz w:val="17"/>
          <w:szCs w:val="17"/>
          <w:color w:val="auto"/>
        </w:rPr>
        <w:t xml:space="preserve"> includes any license, sublicense, covenant, non-assert, consent, release or waiver.</w:t>
      </w:r>
    </w:p>
    <w:p>
      <w:pPr>
        <w:spacing w:after="0" w:line="177" w:lineRule="exact"/>
        <w:rPr>
          <w:rFonts w:ascii="Arial" w:cs="Arial" w:eastAsia="Arial" w:hAnsi="Arial"/>
          <w:sz w:val="17"/>
          <w:szCs w:val="17"/>
          <w:color w:val="auto"/>
        </w:rPr>
      </w:pPr>
    </w:p>
    <w:p>
      <w:pPr>
        <w:jc w:val="both"/>
        <w:ind w:left="140" w:firstLine="1940"/>
        <w:spacing w:after="0" w:line="278" w:lineRule="auto"/>
        <w:tabs>
          <w:tab w:leader="none" w:pos="2511"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Section 3.12(d)</w:t>
      </w:r>
      <w:r>
        <w:rPr>
          <w:rFonts w:ascii="Arial" w:cs="Arial" w:eastAsia="Arial" w:hAnsi="Arial"/>
          <w:sz w:val="17"/>
          <w:szCs w:val="17"/>
          <w:color w:val="auto"/>
        </w:rPr>
        <w:t xml:space="preserve"> of the Parent Disclosure Schedule accurately identifies each Parent Contract pursuant to which Parent has granted any license under, or any right (whether or not currently exercisable) or interest in, any Parent IP Rights owned by Parent to any Person (other than any Parent IP Rights non-exclusively licensed to (A) customers in the Ordinary Course of Business, and (B) suppliers or service providers for the sole purpose of enabling such suppliers or service providers to provide products and services for Parent’s benefit).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5" w:name="page346"/>
    <w:bookmarkEnd w:id="34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20" w:firstLine="1940"/>
        <w:spacing w:after="0" w:line="295" w:lineRule="auto"/>
        <w:tabs>
          <w:tab w:leader="none" w:pos="2501"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3.12(e)</w:t>
      </w:r>
      <w:r>
        <w:rPr>
          <w:rFonts w:ascii="Arial" w:cs="Arial" w:eastAsia="Arial" w:hAnsi="Arial"/>
          <w:sz w:val="16"/>
          <w:szCs w:val="16"/>
          <w:color w:val="auto"/>
        </w:rPr>
        <w:t xml:space="preserve"> of the Parent Disclosure Schedule, Parent is not bound by, and no Parent IP Rights owned by Parent are subject to, any Parent Contract, or, with respect to Parent IP Rights licensed to Parent, to the Knowledge of Parent, containing any covenant or other provision, or any judicial, administrative or arbitral order, judgment, award, order, decree, injunction, settlement or stipulation, that in any way limits or restricts the ability of Parent to use, exploit, assert, enforce, sell, transfer or dispose of any such Parent IP Rights anywhere in the world, in each case, in a manner that would materially limit the business of Parent as currently conducted or planned to be conducted.</w:t>
      </w:r>
    </w:p>
    <w:p>
      <w:pPr>
        <w:spacing w:after="0" w:line="161" w:lineRule="exact"/>
        <w:rPr>
          <w:rFonts w:ascii="Arial" w:cs="Arial" w:eastAsia="Arial" w:hAnsi="Arial"/>
          <w:sz w:val="16"/>
          <w:szCs w:val="16"/>
          <w:color w:val="auto"/>
        </w:rPr>
      </w:pPr>
    </w:p>
    <w:p>
      <w:pPr>
        <w:ind w:left="140" w:firstLine="1940"/>
        <w:spacing w:after="0" w:line="262" w:lineRule="auto"/>
        <w:tabs>
          <w:tab w:leader="none" w:pos="248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Except as identified in </w:t>
      </w:r>
      <w:r>
        <w:rPr>
          <w:rFonts w:ascii="Arial" w:cs="Arial" w:eastAsia="Arial" w:hAnsi="Arial"/>
          <w:sz w:val="18"/>
          <w:szCs w:val="18"/>
          <w:u w:val="single" w:color="auto"/>
          <w:color w:val="auto"/>
        </w:rPr>
        <w:t>Section 3.12(f)</w:t>
      </w:r>
      <w:r>
        <w:rPr>
          <w:rFonts w:ascii="Arial" w:cs="Arial" w:eastAsia="Arial" w:hAnsi="Arial"/>
          <w:sz w:val="18"/>
          <w:szCs w:val="18"/>
          <w:color w:val="auto"/>
        </w:rPr>
        <w:t xml:space="preserve"> of the Parent Disclosure Schedule, Parent is the sole and unrestricted legal and beneficial owner of all right, title, and interest to and in Parent IP Rights purported to be owned by Parent, free and clear of any Encumbrances (other than Permitted Encumbrances). Without limiting the generality of the foregoing:</w:t>
      </w:r>
    </w:p>
    <w:p>
      <w:pPr>
        <w:spacing w:after="0" w:line="183" w:lineRule="exact"/>
        <w:rPr>
          <w:rFonts w:ascii="Arial" w:cs="Arial" w:eastAsia="Arial" w:hAnsi="Arial"/>
          <w:sz w:val="18"/>
          <w:szCs w:val="18"/>
          <w:color w:val="auto"/>
        </w:rPr>
      </w:pPr>
    </w:p>
    <w:p>
      <w:pPr>
        <w:ind w:left="780" w:right="180" w:firstLine="1946"/>
        <w:spacing w:after="0" w:line="310" w:lineRule="auto"/>
        <w:tabs>
          <w:tab w:leader="none" w:pos="320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Each Person who is or was an employee or contractor of Parent and who is or was involved in the creation or development of any material Parent IP Rights purported to be owned by Parent has signed a valid, enforceable agreement containing an assignment of such Parent IP Rights to Parent and confidentiality provisions protecting Trade Secrets and confidential information of Parent.</w:t>
      </w:r>
    </w:p>
    <w:p>
      <w:pPr>
        <w:spacing w:after="0" w:line="148" w:lineRule="exact"/>
        <w:rPr>
          <w:rFonts w:ascii="Arial" w:cs="Arial" w:eastAsia="Arial" w:hAnsi="Arial"/>
          <w:sz w:val="16"/>
          <w:szCs w:val="16"/>
          <w:color w:val="auto"/>
        </w:rPr>
      </w:pPr>
    </w:p>
    <w:p>
      <w:pPr>
        <w:ind w:left="780" w:right="100" w:firstLine="1946"/>
        <w:spacing w:after="0" w:line="295" w:lineRule="auto"/>
        <w:tabs>
          <w:tab w:leader="none" w:pos="3206" w:val="left"/>
        </w:tabs>
        <w:numPr>
          <w:ilvl w:val="1"/>
          <w:numId w:val="275"/>
        </w:numPr>
        <w:rPr>
          <w:rFonts w:ascii="Arial" w:cs="Arial" w:eastAsia="Arial" w:hAnsi="Arial"/>
          <w:sz w:val="16"/>
          <w:szCs w:val="16"/>
          <w:color w:val="auto"/>
        </w:rPr>
      </w:pPr>
      <w:r>
        <w:rPr>
          <w:rFonts w:ascii="Arial" w:cs="Arial" w:eastAsia="Arial" w:hAnsi="Arial"/>
          <w:sz w:val="16"/>
          <w:szCs w:val="16"/>
          <w:color w:val="auto"/>
        </w:rPr>
        <w:t>No current or former stockholder, officer, director, or employee of Parent has any claim, right (whether or not currently exercisable), or interest to or in any Parent IP Rights purported to be owned by Parent. To the Knowledge of Parent, no employee of Parent is (a) bound by or otherwise subject to any Contract restricting him or her from performing his or her duties for Parent or (b) in breach of any Contract with any former employer or other Person concerning Parent IP Rights purported to be owned by Parent or confidentiality provisions protecting Trade Secrets and confidential information comprising Parent IP Rights purported to be owned by Parent.</w:t>
      </w:r>
    </w:p>
    <w:p>
      <w:pPr>
        <w:spacing w:after="0" w:line="161" w:lineRule="exact"/>
        <w:rPr>
          <w:rFonts w:ascii="Arial" w:cs="Arial" w:eastAsia="Arial" w:hAnsi="Arial"/>
          <w:sz w:val="16"/>
          <w:szCs w:val="16"/>
          <w:color w:val="auto"/>
        </w:rPr>
      </w:pPr>
    </w:p>
    <w:p>
      <w:pPr>
        <w:ind w:left="780" w:right="60" w:firstLine="1946"/>
        <w:spacing w:after="0" w:line="295" w:lineRule="auto"/>
        <w:tabs>
          <w:tab w:leader="none" w:pos="321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Except as identified in </w:t>
      </w:r>
      <w:r>
        <w:rPr>
          <w:rFonts w:ascii="Arial" w:cs="Arial" w:eastAsia="Arial" w:hAnsi="Arial"/>
          <w:sz w:val="16"/>
          <w:szCs w:val="16"/>
          <w:u w:val="single" w:color="auto"/>
          <w:color w:val="auto"/>
        </w:rPr>
        <w:t>Section 3.12(f)(iii)</w:t>
      </w:r>
      <w:r>
        <w:rPr>
          <w:rFonts w:ascii="Arial" w:cs="Arial" w:eastAsia="Arial" w:hAnsi="Arial"/>
          <w:sz w:val="16"/>
          <w:szCs w:val="16"/>
          <w:color w:val="auto"/>
        </w:rPr>
        <w:t xml:space="preserve"> of the Parent Disclosure Schedule, no Parent IP Rights purported to be owned by Parent or, to the Knowledge of Parent, Parent IP Rights licensed to Parent were developed, in whole or in part (A) pursuant to or in connection with the development of any professional, technical or industry standard, (B) under contract with or using the resources of any Governmental Body, academic institution or other entity that would cause such Parent IP Rights to be owned by or licensed to (in whole or in part) such Governmental Body, academic institution or other entity or (C) under any grants or other funding arrangements with third parties.</w:t>
      </w:r>
    </w:p>
    <w:p>
      <w:pPr>
        <w:spacing w:after="0" w:line="161" w:lineRule="exact"/>
        <w:rPr>
          <w:rFonts w:ascii="Arial" w:cs="Arial" w:eastAsia="Arial" w:hAnsi="Arial"/>
          <w:sz w:val="16"/>
          <w:szCs w:val="16"/>
          <w:color w:val="auto"/>
        </w:rPr>
      </w:pPr>
    </w:p>
    <w:p>
      <w:pPr>
        <w:ind w:left="780" w:right="40" w:firstLine="1946"/>
        <w:spacing w:after="0" w:line="310" w:lineRule="auto"/>
        <w:tabs>
          <w:tab w:leader="none" w:pos="3201" w:val="left"/>
        </w:tabs>
        <w:numPr>
          <w:ilvl w:val="1"/>
          <w:numId w:val="275"/>
        </w:numPr>
        <w:rPr>
          <w:rFonts w:ascii="Arial" w:cs="Arial" w:eastAsia="Arial" w:hAnsi="Arial"/>
          <w:sz w:val="16"/>
          <w:szCs w:val="16"/>
          <w:color w:val="auto"/>
        </w:rPr>
      </w:pPr>
      <w:r>
        <w:rPr>
          <w:rFonts w:ascii="Arial" w:cs="Arial" w:eastAsia="Arial" w:hAnsi="Arial"/>
          <w:sz w:val="16"/>
          <w:szCs w:val="16"/>
          <w:color w:val="auto"/>
        </w:rPr>
        <w:t>Parent has taken commercially reasonable steps to protect and maintain the Parent IP Rights, including to preserve the confidentiality of all proprietary information that Parent holds, or purports to hold, as a material Trade Secret. Any disclosure by Parent of material Trade Secrets to any third party has been pursuant to the terms of a written agreement with such Person or is otherwise lawful.</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346" w:name="page347"/>
    <w:bookmarkEnd w:id="34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780" w:firstLine="1946"/>
        <w:spacing w:after="0" w:line="310" w:lineRule="auto"/>
        <w:tabs>
          <w:tab w:leader="none" w:pos="315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Parent has not assigned, sold or otherwise transferred ownership of, or agreed to assign, sell or otherwise transfer ownership of, any material Parent IP Rights owned or purported to be owned by or exclusively licensed to Parent to any other Person, and there exists no obligation by Parent to assign, sell or otherwise transfer ownership of any material Parent IP Rights to any third party.</w:t>
      </w:r>
    </w:p>
    <w:p>
      <w:pPr>
        <w:spacing w:after="0" w:line="148" w:lineRule="exact"/>
        <w:rPr>
          <w:rFonts w:ascii="Arial" w:cs="Arial" w:eastAsia="Arial" w:hAnsi="Arial"/>
          <w:sz w:val="16"/>
          <w:szCs w:val="16"/>
          <w:color w:val="auto"/>
        </w:rPr>
      </w:pPr>
    </w:p>
    <w:p>
      <w:pPr>
        <w:ind w:left="780" w:right="560" w:firstLine="1946"/>
        <w:spacing w:after="0" w:line="276" w:lineRule="auto"/>
        <w:tabs>
          <w:tab w:leader="none" w:pos="3198"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To the Knowledge of Parent, the Parent IP Rights are valid and enforceable and constitute all Intellectual Property necessary for Parent to conduct its business as currently conducted.</w:t>
      </w:r>
    </w:p>
    <w:p>
      <w:pPr>
        <w:spacing w:after="0" w:line="169" w:lineRule="exact"/>
        <w:rPr>
          <w:rFonts w:ascii="Arial" w:cs="Arial" w:eastAsia="Arial" w:hAnsi="Arial"/>
          <w:sz w:val="18"/>
          <w:szCs w:val="18"/>
          <w:color w:val="auto"/>
        </w:rPr>
      </w:pPr>
    </w:p>
    <w:p>
      <w:pPr>
        <w:ind w:left="140" w:right="40" w:firstLine="1940"/>
        <w:spacing w:after="0" w:line="272" w:lineRule="auto"/>
        <w:tabs>
          <w:tab w:leader="none" w:pos="250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manufacture, marketing, license, sale or intended use of any product or technology currently licensed, sold or developed by Parent does not violate any license or agreement between Parent and any third party, and does not infringe or misappropriate any Intellectual Property right of any third party as of the date hereof, which infringement or misappropriation would reasonably be expected to be material to Parent or its business. To the Knowledge of Parent, no third party is infringing upon any Parent IP Rights or violating any license or agreement between Parent and such third party, and Parent has not sent any written communication to or asserted or threatened in writing any action or claim against any Person involving or relating to the infringement or misappropriation of any Parent IP Rights.</w:t>
      </w:r>
    </w:p>
    <w:p>
      <w:pPr>
        <w:spacing w:after="0" w:line="178" w:lineRule="exact"/>
        <w:rPr>
          <w:rFonts w:ascii="Arial" w:cs="Arial" w:eastAsia="Arial" w:hAnsi="Arial"/>
          <w:sz w:val="17"/>
          <w:szCs w:val="17"/>
          <w:color w:val="auto"/>
        </w:rPr>
      </w:pPr>
    </w:p>
    <w:p>
      <w:pPr>
        <w:ind w:left="140" w:right="160" w:firstLine="1940"/>
        <w:spacing w:after="0" w:line="254" w:lineRule="auto"/>
        <w:tabs>
          <w:tab w:leader="none" w:pos="25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any opposition, interference, inter partes review, or other proceeding in any patent or other government office) contesting the validity, ownership or right to use, sell, license or dispose of any Parent IP Rights owned by Parent or any of Parent’s products or technologies, or, to the Knowledge of Parent, any Parent IP Rights licensed to Parent. Parent has not received any written notice asserting or suggesting that any such Parent IP Rights, or Parent’s right to use, sell, license or dispose of any such Parent IP Rights or products or technologies conflicts with or infringes or misappropriates or will conflict with or infringe or misappropriate the rights of any other Person.</w:t>
      </w:r>
    </w:p>
    <w:p>
      <w:pPr>
        <w:spacing w:after="0" w:line="192" w:lineRule="exact"/>
        <w:rPr>
          <w:rFonts w:ascii="Arial" w:cs="Arial" w:eastAsia="Arial" w:hAnsi="Arial"/>
          <w:sz w:val="18"/>
          <w:szCs w:val="18"/>
          <w:color w:val="auto"/>
        </w:rPr>
      </w:pPr>
    </w:p>
    <w:p>
      <w:pPr>
        <w:ind w:left="140" w:right="180" w:firstLine="1940"/>
        <w:spacing w:after="0" w:line="258" w:lineRule="auto"/>
        <w:tabs>
          <w:tab w:leader="none" w:pos="247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Except as set forth in the Contracts listed on </w:t>
      </w:r>
      <w:r>
        <w:rPr>
          <w:rFonts w:ascii="Arial" w:cs="Arial" w:eastAsia="Arial" w:hAnsi="Arial"/>
          <w:sz w:val="18"/>
          <w:szCs w:val="18"/>
          <w:u w:val="single" w:color="auto"/>
          <w:color w:val="auto"/>
        </w:rPr>
        <w:t>Section 3.12(i)</w:t>
      </w:r>
      <w:r>
        <w:rPr>
          <w:rFonts w:ascii="Arial" w:cs="Arial" w:eastAsia="Arial" w:hAnsi="Arial"/>
          <w:sz w:val="18"/>
          <w:szCs w:val="18"/>
          <w:color w:val="auto"/>
        </w:rPr>
        <w:t xml:space="preserve"> of the Parent Disclosure Schedule, Parent has not ever assumed, or agreed to discharge or otherwise take responsibility for, any existing or potential liability of another Person for infringement, misappropriation, or violation of any Intellectual Property right, which assumption, agreement or responsibility is material and remains in force as of the date of this Agreement.</w:t>
      </w:r>
    </w:p>
    <w:p>
      <w:pPr>
        <w:spacing w:after="0" w:line="183" w:lineRule="exact"/>
        <w:rPr>
          <w:sz w:val="20"/>
          <w:szCs w:val="20"/>
          <w:color w:val="auto"/>
        </w:rPr>
      </w:pPr>
    </w:p>
    <w:p>
      <w:pPr>
        <w:ind w:left="140" w:right="20" w:firstLine="1292"/>
        <w:spacing w:after="0" w:line="280"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u w:val="single" w:color="auto"/>
          <w:color w:val="auto"/>
        </w:rPr>
        <w:t>Agreements, Contracts and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Parent Disclosure Schedule identifies each Parent Contract that is in effect as of the date of this Agreement (other than any Parent Benefit Plan) and is:</w:t>
      </w:r>
    </w:p>
    <w:p>
      <w:pPr>
        <w:spacing w:after="0" w:line="167" w:lineRule="exact"/>
        <w:rPr>
          <w:sz w:val="20"/>
          <w:szCs w:val="20"/>
          <w:color w:val="auto"/>
        </w:rPr>
      </w:pPr>
    </w:p>
    <w:p>
      <w:pPr>
        <w:ind w:left="2500" w:hanging="420"/>
        <w:spacing w:after="0"/>
        <w:tabs>
          <w:tab w:leader="none" w:pos="25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material contract as defined in Item 601(b)(10) of Regulation S-K as promulgated under the Securities Act;</w:t>
      </w:r>
    </w:p>
    <w:p>
      <w:pPr>
        <w:spacing w:after="0" w:line="223" w:lineRule="exact"/>
        <w:rPr>
          <w:rFonts w:ascii="Arial" w:cs="Arial" w:eastAsia="Arial" w:hAnsi="Arial"/>
          <w:sz w:val="18"/>
          <w:szCs w:val="18"/>
          <w:color w:val="auto"/>
        </w:rPr>
      </w:pPr>
    </w:p>
    <w:p>
      <w:pPr>
        <w:ind w:left="2520" w:hanging="440"/>
        <w:spacing w:after="0"/>
        <w:tabs>
          <w:tab w:leader="none" w:pos="25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Contract relating to any agreement of indemnification or guaranty not entered into in the Ordinary Course of</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Business;</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7" w:name="page348"/>
    <w:bookmarkEnd w:id="34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240" w:firstLine="1940"/>
        <w:spacing w:after="0" w:line="306" w:lineRule="auto"/>
        <w:tabs>
          <w:tab w:leader="none" w:pos="250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each Contract containing (A) any covenant limiting the freedom of Parent to engage in any line of business or compete with any Person, (B) any most-favored pricing arrangement, (C) any exclusivity provision, or (D) any non-solicitation provision;</w:t>
      </w:r>
    </w:p>
    <w:p>
      <w:pPr>
        <w:spacing w:after="0" w:line="147" w:lineRule="exact"/>
        <w:rPr>
          <w:rFonts w:ascii="Arial" w:cs="Arial" w:eastAsia="Arial" w:hAnsi="Arial"/>
          <w:sz w:val="17"/>
          <w:szCs w:val="17"/>
          <w:color w:val="auto"/>
        </w:rPr>
      </w:pPr>
    </w:p>
    <w:p>
      <w:pPr>
        <w:ind w:left="2520" w:hanging="440"/>
        <w:spacing w:after="0"/>
        <w:tabs>
          <w:tab w:leader="none" w:pos="252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each Contract relating to capital expenditures and requiring payments after the date of this Agreement in excess of</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$250,000 pursuant to its express terms and not cancelable without penalty;</w:t>
      </w:r>
    </w:p>
    <w:p>
      <w:pPr>
        <w:spacing w:after="0" w:line="209" w:lineRule="exact"/>
        <w:rPr>
          <w:sz w:val="20"/>
          <w:szCs w:val="20"/>
          <w:color w:val="auto"/>
        </w:rPr>
      </w:pPr>
    </w:p>
    <w:p>
      <w:pPr>
        <w:ind w:left="2500" w:hanging="420"/>
        <w:spacing w:after="0"/>
        <w:tabs>
          <w:tab w:leader="none" w:pos="25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each Contract relating to the disposition or acquisition of material assets or any ownership interest in any Entity;</w:t>
      </w:r>
    </w:p>
    <w:p>
      <w:pPr>
        <w:spacing w:after="0" w:line="235" w:lineRule="exact"/>
        <w:rPr>
          <w:rFonts w:ascii="Arial" w:cs="Arial" w:eastAsia="Arial" w:hAnsi="Arial"/>
          <w:sz w:val="17"/>
          <w:szCs w:val="17"/>
          <w:color w:val="auto"/>
        </w:rPr>
      </w:pPr>
    </w:p>
    <w:p>
      <w:pPr>
        <w:ind w:left="140" w:right="200" w:firstLine="1940"/>
        <w:spacing w:after="0" w:line="262" w:lineRule="auto"/>
        <w:tabs>
          <w:tab w:leader="none" w:pos="248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Contract relating to any mortgages, indentures, loans, notes or credit agreements, security agreements or other agreements or instruments relating to the borrowing of money or extension of credit or creating any material Encumbrances with respect to any assets of Parent or any loans or debt obligations with officers or directors of Parent;</w:t>
      </w:r>
    </w:p>
    <w:p>
      <w:pPr>
        <w:spacing w:after="0" w:line="183" w:lineRule="exact"/>
        <w:rPr>
          <w:rFonts w:ascii="Arial" w:cs="Arial" w:eastAsia="Arial" w:hAnsi="Arial"/>
          <w:sz w:val="18"/>
          <w:szCs w:val="18"/>
          <w:color w:val="auto"/>
        </w:rPr>
      </w:pPr>
    </w:p>
    <w:p>
      <w:pPr>
        <w:ind w:left="140" w:firstLine="1940"/>
        <w:spacing w:after="0" w:line="253" w:lineRule="auto"/>
        <w:tabs>
          <w:tab w:leader="none" w:pos="25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Contract requiring payment by or to Parent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has continuing obligations to develop or market any product, technology or service, or any agreement pursuant to which Parent has continuing obligations to develop any Intellectual Property that will not be owned, in whole or in part, by Parent; or (D) any Contract to license any third party to manufacture or produce any product, service or technology of Parent or any Contract to sell, distribute or commercialize any products or service of Parent, in each case, except for Contracts entered into in the Ordinary Course of Business;</w:t>
      </w:r>
    </w:p>
    <w:p>
      <w:pPr>
        <w:spacing w:after="0" w:line="192" w:lineRule="exact"/>
        <w:rPr>
          <w:rFonts w:ascii="Arial" w:cs="Arial" w:eastAsia="Arial" w:hAnsi="Arial"/>
          <w:sz w:val="18"/>
          <w:szCs w:val="18"/>
          <w:color w:val="auto"/>
        </w:rPr>
      </w:pPr>
    </w:p>
    <w:p>
      <w:pPr>
        <w:ind w:left="140" w:right="600" w:firstLine="1940"/>
        <w:spacing w:after="0" w:line="276" w:lineRule="auto"/>
        <w:tabs>
          <w:tab w:leader="none" w:pos="25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Contract with any Person, including any financial advisor, broker, finder, investment banker or other Person, providing advisory services to Parent in connection with the Contemplated Transactions;</w:t>
      </w:r>
    </w:p>
    <w:p>
      <w:pPr>
        <w:spacing w:after="0" w:line="169" w:lineRule="exact"/>
        <w:rPr>
          <w:rFonts w:ascii="Arial" w:cs="Arial" w:eastAsia="Arial" w:hAnsi="Arial"/>
          <w:sz w:val="18"/>
          <w:szCs w:val="18"/>
          <w:color w:val="auto"/>
        </w:rPr>
      </w:pPr>
    </w:p>
    <w:p>
      <w:pPr>
        <w:ind w:left="2480" w:hanging="400"/>
        <w:spacing w:after="0"/>
        <w:tabs>
          <w:tab w:leader="none" w:pos="2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Parent Real Estate Lease;</w:t>
      </w:r>
    </w:p>
    <w:p>
      <w:pPr>
        <w:spacing w:after="0" w:line="223" w:lineRule="exact"/>
        <w:rPr>
          <w:rFonts w:ascii="Arial" w:cs="Arial" w:eastAsia="Arial" w:hAnsi="Arial"/>
          <w:sz w:val="18"/>
          <w:szCs w:val="18"/>
          <w:color w:val="auto"/>
        </w:rPr>
      </w:pPr>
    </w:p>
    <w:p>
      <w:pPr>
        <w:ind w:left="2480" w:hanging="400"/>
        <w:spacing w:after="0"/>
        <w:tabs>
          <w:tab w:leader="none" w:pos="2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Contract with any Governmental Body;</w:t>
      </w:r>
    </w:p>
    <w:p>
      <w:pPr>
        <w:spacing w:after="0" w:line="223" w:lineRule="exact"/>
        <w:rPr>
          <w:rFonts w:ascii="Arial" w:cs="Arial" w:eastAsia="Arial" w:hAnsi="Arial"/>
          <w:sz w:val="18"/>
          <w:szCs w:val="18"/>
          <w:color w:val="auto"/>
        </w:rPr>
      </w:pPr>
    </w:p>
    <w:p>
      <w:pPr>
        <w:ind w:left="2520" w:hanging="440"/>
        <w:spacing w:after="0"/>
        <w:tabs>
          <w:tab w:leader="none" w:pos="25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each Contract required to be listed on </w:t>
      </w:r>
      <w:r>
        <w:rPr>
          <w:rFonts w:ascii="Arial" w:cs="Arial" w:eastAsia="Arial" w:hAnsi="Arial"/>
          <w:sz w:val="18"/>
          <w:szCs w:val="18"/>
          <w:u w:val="single" w:color="auto"/>
          <w:color w:val="auto"/>
        </w:rPr>
        <w:t>Section 3.12(c)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3.12(d)</w:t>
      </w:r>
      <w:r>
        <w:rPr>
          <w:rFonts w:ascii="Arial" w:cs="Arial" w:eastAsia="Arial" w:hAnsi="Arial"/>
          <w:sz w:val="18"/>
          <w:szCs w:val="18"/>
          <w:color w:val="auto"/>
        </w:rPr>
        <w:t xml:space="preserve"> of the Parent Disclosure Schedule;</w:t>
      </w:r>
    </w:p>
    <w:p>
      <w:pPr>
        <w:spacing w:after="0" w:line="223" w:lineRule="exact"/>
        <w:rPr>
          <w:rFonts w:ascii="Arial" w:cs="Arial" w:eastAsia="Arial" w:hAnsi="Arial"/>
          <w:sz w:val="18"/>
          <w:szCs w:val="18"/>
          <w:color w:val="auto"/>
        </w:rPr>
      </w:pPr>
    </w:p>
    <w:p>
      <w:pPr>
        <w:ind w:left="2480" w:hanging="400"/>
        <w:spacing w:after="0"/>
        <w:tabs>
          <w:tab w:leader="none" w:pos="24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each Contract containing any royalty, dividend or similar arrangement based on the revenues or profits of Parent; or</w:t>
      </w:r>
    </w:p>
    <w:p>
      <w:pPr>
        <w:spacing w:after="0" w:line="235" w:lineRule="exact"/>
        <w:rPr>
          <w:rFonts w:ascii="Arial" w:cs="Arial" w:eastAsia="Arial" w:hAnsi="Arial"/>
          <w:sz w:val="17"/>
          <w:szCs w:val="17"/>
          <w:color w:val="auto"/>
        </w:rPr>
      </w:pPr>
    </w:p>
    <w:p>
      <w:pPr>
        <w:ind w:left="140" w:right="60" w:firstLine="1940"/>
        <w:spacing w:after="0" w:line="310" w:lineRule="auto"/>
        <w:tabs>
          <w:tab w:leader="none" w:pos="256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any other Contract that is not terminable at will (with no penalty or payment) by Parent and (A) which involves payment or receipt by Parent after the date of this Agreement under any such agreement, contract or commitment of more than $250,000 in the aggregate, or obligations after the date of this Agreement in excess of $250,000 in the aggregate, or (B) that is material to the business or operations of Parent.</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48" w:name="page349"/>
    <w:bookmarkEnd w:id="34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spacing w:after="0" w:line="269" w:lineRule="auto"/>
        <w:rPr>
          <w:sz w:val="20"/>
          <w:szCs w:val="20"/>
          <w:color w:val="auto"/>
        </w:rPr>
      </w:pPr>
      <w:r>
        <w:rPr>
          <w:rFonts w:ascii="Arial" w:cs="Arial" w:eastAsia="Arial" w:hAnsi="Arial"/>
          <w:sz w:val="17"/>
          <w:szCs w:val="17"/>
          <w:color w:val="auto"/>
        </w:rPr>
        <w:t>Parent has delivered or made available to the Company accurate and complete copies of all Contracts to which Parent is a party or by which it is bound of the type described in the foregoing clauses (a)-(m) (any such Contract, a “</w:t>
      </w:r>
      <w:r>
        <w:rPr>
          <w:rFonts w:ascii="Arial" w:cs="Arial" w:eastAsia="Arial" w:hAnsi="Arial"/>
          <w:sz w:val="17"/>
          <w:szCs w:val="17"/>
          <w:b w:val="1"/>
          <w:bCs w:val="1"/>
          <w:i w:val="1"/>
          <w:iCs w:val="1"/>
          <w:color w:val="auto"/>
        </w:rPr>
        <w:t>Parent Material Contract</w:t>
      </w:r>
      <w:r>
        <w:rPr>
          <w:rFonts w:ascii="Arial" w:cs="Arial" w:eastAsia="Arial" w:hAnsi="Arial"/>
          <w:sz w:val="17"/>
          <w:szCs w:val="17"/>
          <w:color w:val="auto"/>
        </w:rPr>
        <w:t>”). There are no Parent Material Contracts that are not in written form. Parent has not nor, to Parent’s Knowledge, as of the date of this Agreement, has any other party to a Parent Material Contract, breached, violated or defaulted under, or received written notice that it breached, violated or defaulted under, any of the terms or conditions of any Parent Material Contract in such manner as would permit any other party to cancel or terminate any such Parent Material Contract, or would permit any other party to seek damages which would reasonably be expected to be material to Parent or its business. As to Parent,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77"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b w:val="1"/>
          <w:bCs w:val="1"/>
          <w:u w:val="single" w:color="auto"/>
          <w:color w:val="auto"/>
        </w:rPr>
        <w:t>Compliance; Permits</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69" w:lineRule="auto"/>
        <w:tabs>
          <w:tab w:leader="none" w:pos="250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Parent is, and since January 1, 2013 has been, in compliance in all material respects with all applicable Laws, including the FDCA, the FDA regulations adopted thereunder, the Controlled Substance Act and any other similar Law administered or promulgated by the FDA or other comparable Drug Regulatory Agency, except for any noncompliance, either individually or in the aggregate, which would not be material to Parent. No investigation, claim, suit, proceeding, audit or other action by any Governmental Body is pending or, to the Knowledge of Parent, threatened in writing against Parent. There is no agreement, judgment, injunction, order or decree binding upon Parent which (i) has or would reasonably be expected to have the effect of prohibiting or materially impairing any business practice of Parent, any acquisition of material property by Parent or the conduct of business by Parent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81" w:lineRule="exact"/>
        <w:rPr>
          <w:rFonts w:ascii="Arial" w:cs="Arial" w:eastAsia="Arial" w:hAnsi="Arial"/>
          <w:sz w:val="17"/>
          <w:szCs w:val="17"/>
          <w:color w:val="auto"/>
        </w:rPr>
      </w:pPr>
    </w:p>
    <w:p>
      <w:pPr>
        <w:ind w:left="140" w:right="20" w:firstLine="1940"/>
        <w:spacing w:after="0" w:line="258" w:lineRule="auto"/>
        <w:tabs>
          <w:tab w:leader="none" w:pos="251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Parent hold all required Governmental Authorizations which are material to the operation of the business of Parent as currently conducted (the “</w:t>
      </w:r>
      <w:r>
        <w:rPr>
          <w:rFonts w:ascii="Arial" w:cs="Arial" w:eastAsia="Arial" w:hAnsi="Arial"/>
          <w:sz w:val="18"/>
          <w:szCs w:val="18"/>
          <w:b w:val="1"/>
          <w:bCs w:val="1"/>
          <w:i w:val="1"/>
          <w:iCs w:val="1"/>
          <w:color w:val="auto"/>
        </w:rPr>
        <w:t>Parent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3.14(b)</w:t>
      </w:r>
      <w:r>
        <w:rPr>
          <w:rFonts w:ascii="Arial" w:cs="Arial" w:eastAsia="Arial" w:hAnsi="Arial"/>
          <w:sz w:val="18"/>
          <w:szCs w:val="18"/>
          <w:color w:val="auto"/>
        </w:rPr>
        <w:t xml:space="preserve"> of the Parent Disclosure Schedule identifies each Parent Permit. Parent is in material compliance with the terms of the Parent Permits. No Legal Proceeding is pending or, to the Knowledge of Parent, threatened, which seeks to revoke, limit, suspend, or materially modify any Parent Permit.</w:t>
      </w:r>
    </w:p>
    <w:p>
      <w:pPr>
        <w:spacing w:after="0" w:line="186" w:lineRule="exact"/>
        <w:rPr>
          <w:rFonts w:ascii="Arial" w:cs="Arial" w:eastAsia="Arial" w:hAnsi="Arial"/>
          <w:sz w:val="18"/>
          <w:szCs w:val="18"/>
          <w:color w:val="auto"/>
        </w:rPr>
      </w:pPr>
    </w:p>
    <w:p>
      <w:pPr>
        <w:jc w:val="both"/>
        <w:ind w:left="140" w:right="40" w:firstLine="1940"/>
        <w:spacing w:after="0" w:line="262" w:lineRule="auto"/>
        <w:tabs>
          <w:tab w:leader="none" w:pos="249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There are no proceedings pending or, to the Knowledge of Parent, threatened with respect to an alleged material violation by Parent of the FDCA, FDA regulations adopted thereunder, the Controlled Substance Act or any other similar Law administered or promulgated by any Drug Regulatory Agency.</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49" w:name="page350"/>
    <w:bookmarkEnd w:id="34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6" w:lineRule="auto"/>
        <w:tabs>
          <w:tab w:leader="none" w:pos="251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Parent holds all required Governmental Authorizations issuable by any Drug Regulatory Agency necessary or material to the conduct of the business of Parent as currently conducted, and, as applicable, the development, clinical testing, manufacturing, marketing, distribution and importation or exportation, as currently conducted, of any of its products or product candidates (collectively, the “</w:t>
      </w:r>
      <w:r>
        <w:rPr>
          <w:rFonts w:ascii="Arial" w:cs="Arial" w:eastAsia="Arial" w:hAnsi="Arial"/>
          <w:sz w:val="17"/>
          <w:szCs w:val="17"/>
          <w:b w:val="1"/>
          <w:bCs w:val="1"/>
          <w:i w:val="1"/>
          <w:iCs w:val="1"/>
          <w:color w:val="auto"/>
        </w:rPr>
        <w:t>Parent Products</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Parent Regulatory Permits</w:t>
      </w:r>
      <w:r>
        <w:rPr>
          <w:rFonts w:ascii="Arial" w:cs="Arial" w:eastAsia="Arial" w:hAnsi="Arial"/>
          <w:sz w:val="17"/>
          <w:szCs w:val="17"/>
          <w:color w:val="auto"/>
        </w:rPr>
        <w:t xml:space="preserve">”) and no such Parent Regulatory Permit has been (i) revoked, withdrawn, suspended, cancelled or terminated or (ii) modified in any adverse manner, other than immaterial adverse modifications. Parent is in compliance in all material respects with the Parent Regulatory Permits and has not received any written notice or other written communication, or to the Knowledge of the Parent, any other communication from any Drug Regulatory Agency regarding (A) any material violation of or failure to comply materially with any term or requirement of any Parent Regulatory Permit or (B) any revocation, withdrawal, suspension, cancellation, termination or material modification of any Parent Regulatory Permit. Except for the information and files identified in </w:t>
      </w:r>
      <w:r>
        <w:rPr>
          <w:rFonts w:ascii="Arial" w:cs="Arial" w:eastAsia="Arial" w:hAnsi="Arial"/>
          <w:sz w:val="17"/>
          <w:szCs w:val="17"/>
          <w:u w:val="single" w:color="auto"/>
          <w:color w:val="auto"/>
        </w:rPr>
        <w:t>Section 3.14(d)</w:t>
      </w:r>
      <w:r>
        <w:rPr>
          <w:rFonts w:ascii="Arial" w:cs="Arial" w:eastAsia="Arial" w:hAnsi="Arial"/>
          <w:sz w:val="17"/>
          <w:szCs w:val="17"/>
          <w:color w:val="auto"/>
        </w:rPr>
        <w:t xml:space="preserve"> of the Parent Disclosure Schedule, Parent has made available to the Company all information requested by the Company in Parent’s possession or control relating to the Parent Products and the development, clinical testing, manufacturing, importation and exportation of the Parent Products, including complete copies of the following (to the extent there are any): (x) 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notices, letters, filings, correspondence and meeting minutes with any other Governmental Body. Parent has complied in all material respects with the ICH E9 Guidance for Industry: Statistical Principles for Clinical Trials in the management of the clinical data that have been presented by Parent. To the Knowledge of Parent, there are no facts that would be reasonably likely to result in any warning, untitled or notice of violation letter or Form FDA-483 to Parent or any manufacturer of any Parent Products from the FDA. Parent is not aware of any studies, tests or trials the results of which Parent believes reasonably call into question (i) the study, test or trial results of any Parent Products, (ii) the efficacy or safety of any Parent Products or (iii) any of Parent’s filings with any Governmental Body.</w:t>
      </w:r>
    </w:p>
    <w:p>
      <w:pPr>
        <w:spacing w:after="0" w:line="189" w:lineRule="exact"/>
        <w:rPr>
          <w:rFonts w:ascii="Arial" w:cs="Arial" w:eastAsia="Arial" w:hAnsi="Arial"/>
          <w:sz w:val="17"/>
          <w:szCs w:val="17"/>
          <w:color w:val="auto"/>
        </w:rPr>
      </w:pPr>
    </w:p>
    <w:p>
      <w:pPr>
        <w:ind w:left="140" w:right="100" w:firstLine="1940"/>
        <w:spacing w:after="0" w:line="289" w:lineRule="auto"/>
        <w:tabs>
          <w:tab w:leader="none" w:pos="249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All clinical, pre-clinical and other studies and tests conducted by or on behalf of, or sponsored by, Parent, or in which Parent or its current products or product candidates, including the Parent Products, have participated, were and, if still pending, are being conducted in all material respects in accordance with standard medical and scientific research procedures and in compliance in all material respects with the applicable regulations of any applicable Drug Regulatory Agency and other applicable Law, including 21 C.F.R. Parts 50, 54, 56, 58 and 312. No preclinical or clinical trial conducted by or on behalf of Parent has been terminated or suspended prior to completion for safety or non-compliance reasons. Since January 1, 2013, Parent has not received any notices, correspondence, or other communications from any Drug Regulatory Agency requiring, or to the Knowledge of Parent threatening to initiate, the termination or suspension of any clinical studies conducted by or on behalf of, or sponsored by, Parent or in which Parent or its current products or product candidates, including the Parent Products, have participated.</w:t>
      </w:r>
    </w:p>
    <w:p>
      <w:pPr>
        <w:spacing w:after="0" w:line="165" w:lineRule="exact"/>
        <w:rPr>
          <w:rFonts w:ascii="Arial" w:cs="Arial" w:eastAsia="Arial" w:hAnsi="Arial"/>
          <w:sz w:val="16"/>
          <w:szCs w:val="16"/>
          <w:color w:val="auto"/>
        </w:rPr>
      </w:pPr>
    </w:p>
    <w:p>
      <w:pPr>
        <w:ind w:left="140" w:right="20" w:firstLine="1940"/>
        <w:spacing w:after="0" w:line="289" w:lineRule="auto"/>
        <w:tabs>
          <w:tab w:leader="none" w:pos="248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Parent is not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To the Knowledge of Parent, Parent has not committed any acts, made any statement, or failed to make any statement, in each case in respect of its business or products that would violate the FDA’s “Fraud, Untrue Statements of Material Facts, Bribery, and Illegal Gratuities” Final Policy, and any amendments thereto. None of Parent or any of its officers, employees or agents has been convicted of any crime or engaged in any conduct that could result in a debarment or exclusion (i) under 21 U.S.C. Section 335a or (ii) any similar applicable Law. No debarment or exclusionary claims, actions, proceedings or investigations in respect of their business or products are pending or, to the Knowledge of Parent, threatened in writing against Parent or any of its respective officers, employees or agents.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0" w:name="page351"/>
    <w:bookmarkEnd w:id="35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7" w:lineRule="auto"/>
        <w:tabs>
          <w:tab w:leader="none" w:pos="251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Parent has complied with all applicable Laws relating to patient, medical or individual health information, including HIPAA, including the standards for the privacy of Individually Identifiable Health Information at 45 C.F.R. Parts 160 and 164, Subparts A and E, the standards for the protection of Electronic Protected Health Information set forth at 45 C.F.R. 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 As applicable, Parent has created and maintained written policies and procedures to protect the privacy of all protected health information, provided training to employees and agents where required under HIPAA, and have implemented security procedures, including physical, technical and administrative safeguards, to protect personal information and Protected Health Information stored or transmitted in electronic form. Parent has not received written notice from the Office for Civil Rights for the U.S. Department of Health and Human Services or any other Governmental Body of any allegation regarding its failure to comply with HIPAA or any other state law or regulation applicable to the protection of individually identifiable health information or personally identifiable information. No successful Security Incident, Breach of Unsecured Protected Health Information or breach of personally identifiable information under applicable state or federal laws have occurred with respect to information maintained or transmitted to Parent or an agent or third party subject to a Business Associate Agreement with Parent. All capitalized terms in this </w:t>
      </w:r>
      <w:r>
        <w:rPr>
          <w:rFonts w:ascii="Arial" w:cs="Arial" w:eastAsia="Arial" w:hAnsi="Arial"/>
          <w:sz w:val="17"/>
          <w:szCs w:val="17"/>
          <w:u w:val="single" w:color="auto"/>
          <w:color w:val="auto"/>
        </w:rPr>
        <w:t>Section 3.14(g)</w:t>
      </w:r>
      <w:r>
        <w:rPr>
          <w:rFonts w:ascii="Arial" w:cs="Arial" w:eastAsia="Arial" w:hAnsi="Arial"/>
          <w:sz w:val="17"/>
          <w:szCs w:val="17"/>
          <w:color w:val="auto"/>
        </w:rPr>
        <w:t xml:space="preserve"> not otherwise defined in this Agreement shall have the meanings set forth under HIPAA.</w:t>
      </w:r>
    </w:p>
    <w:p>
      <w:pPr>
        <w:spacing w:after="0" w:line="182"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b w:val="1"/>
          <w:bCs w:val="1"/>
          <w:u w:val="single" w:color="auto"/>
          <w:color w:val="auto"/>
        </w:rPr>
        <w:t>Legal Proceedings; Orders</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58" w:lineRule="auto"/>
        <w:tabs>
          <w:tab w:leader="none" w:pos="249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of the date of this Agreement, there is no material pending Legal Proceeding and, to the Knowledge of Parent, no Person has threatened in writing to commence any Legal Proceeding: (i) that involves (A) Parent, (B) any Parent Associate (in his or her capacity as such) or (C) any of the material assets owned or used by Parent; or (ii) that challenges, or that may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40" w:right="80" w:firstLine="1940"/>
        <w:spacing w:after="0" w:line="276" w:lineRule="auto"/>
        <w:tabs>
          <w:tab w:leader="none" w:pos="251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 xml:space="preserve"> of the Parent Disclosure Schedule, since January 1, 2013, no Legal Proceeding has been pending against Parent that resulted in material liability to Parent.</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51" w:name="page352"/>
    <w:bookmarkEnd w:id="35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140" w:firstLine="1940"/>
        <w:spacing w:after="0" w:line="258" w:lineRule="auto"/>
        <w:tabs>
          <w:tab w:leader="none" w:pos="249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There is no order, writ, injunction, judgment or decree to which Parent, or any of the material assets owned or used by Parent, is subject. To the Knowledge of Parent, no officer or other Key Employee of Parent is subject to any order, writ, injunction, judgment or decree that prohibits such officer or employee from engaging in or continuing any conduct, activity or practice relating to the business of Parent or to any material assets owned or used by Parent.</w:t>
      </w:r>
    </w:p>
    <w:p>
      <w:pPr>
        <w:spacing w:after="0" w:line="183"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28" w:lineRule="exact"/>
        <w:rPr>
          <w:sz w:val="20"/>
          <w:szCs w:val="20"/>
          <w:color w:val="auto"/>
        </w:rPr>
      </w:pPr>
    </w:p>
    <w:p>
      <w:pPr>
        <w:ind w:left="140" w:right="120" w:firstLine="1940"/>
        <w:spacing w:after="0" w:line="258" w:lineRule="auto"/>
        <w:tabs>
          <w:tab w:leader="none" w:pos="25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has timely filed all income Tax Returns and other material Tax Returns that they were required to file under applicable Law. All such Tax Returns are correct and complete in all material respects and have been prepared in compliance with all applicable Law. No claim has ever been made by any Governmental Body in any jurisdiction where Parent does not file a particular Tax Return or pay a particular Tax that Parent is subject to taxation by that jurisdiction.</w:t>
      </w:r>
    </w:p>
    <w:p>
      <w:pPr>
        <w:spacing w:after="0" w:line="186" w:lineRule="exact"/>
        <w:rPr>
          <w:rFonts w:ascii="Arial" w:cs="Arial" w:eastAsia="Arial" w:hAnsi="Arial"/>
          <w:sz w:val="18"/>
          <w:szCs w:val="18"/>
          <w:color w:val="auto"/>
        </w:rPr>
      </w:pPr>
    </w:p>
    <w:p>
      <w:pPr>
        <w:ind w:left="140" w:right="100" w:firstLine="1940"/>
        <w:spacing w:after="0" w:line="262" w:lineRule="auto"/>
        <w:tabs>
          <w:tab w:leader="none" w:pos="25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income and other material Taxes due and owing by Parent on or before the date hereof (whether or not shown on any Tax Return) have been fully paid. Since the Parent Balance Sheet Date, Parent has not incurred any material Liability for Taxes outside the Ordinary Course of Business.</w:t>
      </w:r>
    </w:p>
    <w:p>
      <w:pPr>
        <w:spacing w:after="0" w:line="183" w:lineRule="exact"/>
        <w:rPr>
          <w:rFonts w:ascii="Arial" w:cs="Arial" w:eastAsia="Arial" w:hAnsi="Arial"/>
          <w:sz w:val="18"/>
          <w:szCs w:val="18"/>
          <w:color w:val="auto"/>
        </w:rPr>
      </w:pPr>
    </w:p>
    <w:p>
      <w:pPr>
        <w:ind w:left="140" w:right="80" w:firstLine="1940"/>
        <w:spacing w:after="0" w:line="262" w:lineRule="auto"/>
        <w:tabs>
          <w:tab w:leader="none" w:pos="249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Taxes that Parent is or was required by Law to withhold or collect have been duly and timely withheld or collected in all material respects on behalf of its respective employees, independent contractors, stockholders, or other third parties and, have been timely paid to the proper Governmental Body or other Person or properly set aside in accounts for this purpose.</w:t>
      </w:r>
    </w:p>
    <w:p>
      <w:pPr>
        <w:spacing w:after="0" w:line="183" w:lineRule="exact"/>
        <w:rPr>
          <w:rFonts w:ascii="Arial" w:cs="Arial" w:eastAsia="Arial" w:hAnsi="Arial"/>
          <w:sz w:val="18"/>
          <w:szCs w:val="18"/>
          <w:color w:val="auto"/>
        </w:rPr>
      </w:pPr>
    </w:p>
    <w:p>
      <w:pPr>
        <w:ind w:left="140" w:right="680" w:firstLine="1940"/>
        <w:spacing w:after="0" w:line="340" w:lineRule="auto"/>
        <w:tabs>
          <w:tab w:leader="none" w:pos="250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There are no Encumbrances for material Taxes (other than Taxes not yet due and payable or Taxes that are being contested in good faith and for which adequate reserves have been made on the Parent Balance Sheet) upon any of the assets of Parent.</w:t>
      </w:r>
    </w:p>
    <w:p>
      <w:pPr>
        <w:spacing w:after="0" w:line="124" w:lineRule="exact"/>
        <w:rPr>
          <w:rFonts w:ascii="Arial" w:cs="Arial" w:eastAsia="Arial" w:hAnsi="Arial"/>
          <w:sz w:val="16"/>
          <w:szCs w:val="16"/>
          <w:color w:val="auto"/>
        </w:rPr>
      </w:pPr>
    </w:p>
    <w:p>
      <w:pPr>
        <w:ind w:left="140" w:firstLine="1940"/>
        <w:spacing w:after="0" w:line="256" w:lineRule="auto"/>
        <w:tabs>
          <w:tab w:leader="none" w:pos="250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No deficiencies for income or other material Taxes with respect to Parent have been claimed, proposed or assessed by any Governmental Body in writing. There are no pending or ongoing, and to the Knowledge of Parent, threatened audits, assessments or other actions for or relating to any liability in respect of a material amount of Taxes of Parent. Neither Parent nor any of its predecessors has waived any statute of limitations in respect of any income or other material Taxes or agreed to any extension of time with respect to any income or other material Tax assessment or deficiency.</w:t>
      </w:r>
    </w:p>
    <w:p>
      <w:pPr>
        <w:spacing w:after="0" w:line="188" w:lineRule="exact"/>
        <w:rPr>
          <w:rFonts w:ascii="Arial" w:cs="Arial" w:eastAsia="Arial" w:hAnsi="Arial"/>
          <w:sz w:val="18"/>
          <w:szCs w:val="18"/>
          <w:color w:val="auto"/>
        </w:rPr>
      </w:pPr>
    </w:p>
    <w:p>
      <w:pPr>
        <w:ind w:left="140" w:firstLine="1940"/>
        <w:spacing w:after="0" w:line="276" w:lineRule="auto"/>
        <w:tabs>
          <w:tab w:leader="none" w:pos="248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has not been a United States real property holding corporation within the meaning of Section 897(c)(2) of the Code during the applicable period specified in Section 897(c)(1)(A)(ii) of the Code.</w:t>
      </w:r>
    </w:p>
    <w:p>
      <w:pPr>
        <w:spacing w:after="0" w:line="169" w:lineRule="exact"/>
        <w:rPr>
          <w:rFonts w:ascii="Arial" w:cs="Arial" w:eastAsia="Arial" w:hAnsi="Arial"/>
          <w:sz w:val="18"/>
          <w:szCs w:val="18"/>
          <w:color w:val="auto"/>
        </w:rPr>
      </w:pPr>
    </w:p>
    <w:p>
      <w:pPr>
        <w:ind w:left="140" w:right="380" w:firstLine="1940"/>
        <w:spacing w:after="0" w:line="262" w:lineRule="auto"/>
        <w:tabs>
          <w:tab w:leader="none" w:pos="251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is not a party to any Tax allocation agreement, Tax sharing agreement, Tax indemnity agreement, or similar agreement or arrangement, other than customary commercial contracts entered into in the Ordinary Course of Business the principal subject matter of which is not Taxes.</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2" w:name="page353"/>
    <w:bookmarkEnd w:id="35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90" w:lineRule="auto"/>
        <w:tabs>
          <w:tab w:leader="none" w:pos="2511"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Parent will not be required to include any material item of income in, or exclude any material item of deduction from, taxable income for any Tax period (or portion thereof) ending after the Closing Date as a result of any: (i) change in method of accounting for Tax purposes; (ii) use of an improper method of accounting for a Tax period ending on or prior to the Closing Date; (iii) “closing agreement” as described in Section 7121 of the Code (or any similar provision of state, local or foreign Law) executed on or prior to the Closing Date; (iv) intercompany transaction or excess loss account described in Treasury Regulations under Section 1502 of the Code (or any similar provision of state, local or foreign Law); (v) installment sale or open transaction disposition made on or prior to the Closing Date; (vi) prepaid amount received or deferred revenue accrued on or prior to the Closing Date; or (vii) election under Section 108(i) (or any similar provision of state, local or foreign Law).</w:t>
      </w:r>
    </w:p>
    <w:p>
      <w:pPr>
        <w:spacing w:after="0" w:line="166" w:lineRule="exact"/>
        <w:rPr>
          <w:rFonts w:ascii="Arial" w:cs="Arial" w:eastAsia="Arial" w:hAnsi="Arial"/>
          <w:sz w:val="16"/>
          <w:szCs w:val="16"/>
          <w:color w:val="auto"/>
        </w:rPr>
      </w:pPr>
    </w:p>
    <w:p>
      <w:pPr>
        <w:ind w:left="140" w:right="120" w:firstLine="1940"/>
        <w:spacing w:after="0" w:line="285" w:lineRule="auto"/>
        <w:tabs>
          <w:tab w:leader="none" w:pos="2472"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Parent has never been a member of a consolidated, combined or unitary Tax group (other than such a group the common parent of which is Parent). Parent has no Liability for any material Taxes of any Person (other than Parent and any of its Subsidiaries) under Treasury Regulations Section 1.1502-6 (or any similar provision of state, local, or foreign Law), or as a transferee or successor.</w:t>
      </w:r>
    </w:p>
    <w:p>
      <w:pPr>
        <w:spacing w:after="0" w:line="164" w:lineRule="exact"/>
        <w:rPr>
          <w:rFonts w:ascii="Arial" w:cs="Arial" w:eastAsia="Arial" w:hAnsi="Arial"/>
          <w:sz w:val="17"/>
          <w:szCs w:val="17"/>
          <w:color w:val="auto"/>
        </w:rPr>
      </w:pPr>
    </w:p>
    <w:p>
      <w:pPr>
        <w:jc w:val="both"/>
        <w:ind w:left="140" w:right="40" w:firstLine="1940"/>
        <w:spacing w:after="0" w:line="262" w:lineRule="auto"/>
        <w:tabs>
          <w:tab w:leader="none" w:pos="247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Parent has not distributed stock of another Person, or had its stock distributed by another Person, in a transaction that was purported or intended to be governed in whole or in part by Section 355 of the Code or Section 361 of the Code (or any similar provisions of state or local Law).</w:t>
      </w:r>
    </w:p>
    <w:p>
      <w:pPr>
        <w:spacing w:after="0" w:line="183" w:lineRule="exact"/>
        <w:rPr>
          <w:rFonts w:ascii="Arial" w:cs="Arial" w:eastAsia="Arial" w:hAnsi="Arial"/>
          <w:sz w:val="18"/>
          <w:szCs w:val="18"/>
          <w:color w:val="auto"/>
        </w:rPr>
      </w:pPr>
    </w:p>
    <w:p>
      <w:pPr>
        <w:ind w:left="140" w:right="340" w:firstLine="1940"/>
        <w:spacing w:after="0" w:line="276" w:lineRule="auto"/>
        <w:tabs>
          <w:tab w:leader="none" w:pos="25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Parent has never had a permanent establishment (within the meaning of an applicable Tax treaty) or otherwise has an office or fixed place of business in a jurisdiction outside of the United States.</w:t>
      </w:r>
    </w:p>
    <w:p>
      <w:pPr>
        <w:spacing w:after="0" w:line="169" w:lineRule="exact"/>
        <w:rPr>
          <w:rFonts w:ascii="Arial" w:cs="Arial" w:eastAsia="Arial" w:hAnsi="Arial"/>
          <w:sz w:val="18"/>
          <w:szCs w:val="18"/>
          <w:color w:val="auto"/>
        </w:rPr>
      </w:pPr>
    </w:p>
    <w:p>
      <w:pPr>
        <w:ind w:left="140" w:right="220" w:firstLine="1940"/>
        <w:spacing w:after="0" w:line="340" w:lineRule="auto"/>
        <w:tabs>
          <w:tab w:leader="none" w:pos="247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Parent has not participated in or been a party to a transaction that, as of the date of this Agreement, constitutes a “listed transaction” that is required to be reported to the IRS pursuant to Section 6011 of the Code and applicable Treasury Regulations thereunder.</w:t>
      </w:r>
    </w:p>
    <w:p>
      <w:pPr>
        <w:spacing w:after="0" w:line="125" w:lineRule="exact"/>
        <w:rPr>
          <w:sz w:val="20"/>
          <w:szCs w:val="20"/>
          <w:color w:val="auto"/>
        </w:rPr>
      </w:pPr>
    </w:p>
    <w:p>
      <w:pPr>
        <w:ind w:left="140" w:right="60" w:firstLine="1292"/>
        <w:spacing w:after="0" w:line="276"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3.16</w:t>
      </w:r>
      <w:r>
        <w:rPr>
          <w:rFonts w:ascii="Arial" w:cs="Arial" w:eastAsia="Arial" w:hAnsi="Arial"/>
          <w:sz w:val="18"/>
          <w:szCs w:val="18"/>
          <w:color w:val="auto"/>
        </w:rPr>
        <w:t>, each reference to Parent shall be deemed to include any Person that was liquidated into, merged with, or is otherwise a predecessor to, Parent.</w:t>
      </w:r>
    </w:p>
    <w:p>
      <w:pPr>
        <w:spacing w:after="0" w:line="166"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b w:val="1"/>
          <w:bCs w:val="1"/>
          <w:u w:val="single" w:color="auto"/>
          <w:color w:val="auto"/>
        </w:rPr>
        <w:t>Employee and Labor Matters; Benefit Plans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8" w:lineRule="auto"/>
        <w:tabs>
          <w:tab w:leader="none" w:pos="2501"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Parent Disclosure Schedule is a list of all material Parent Benefit Plans, including, without limitation, each Parent Benefit Plan that provides for retirement, change in control, deferred compensation, incentive compensation, severance or retiree medical or life insurance benefits. “</w:t>
      </w:r>
      <w:r>
        <w:rPr>
          <w:rFonts w:ascii="Arial" w:cs="Arial" w:eastAsia="Arial" w:hAnsi="Arial"/>
          <w:sz w:val="16"/>
          <w:szCs w:val="16"/>
          <w:b w:val="1"/>
          <w:bCs w:val="1"/>
          <w:i w:val="1"/>
          <w:iCs w:val="1"/>
          <w:color w:val="auto"/>
        </w:rPr>
        <w:t>Parent Benefit Plan</w:t>
      </w:r>
      <w:r>
        <w:rPr>
          <w:rFonts w:ascii="Arial" w:cs="Arial" w:eastAsia="Arial" w:hAnsi="Arial"/>
          <w:sz w:val="16"/>
          <w:szCs w:val="16"/>
          <w:color w:val="auto"/>
        </w:rPr>
        <w:t>” means each (i) “employee benefit plan” as defined in Section 3(3) of ERISA and (ii) other pension, retirement, deferred compensation, excess benefit, profit sharing, bonus, incentive, equity or equity-based, phantom equity, employment, consulting, severance, change-of-control, retention, health, life, disability, group insurance, paid-time off, holiday, welfare and fringe benefit plan, program, contract, or arrangement (whether written or unwritten, qualified or nonqualified, funded or unfunded and including any that have been frozen or terminated), in any case, maintained, contributed to, or required to be contributed to, by Parent or Parent ERISA Affiliates for the benefit of any current or former employee, director, officer or independent contractor of Parent or under which Parent has any actual or contingent liability (including, without limitation, as to the result of it being treated as a single employer under Code Section 414 with any other person).</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53" w:name="page354"/>
    <w:bookmarkEnd w:id="35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9" w:lineRule="auto"/>
        <w:tabs>
          <w:tab w:leader="none" w:pos="250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As applicable with respect to each material Parent Benefit Plan, Parent has made available to the Company, true and complete copies of (i) each material Parent Benefit Plan, including all amendments thereto, and in the case of an unwritten material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most recently filed annual reports with any Governmental Body (</w:t>
      </w:r>
      <w:r>
        <w:rPr>
          <w:rFonts w:ascii="Arial" w:cs="Arial" w:eastAsia="Arial" w:hAnsi="Arial"/>
          <w:sz w:val="17"/>
          <w:szCs w:val="17"/>
          <w:i w:val="1"/>
          <w:iCs w:val="1"/>
          <w:color w:val="auto"/>
        </w:rPr>
        <w:t>e.g.</w:t>
      </w:r>
      <w:r>
        <w:rPr>
          <w:rFonts w:ascii="Arial" w:cs="Arial" w:eastAsia="Arial" w:hAnsi="Arial"/>
          <w:sz w:val="17"/>
          <w:szCs w:val="17"/>
          <w:color w:val="auto"/>
        </w:rPr>
        <w:t>, Form 5500 and all schedules thereto), (v) the most recent IRS determination, opinion or advisory letter, (vi) the most recent summary annual reports, nondiscrimination testing reports, actuarial reports, financial statements and trustee reports, (vii) all records, notices and filings concerning IRS or Department of Labor or other Governmental Body audits or investigations, “prohibited transactions” within the meaning of Section 406 of ERISA or Section 4975 of the Code and (viii) all policies and procedures established to comply with the privacy and security rules of HIPAA.</w:t>
      </w:r>
    </w:p>
    <w:p>
      <w:pPr>
        <w:spacing w:after="0" w:line="181" w:lineRule="exact"/>
        <w:rPr>
          <w:rFonts w:ascii="Arial" w:cs="Arial" w:eastAsia="Arial" w:hAnsi="Arial"/>
          <w:sz w:val="17"/>
          <w:szCs w:val="17"/>
          <w:color w:val="auto"/>
        </w:rPr>
      </w:pPr>
    </w:p>
    <w:p>
      <w:pPr>
        <w:ind w:left="140" w:right="180" w:firstLine="1940"/>
        <w:spacing w:after="0" w:line="276" w:lineRule="auto"/>
        <w:tabs>
          <w:tab w:leader="none" w:pos="25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Parent Benefit Plan has been maintained, operated and administered in compliance in all material respects with its terms and any related documents or agreements and the applicable provisions of ERISA, the Code and all other Laws.</w:t>
      </w:r>
    </w:p>
    <w:p>
      <w:pPr>
        <w:spacing w:after="0" w:line="169" w:lineRule="exact"/>
        <w:rPr>
          <w:rFonts w:ascii="Arial" w:cs="Arial" w:eastAsia="Arial" w:hAnsi="Arial"/>
          <w:sz w:val="18"/>
          <w:szCs w:val="18"/>
          <w:color w:val="auto"/>
        </w:rPr>
      </w:pPr>
    </w:p>
    <w:p>
      <w:pPr>
        <w:ind w:left="140" w:right="80" w:firstLine="1940"/>
        <w:spacing w:after="0" w:line="274" w:lineRule="auto"/>
        <w:tabs>
          <w:tab w:leader="none" w:pos="250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Parent Benefit Plans which are “employee pension benefit plans” within the meaning of Section 3(2) of ERISA and which are intended to meet the qualification requirements of Section 401(a) of the Code have received determination letters from the IRS on which they may currently rely to the effect that such plans are qualified under Section 401(a) of the Code and the related trusts are exempt from federal income Taxes under Section 501(a) of the Code, respectively, and to the Knowledge of Parent, nothing has occurred that would reasonably be expected to materially adversely affect the qualification of such Parent Benefit Plan or the tax exempt status of the related trust.</w:t>
      </w:r>
    </w:p>
    <w:p>
      <w:pPr>
        <w:spacing w:after="0" w:line="176" w:lineRule="exact"/>
        <w:rPr>
          <w:rFonts w:ascii="Arial" w:cs="Arial" w:eastAsia="Arial" w:hAnsi="Arial"/>
          <w:sz w:val="17"/>
          <w:szCs w:val="17"/>
          <w:color w:val="auto"/>
        </w:rPr>
      </w:pPr>
    </w:p>
    <w:p>
      <w:pPr>
        <w:jc w:val="both"/>
        <w:ind w:left="140" w:right="220" w:firstLine="1940"/>
        <w:spacing w:after="0" w:line="256" w:lineRule="auto"/>
        <w:tabs>
          <w:tab w:leader="none" w:pos="25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Neither Parent or any Parent ERISA Affiliate maintains, contributes to, is required to contribute to, or has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or (iv) any “multiple employer welfare arrangement” (within the meaning of Section 3(40) of ERISA).</w:t>
      </w:r>
    </w:p>
    <w:p>
      <w:pPr>
        <w:spacing w:after="0" w:line="188" w:lineRule="exact"/>
        <w:rPr>
          <w:rFonts w:ascii="Arial" w:cs="Arial" w:eastAsia="Arial" w:hAnsi="Arial"/>
          <w:sz w:val="18"/>
          <w:szCs w:val="18"/>
          <w:color w:val="auto"/>
        </w:rPr>
      </w:pPr>
    </w:p>
    <w:p>
      <w:pPr>
        <w:ind w:left="140" w:right="120" w:firstLine="1940"/>
        <w:spacing w:after="0" w:line="258" w:lineRule="auto"/>
        <w:tabs>
          <w:tab w:leader="none" w:pos="247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are no pending audits or investigations by any Governmental Body involving any Parent Benefit Plan, and no pending or, to the Knowledge of Parent, threatened claims (except for individual claims for benefits payable in the normal operation of the Parent Benefit Plans), suits or proceedings involving any Parent Benefit Plan, any fiduciary thereof or service provider thereto, in any case except as would not be reasonably expected to result in material liability to Parent.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54" w:name="page355"/>
    <w:bookmarkEnd w:id="35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78" w:lineRule="auto"/>
        <w:tabs>
          <w:tab w:leader="none" w:pos="251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Neither Parent or any Parent ERISA Affiliates, nor to the Knowledge of Parent, any fiduciary, trustee or administrator of any Parent Benefit Plan, has engaged in, or in connection with the transactions contemplated by this Agreement will engage in, any transaction with respect to any Parent Benefit Plan which would subject any such Parent Benefit Plan, Parent or Parent ERISA Affiliates to a material Tax, material penalty or material liability for a “prohibited transaction” under Section 406 of ERISA or Section 4975 of the Code.</w:t>
      </w:r>
    </w:p>
    <w:p>
      <w:pPr>
        <w:spacing w:after="0" w:line="170" w:lineRule="exact"/>
        <w:rPr>
          <w:rFonts w:ascii="Arial" w:cs="Arial" w:eastAsia="Arial" w:hAnsi="Arial"/>
          <w:sz w:val="17"/>
          <w:szCs w:val="17"/>
          <w:color w:val="auto"/>
        </w:rPr>
      </w:pPr>
    </w:p>
    <w:p>
      <w:pPr>
        <w:ind w:left="140" w:right="240" w:firstLine="1940"/>
        <w:spacing w:after="0" w:line="262" w:lineRule="auto"/>
        <w:tabs>
          <w:tab w:leader="none" w:pos="251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Parent Benefit Plan provides death, medical, dental, vision, life insurance or other welfare benefits beyond termination of service or retirement other than coverage mandated by Law and neither Parent or any Parent ERISA Affiliates has made a written or oral representation promising the same.</w:t>
      </w:r>
    </w:p>
    <w:p>
      <w:pPr>
        <w:spacing w:after="0" w:line="183" w:lineRule="exact"/>
        <w:rPr>
          <w:rFonts w:ascii="Arial" w:cs="Arial" w:eastAsia="Arial" w:hAnsi="Arial"/>
          <w:sz w:val="18"/>
          <w:szCs w:val="18"/>
          <w:color w:val="auto"/>
        </w:rPr>
      </w:pPr>
    </w:p>
    <w:p>
      <w:pPr>
        <w:ind w:left="140" w:right="60" w:firstLine="1940"/>
        <w:spacing w:after="0" w:line="274" w:lineRule="auto"/>
        <w:tabs>
          <w:tab w:leader="none" w:pos="247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Neither the execution of, nor the performance of the transactions contemplated by, this Agreement will either alone or in connection with any other event(s) (i) result in any payment becoming due to any current or former employee, director, officer, or independent contractor of Parent, (ii) increase any amount of compensation or benefits otherwise payable under any Parent Benefit Plan,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w:t>
      </w:r>
    </w:p>
    <w:p>
      <w:pPr>
        <w:spacing w:after="0" w:line="176" w:lineRule="exact"/>
        <w:rPr>
          <w:rFonts w:ascii="Arial" w:cs="Arial" w:eastAsia="Arial" w:hAnsi="Arial"/>
          <w:sz w:val="17"/>
          <w:szCs w:val="17"/>
          <w:color w:val="auto"/>
        </w:rPr>
      </w:pPr>
    </w:p>
    <w:p>
      <w:pPr>
        <w:ind w:left="140" w:right="40" w:firstLine="1940"/>
        <w:spacing w:after="0" w:line="300" w:lineRule="auto"/>
        <w:tabs>
          <w:tab w:leader="none" w:pos="247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Neither the execution of, nor the consummation of the transactions contemplated by this Agreement (either alone or when combined with the occurrence of any other event, including without limitation, a termination of employment) will result in the receipt or retention by any person who is a “disqualified individual” (within the meaning of Code Section 280G) of any payment or benefit that is or could be characterized as a “parachute payment” (within the meaning of Code Section 280G), determined without regard to the application of Code Section 280G(b)(5).</w:t>
      </w:r>
    </w:p>
    <w:p>
      <w:pPr>
        <w:spacing w:after="0" w:line="156" w:lineRule="exact"/>
        <w:rPr>
          <w:rFonts w:ascii="Arial" w:cs="Arial" w:eastAsia="Arial" w:hAnsi="Arial"/>
          <w:sz w:val="16"/>
          <w:szCs w:val="16"/>
          <w:color w:val="auto"/>
        </w:rPr>
      </w:pPr>
    </w:p>
    <w:p>
      <w:pPr>
        <w:ind w:left="140" w:right="140" w:firstLine="1940"/>
        <w:spacing w:after="0" w:line="276" w:lineRule="auto"/>
        <w:tabs>
          <w:tab w:leader="none" w:pos="250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exercise price of each Parent Option is not and never has been less than the fair market value of one share of Parent Common Stock as of the grant date of such Parent Option.</w:t>
      </w:r>
    </w:p>
    <w:p>
      <w:pPr>
        <w:spacing w:after="0" w:line="169" w:lineRule="exact"/>
        <w:rPr>
          <w:rFonts w:ascii="Arial" w:cs="Arial" w:eastAsia="Arial" w:hAnsi="Arial"/>
          <w:sz w:val="18"/>
          <w:szCs w:val="18"/>
          <w:color w:val="auto"/>
        </w:rPr>
      </w:pPr>
    </w:p>
    <w:p>
      <w:pPr>
        <w:ind w:left="140" w:right="300" w:firstLine="1940"/>
        <w:spacing w:after="0" w:line="276" w:lineRule="auto"/>
        <w:tabs>
          <w:tab w:leader="none" w:pos="247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current or former employee, officer, director or independent contractor of Parent has any “gross up” agreements or other assurance of reimbursement for any Taxes imposed under Code Section 409A or Code Section 4999.</w:t>
      </w:r>
    </w:p>
    <w:p>
      <w:pPr>
        <w:spacing w:after="0" w:line="169" w:lineRule="exact"/>
        <w:rPr>
          <w:rFonts w:ascii="Arial" w:cs="Arial" w:eastAsia="Arial" w:hAnsi="Arial"/>
          <w:sz w:val="18"/>
          <w:szCs w:val="18"/>
          <w:color w:val="auto"/>
        </w:rPr>
      </w:pPr>
    </w:p>
    <w:p>
      <w:pPr>
        <w:ind w:left="140" w:right="160" w:firstLine="1940"/>
        <w:spacing w:after="0" w:line="258" w:lineRule="auto"/>
        <w:tabs>
          <w:tab w:leader="none" w:pos="251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Parent is not a party to, bound by, or has a duty to bargain under, any collective bargaining agreement or other Contract with a labor union, labor organization, or similar Person representing any of its employees, and there is no labor union, labor organization, or similar Person representing or, to the Knowledge of Parent, purporting to represent or seeking to represent any employees of Parent, including through the filing of a petition for representation election.</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5" w:name="page356"/>
    <w:bookmarkEnd w:id="35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86" w:lineRule="auto"/>
        <w:tabs>
          <w:tab w:leader="none" w:pos="251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Parent is, and since January 1, 2013 has been, in material compliance with all applicable Laws respecting labor, employment, employment practices, and terms and conditions of employment, including worker classification, tax withholding, prohibited discrimination and retaliation, equal employment opportunities, harassment, fair employment practices, meal and rest periods, immigration, employee safety and health, wages (including overtime wages), unemployment and workers’ compensation, leaves of absence, and hours of work. Except as would not be reasonably likely to result in a material liability to Parent, with respect to employees of Parent, Parent, since January 1, 2013: (i) has withheld and reported all amounts required by Law or by agreement to be withheld and reported with respect to wages, salaries and other payments, benefits, or compensation to employees, (ii) is not liable for any arrears of wages (including overtime wages), severance pay or any Taxes or any penalty for failure to comply with any of the foregoing, and (iii) is not liable for any payment to any trust or other fund governed by or maintained by or on behalf of any Governmental Body, with respect to unemployment compensation benefits, disability, social security or other benefits or obligations for employees (other than routine payments to be made in the Ordinary Course of Business). There are no actions, suits, claims, charges, lawsuits, investigations, audits or administrative matters pending or, to the Knowledge of Parent, threatened or reasonably anticipated against Parent relating to any employee, applicant for employment, consultant, employment agreement or Parent Benefit Plan (other than routine claims for benefits).</w:t>
      </w:r>
    </w:p>
    <w:p>
      <w:pPr>
        <w:spacing w:after="0" w:line="168" w:lineRule="exact"/>
        <w:rPr>
          <w:rFonts w:ascii="Arial" w:cs="Arial" w:eastAsia="Arial" w:hAnsi="Arial"/>
          <w:sz w:val="16"/>
          <w:szCs w:val="16"/>
          <w:color w:val="auto"/>
        </w:rPr>
      </w:pPr>
    </w:p>
    <w:p>
      <w:pPr>
        <w:ind w:left="140" w:right="100" w:firstLine="1940"/>
        <w:spacing w:after="0" w:line="295" w:lineRule="auto"/>
        <w:tabs>
          <w:tab w:leader="none" w:pos="251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be reasonably likely to result in a material liability to Parent, with respect to each individual who currently renders services to Parent, Parent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Parent has no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61" w:lineRule="exact"/>
        <w:rPr>
          <w:rFonts w:ascii="Arial" w:cs="Arial" w:eastAsia="Arial" w:hAnsi="Arial"/>
          <w:sz w:val="16"/>
          <w:szCs w:val="16"/>
          <w:color w:val="auto"/>
        </w:rPr>
      </w:pPr>
    </w:p>
    <w:p>
      <w:pPr>
        <w:ind w:left="140" w:right="20" w:firstLine="1940"/>
        <w:spacing w:after="0" w:line="274" w:lineRule="auto"/>
        <w:tabs>
          <w:tab w:leader="none" w:pos="250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There is not and has not been in the past three (3) years, nor is there or has there been in the past three (3) years any threat of, any strike, slowdown, work stoppage, lockout, union election petition, demand for recognition, or any similar activity or dispute, or, to the Knowledge of Parent, any union organizing activity, against Parent. No event has occurred, and no condition or circumstance exists, that might directly or indirectly be likely to give rise to or provide a basis for the commencement of any such strike, slowdown, work stoppage, lockout, union election petition, demand for recognition, any similar activity or dispute, or, to the Knowledge of Parent, any union organizing activity.</w:t>
      </w:r>
    </w:p>
    <w:p>
      <w:pPr>
        <w:spacing w:after="0" w:line="176" w:lineRule="exact"/>
        <w:rPr>
          <w:rFonts w:ascii="Arial" w:cs="Arial" w:eastAsia="Arial" w:hAnsi="Arial"/>
          <w:sz w:val="17"/>
          <w:szCs w:val="17"/>
          <w:color w:val="auto"/>
        </w:rPr>
      </w:pPr>
    </w:p>
    <w:p>
      <w:pPr>
        <w:ind w:left="140" w:right="160" w:firstLine="1940"/>
        <w:spacing w:after="0" w:line="262" w:lineRule="auto"/>
        <w:tabs>
          <w:tab w:leader="none" w:pos="250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is no Legal Proceeding, claim, unfair labor practice charge or complaint, labor dispute or grievance pending or, to the Knowledge of Parent, threatened in writing against Parent relating to labor, employment, employment practices, or terms and conditions of employment.</w:t>
      </w:r>
    </w:p>
    <w:p>
      <w:pPr>
        <w:spacing w:after="0" w:line="183" w:lineRule="exact"/>
        <w:rPr>
          <w:rFonts w:ascii="Arial" w:cs="Arial" w:eastAsia="Arial" w:hAnsi="Arial"/>
          <w:sz w:val="18"/>
          <w:szCs w:val="18"/>
          <w:color w:val="auto"/>
        </w:rPr>
      </w:pPr>
    </w:p>
    <w:p>
      <w:pPr>
        <w:ind w:left="140" w:firstLine="1940"/>
        <w:spacing w:after="0" w:line="276" w:lineRule="auto"/>
        <w:tabs>
          <w:tab w:leader="none" w:pos="247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Parent or any Parent Affiliate is a party or by which it is bound to compensate any of its employees for excise taxes paid pursuant to Section 4999 of the Code.</w:t>
      </w:r>
    </w:p>
    <w:p>
      <w:pPr>
        <w:spacing w:after="0" w:line="169" w:lineRule="exact"/>
        <w:rPr>
          <w:rFonts w:ascii="Arial" w:cs="Arial" w:eastAsia="Arial" w:hAnsi="Arial"/>
          <w:sz w:val="18"/>
          <w:szCs w:val="18"/>
          <w:color w:val="auto"/>
        </w:rPr>
      </w:pPr>
    </w:p>
    <w:p>
      <w:pPr>
        <w:ind w:left="2480" w:hanging="400"/>
        <w:spacing w:after="0"/>
        <w:tabs>
          <w:tab w:leader="none" w:pos="24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As of the date hereof, no Key Employee has submitted his or her resignation or, to the Knowledge of Parent, intends to</w:t>
      </w:r>
    </w:p>
    <w:p>
      <w:pPr>
        <w:spacing w:after="0" w:line="45" w:lineRule="exact"/>
        <w:rPr>
          <w:rFonts w:ascii="Arial" w:cs="Arial" w:eastAsia="Arial" w:hAnsi="Arial"/>
          <w:sz w:val="16"/>
          <w:szCs w:val="16"/>
          <w:color w:val="auto"/>
        </w:rPr>
      </w:pPr>
    </w:p>
    <w:p>
      <w:pPr>
        <w:ind w:left="140"/>
        <w:spacing w:after="0"/>
        <w:rPr>
          <w:rFonts w:ascii="Arial" w:cs="Arial" w:eastAsia="Arial" w:hAnsi="Arial"/>
          <w:sz w:val="16"/>
          <w:szCs w:val="16"/>
          <w:color w:val="auto"/>
        </w:rPr>
      </w:pPr>
      <w:r>
        <w:rPr>
          <w:rFonts w:ascii="Arial" w:cs="Arial" w:eastAsia="Arial" w:hAnsi="Arial"/>
          <w:sz w:val="18"/>
          <w:szCs w:val="18"/>
          <w:color w:val="auto"/>
        </w:rPr>
        <w:t>resign.</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56" w:name="page357"/>
    <w:bookmarkEnd w:id="35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85"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Parent is and since January 1, 2013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such compliance that, either individually or in the aggregate, would not reasonably be expected to be material to Parent or its business. Parent has not received since January 1, 2013 (or prior to that time, which is pending and unresolved), any written notice or other communication (in writing or otherwise), whether from a Governmental Body or other Person, that alleges that Parent is not in compliance with or has liability pursuant to any Environmental Law and, to the Knowledge of Parent, there are no circumstances that would reasonably be expected to prevent or interfere with Parent’s compliance in any material respects with any Environmental Law, except where such failure to comply would not reasonably be expected to be material to Parent or its business. No current or (during the time a prior property was leased or controlled by Parent) prior property leased or controlled by Parent has had a release of or exposure to Hazardous Substances in material violation of or as would reasonably be expected to result in any material liability of Parent pursuant to Environmental Law. No consent, approval or Governmental Authorization of or registration or filing with any Governmental Body is required by Environmental Laws in connection with the execution and delivery of this Agreement or the consummation of Contemplated Transactions. Prior to the date hereof, Parent has provided or otherwise made available to the Company true and correct copies of all material environmental reports, assessments, studies and audits in the possession or control of Parent with respect to any property leased or controlled by Parent or any business operated by it.</w:t>
      </w:r>
    </w:p>
    <w:p>
      <w:pPr>
        <w:spacing w:after="0" w:line="171" w:lineRule="exact"/>
        <w:rPr>
          <w:sz w:val="20"/>
          <w:szCs w:val="20"/>
          <w:color w:val="auto"/>
        </w:rPr>
      </w:pPr>
    </w:p>
    <w:p>
      <w:pPr>
        <w:ind w:left="140" w:firstLine="1292"/>
        <w:spacing w:after="0" w:line="26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Except as set forth in the Parent SEC Documents filed prior to the date of this Agreement, since the date of Parent’s last proxy statement filed in 2016 with the SEC, no event has occurred that would be required to be reported by Parent pursuant to Item 404 of Regulation S-K.</w:t>
      </w:r>
    </w:p>
    <w:p>
      <w:pPr>
        <w:spacing w:after="0" w:line="176" w:lineRule="exact"/>
        <w:rPr>
          <w:sz w:val="20"/>
          <w:szCs w:val="20"/>
          <w:color w:val="auto"/>
        </w:rPr>
      </w:pPr>
    </w:p>
    <w:p>
      <w:pPr>
        <w:ind w:left="140" w:right="80" w:firstLine="1292"/>
        <w:spacing w:after="0" w:line="286"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Parent has delivered or made available to the Company accurate and complete copies of all material insurance policies and all material self-insurance programs and arrangements relating to the business, assets, liabilities and operations of Parent. Each of such insurance policies is in full force and effect and Parent is in compliance in all material respects with the terms thereof. Other than customary end of policy notifications from insurance carriers, since January 1, 2013, Parent has not received any notice or other communication regarding any actual or possible:</w:t>
      </w:r>
    </w:p>
    <w:p>
      <w:pPr>
        <w:spacing w:after="0" w:line="3" w:lineRule="exact"/>
        <w:rPr>
          <w:sz w:val="20"/>
          <w:szCs w:val="20"/>
          <w:color w:val="auto"/>
        </w:rPr>
      </w:pPr>
    </w:p>
    <w:p>
      <w:pPr>
        <w:jc w:val="both"/>
        <w:ind w:left="140" w:right="100" w:firstLine="2"/>
        <w:spacing w:after="0" w:line="272" w:lineRule="auto"/>
        <w:tabs>
          <w:tab w:leader="none" w:pos="35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cancellation or invalidation of any insurance policy; or (ii) refusal or denial of any coverage, reservation of rights or rejection of any material claim under any insurance policy. Parent has provided timely written notice to the appropriate insurance carrier(s) of each Legal Proceeding that is currently pending against Parent for which Parent has insurance coverage, and no such carrier has issued a denial of coverage or a reservation of rights with respect to any such Legal Proceeding, or to the Knowledge of the Parent, informed Parent of its intent to do so.</w:t>
      </w:r>
    </w:p>
    <w:p>
      <w:pPr>
        <w:spacing w:after="0" w:line="172" w:lineRule="exact"/>
        <w:rPr>
          <w:sz w:val="20"/>
          <w:szCs w:val="20"/>
          <w:color w:val="auto"/>
        </w:rPr>
      </w:pPr>
    </w:p>
    <w:p>
      <w:pPr>
        <w:ind w:left="140" w:right="180" w:firstLine="1292"/>
        <w:spacing w:after="0" w:line="265"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u w:val="single" w:color="auto"/>
          <w:color w:val="auto"/>
        </w:rPr>
        <w:t>No Financial Advisors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of the Parent Disclosure Schedule,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57" w:name="page358"/>
    <w:bookmarkEnd w:id="35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240" w:firstLine="1292"/>
        <w:spacing w:after="0" w:line="280"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u w:val="single" w:color="auto"/>
          <w:color w:val="auto"/>
        </w:rPr>
        <w:t>Valid Issuance</w:t>
      </w:r>
      <w:r>
        <w:rPr>
          <w:rFonts w:ascii="Arial" w:cs="Arial" w:eastAsia="Arial" w:hAnsi="Arial"/>
          <w:sz w:val="18"/>
          <w:szCs w:val="18"/>
          <w:color w:val="auto"/>
        </w:rPr>
        <w:t>. The Parent Common Stock to be issued in the Merger will, when issued in accordance with the provisions of this Agreement, be validly issued, fully paid and nonassessable.</w:t>
      </w:r>
    </w:p>
    <w:p>
      <w:pPr>
        <w:spacing w:after="0" w:line="163" w:lineRule="exact"/>
        <w:rPr>
          <w:sz w:val="20"/>
          <w:szCs w:val="20"/>
          <w:color w:val="auto"/>
        </w:rPr>
      </w:pPr>
    </w:p>
    <w:p>
      <w:pPr>
        <w:ind w:left="140" w:right="180" w:firstLine="1292"/>
        <w:spacing w:after="0" w:line="265"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u w:val="single" w:color="auto"/>
          <w:color w:val="auto"/>
        </w:rPr>
        <w:t>Opinion of Financial Advisor</w:t>
      </w:r>
      <w:r>
        <w:rPr>
          <w:rFonts w:ascii="Arial" w:cs="Arial" w:eastAsia="Arial" w:hAnsi="Arial"/>
          <w:sz w:val="18"/>
          <w:szCs w:val="18"/>
          <w:color w:val="auto"/>
        </w:rPr>
        <w:t>. The Parent Board has received an opinion of Stifel, Nicolaus &amp; Company, Incorporated to the effect that, as of the date of such opinion and subject to the assumptions, qualifications, limitations and other matters set forth therein, the Merger Consideration to be paid by Parent is fair, from a financial point of view, to Parent.</w:t>
      </w:r>
    </w:p>
    <w:p>
      <w:pPr>
        <w:spacing w:after="0" w:line="176" w:lineRule="exact"/>
        <w:rPr>
          <w:sz w:val="20"/>
          <w:szCs w:val="20"/>
          <w:color w:val="auto"/>
        </w:rPr>
      </w:pPr>
    </w:p>
    <w:p>
      <w:pPr>
        <w:ind w:left="140" w:firstLine="1292"/>
        <w:spacing w:after="0" w:line="285"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b w:val="1"/>
          <w:bCs w:val="1"/>
          <w:u w:val="single" w:color="auto"/>
          <w:color w:val="auto"/>
        </w:rPr>
        <w:t>No Other Representations or Warranties; Disclaimer of Other Representations and Warranties</w:t>
      </w:r>
      <w:r>
        <w:rPr>
          <w:rFonts w:ascii="Arial" w:cs="Arial" w:eastAsia="Arial" w:hAnsi="Arial"/>
          <w:sz w:val="16"/>
          <w:szCs w:val="16"/>
          <w:color w:val="auto"/>
        </w:rPr>
        <w:t>. Each of Parent and Merger Sub acknowledges and agrees that, except for the representations and warranties expressly set forth in this Agreement (a) the Company is not making and has not made any representations or warranties relating to itself or its business or otherwise in connection with the transactions contemplated by this Agreement, including the Merger and any such other representations or warranties are hereby expressly disclaimed, and none of Parent, Merger Sub or their respective Representatives is relying on any representation or warranty of the Company except for those expressly set forth in this Agreement,</w:t>
      </w:r>
    </w:p>
    <w:p>
      <w:pPr>
        <w:spacing w:after="0" w:line="3" w:lineRule="exact"/>
        <w:rPr>
          <w:sz w:val="20"/>
          <w:szCs w:val="20"/>
          <w:color w:val="auto"/>
        </w:rPr>
      </w:pPr>
    </w:p>
    <w:p>
      <w:pPr>
        <w:ind w:left="140" w:firstLine="2"/>
        <w:spacing w:after="0" w:line="270" w:lineRule="auto"/>
        <w:tabs>
          <w:tab w:leader="none" w:pos="39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no Person has been authorized by the Company to make any representation or warranty relating to the Company or its business, and if made, such representation or warranty must not be relied upon by Parent or Merger Sub as having been authorized by the Company, and (c) any estimates, projections, predictions, data, financial information, memoranda, presentations or any other materials or information provided or addressed to Parent, Merger Sub or any of their representatives are not and shall not be deemed to be or include representations or warranties unless any such materials or information are the subject of any express representation or warranty set forth in this Agreement.</w:t>
      </w:r>
    </w:p>
    <w:p>
      <w:pPr>
        <w:spacing w:after="0" w:line="174"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CERTAIN COVENANTS OF THE PARTIES</w:t>
      </w:r>
    </w:p>
    <w:p>
      <w:pPr>
        <w:spacing w:after="0" w:line="224"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u w:val="single" w:color="auto"/>
          <w:color w:val="auto"/>
        </w:rPr>
        <w:t>Operation of Parent’s Business</w:t>
      </w:r>
      <w:r>
        <w:rPr>
          <w:rFonts w:ascii="Arial" w:cs="Arial" w:eastAsia="Arial" w:hAnsi="Arial"/>
          <w:sz w:val="15"/>
          <w:szCs w:val="15"/>
          <w:color w:val="auto"/>
        </w:rPr>
        <w:t>.</w:t>
      </w:r>
    </w:p>
    <w:p>
      <w:pPr>
        <w:spacing w:after="0" w:line="228" w:lineRule="exact"/>
        <w:rPr>
          <w:sz w:val="20"/>
          <w:szCs w:val="20"/>
          <w:color w:val="auto"/>
        </w:rPr>
      </w:pPr>
    </w:p>
    <w:p>
      <w:pPr>
        <w:ind w:left="140" w:right="180" w:firstLine="1940"/>
        <w:spacing w:after="0" w:line="295" w:lineRule="auto"/>
        <w:tabs>
          <w:tab w:leader="none" w:pos="250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of the Parent Disclosure Schedule, as expressly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Parent shall conduct its business and operations in the Ordinary Course of Business and in compliance with all applicable Laws and the requirements of all Contracts that constitute Parent Material Contracts.</w:t>
      </w:r>
    </w:p>
    <w:p>
      <w:pPr>
        <w:spacing w:after="0" w:line="161" w:lineRule="exact"/>
        <w:rPr>
          <w:rFonts w:ascii="Arial" w:cs="Arial" w:eastAsia="Arial" w:hAnsi="Arial"/>
          <w:sz w:val="16"/>
          <w:szCs w:val="16"/>
          <w:color w:val="auto"/>
        </w:rPr>
      </w:pPr>
    </w:p>
    <w:p>
      <w:pPr>
        <w:ind w:left="2520" w:hanging="440"/>
        <w:spacing w:after="0"/>
        <w:tabs>
          <w:tab w:leader="none" w:pos="252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Except (i) as expressly permitted by this Agreement, (ii) as set forth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 the Parent Disclosure Schedule,</w:t>
      </w:r>
    </w:p>
    <w:p>
      <w:pPr>
        <w:spacing w:after="0" w:line="45" w:lineRule="exact"/>
        <w:rPr>
          <w:rFonts w:ascii="Arial" w:cs="Arial" w:eastAsia="Arial" w:hAnsi="Arial"/>
          <w:sz w:val="16"/>
          <w:szCs w:val="16"/>
          <w:color w:val="auto"/>
        </w:rPr>
      </w:pPr>
    </w:p>
    <w:p>
      <w:pPr>
        <w:ind w:left="140" w:right="260" w:firstLine="2"/>
        <w:spacing w:after="0" w:line="259" w:lineRule="auto"/>
        <w:tabs>
          <w:tab w:leader="none" w:pos="45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as required by applicable Law or (iv) with the prior written consent of the Company (which consent shall not be unreasonably withheld, delayed or conditioned), at all times during the Pre-Closing Period, Parent shall not:</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8" w:name="page359"/>
    <w:bookmarkEnd w:id="35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780" w:firstLine="1946"/>
        <w:spacing w:after="0" w:line="310" w:lineRule="auto"/>
        <w:tabs>
          <w:tab w:leader="none" w:pos="311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declare, accrue, set aside or pay any dividend or make any other distribution in respect of any shares of its capital stock or repurchase, redeem or otherwise reacquire any shares of its capital stock or other securities (except in connection with the payment of the exercise price and/or withholding Taxes incurred upon the exercise, settlement or vesting of any award granted under any Parent Stock Plan);</w:t>
      </w:r>
    </w:p>
    <w:p>
      <w:pPr>
        <w:spacing w:after="0" w:line="148" w:lineRule="exact"/>
        <w:rPr>
          <w:rFonts w:ascii="Arial" w:cs="Arial" w:eastAsia="Arial" w:hAnsi="Arial"/>
          <w:sz w:val="16"/>
          <w:szCs w:val="16"/>
          <w:color w:val="auto"/>
        </w:rPr>
      </w:pPr>
    </w:p>
    <w:p>
      <w:pPr>
        <w:ind w:left="3160" w:hanging="434"/>
        <w:spacing w:after="0"/>
        <w:tabs>
          <w:tab w:leader="none" w:pos="316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sell, issue, grant, pledge or otherwise dispose of or encumber or authorize any of the foregoing with respect to:</w:t>
      </w:r>
    </w:p>
    <w:p>
      <w:pPr>
        <w:spacing w:after="0" w:line="45" w:lineRule="exact"/>
        <w:rPr>
          <w:rFonts w:ascii="Arial" w:cs="Arial" w:eastAsia="Arial" w:hAnsi="Arial"/>
          <w:sz w:val="16"/>
          <w:szCs w:val="16"/>
          <w:color w:val="auto"/>
        </w:rPr>
      </w:pPr>
    </w:p>
    <w:p>
      <w:pPr>
        <w:ind w:left="780" w:right="300" w:firstLine="8"/>
        <w:spacing w:after="0" w:line="254" w:lineRule="auto"/>
        <w:tabs>
          <w:tab w:leader="none" w:pos="10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capital stock or other security of Parent (except for Parent Common Stock issued upon the valid exercise or settlement of outstanding Parent Options or Parent RSUs); (B) any option, warrant or right to acquire any capital stock or any other security; or (C) any instrument convertible into or exchangeable for any capital stock or other security of Parent;</w:t>
      </w:r>
    </w:p>
    <w:p>
      <w:pPr>
        <w:spacing w:after="0" w:line="189" w:lineRule="exact"/>
        <w:rPr>
          <w:rFonts w:ascii="Arial" w:cs="Arial" w:eastAsia="Arial" w:hAnsi="Arial"/>
          <w:sz w:val="18"/>
          <w:szCs w:val="18"/>
          <w:color w:val="auto"/>
        </w:rPr>
      </w:pPr>
    </w:p>
    <w:p>
      <w:pPr>
        <w:ind w:left="780" w:firstLine="1946"/>
        <w:spacing w:after="0" w:line="310" w:lineRule="auto"/>
        <w:tabs>
          <w:tab w:leader="none" w:pos="3211"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48" w:lineRule="exact"/>
        <w:rPr>
          <w:rFonts w:ascii="Arial" w:cs="Arial" w:eastAsia="Arial" w:hAnsi="Arial"/>
          <w:sz w:val="16"/>
          <w:szCs w:val="16"/>
          <w:color w:val="auto"/>
        </w:rPr>
      </w:pPr>
    </w:p>
    <w:p>
      <w:pPr>
        <w:ind w:left="3200" w:hanging="474"/>
        <w:spacing w:after="0"/>
        <w:tabs>
          <w:tab w:leader="none" w:pos="320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venture with any other Entity;</w:t>
      </w:r>
    </w:p>
    <w:p>
      <w:pPr>
        <w:spacing w:after="0" w:line="209" w:lineRule="exact"/>
        <w:rPr>
          <w:rFonts w:ascii="Arial" w:cs="Arial" w:eastAsia="Arial" w:hAnsi="Arial"/>
          <w:sz w:val="17"/>
          <w:szCs w:val="17"/>
          <w:color w:val="auto"/>
        </w:rPr>
      </w:pPr>
    </w:p>
    <w:p>
      <w:pPr>
        <w:ind w:left="780" w:right="60" w:firstLine="1946"/>
        <w:spacing w:after="0" w:line="258" w:lineRule="auto"/>
        <w:tabs>
          <w:tab w:leader="none" w:pos="319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 in excess of the budgeted capital expenditure and commitment amounts set forth in the Parent operating budget delivered to the Company concurrently with the execution of this Agreement (the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Budget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80" w:right="120" w:firstLine="1946"/>
        <w:spacing w:after="0" w:line="289" w:lineRule="auto"/>
        <w:tabs>
          <w:tab w:leader="none" w:pos="3201"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other than as required by applicable Law or the terms of any Parent Benefit Plan as in effect on the date of this Agreement (including any retention arrangement entered into prior to the date of this Agreement and disclosed in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Parent Disclosure Schedule): (A) adopt, terminate, establish or enter into any Parent Benefit Plan; (B) cause or permit any Parent Benefit Plan to be amended in any material respect; (C) pay any bonus or make any profit-sharing or similar payment to, or increase the amount of the wages, salary, commissions, benefits or other compensation or remuneration payable to, any of its directors, officers or employees, other than increases in base salary and annual cash bonus opportunities and payments made in the Ordinary Course of Business consistent with past practice; (D) increase the severance or change of control benefits offered to any current or new employees, directors or consultants or (E) hire, terminate or give notice of termination to any (x) officer or (y) employee whose annual base salary is or is expected to be more than $125,000 per year;</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9" w:name="page360"/>
    <w:bookmarkEnd w:id="35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260" w:hanging="534"/>
        <w:spacing w:after="0"/>
        <w:tabs>
          <w:tab w:leader="none" w:pos="3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recognize any labor union, labor organization, or similar Person;</w:t>
      </w:r>
    </w:p>
    <w:p>
      <w:pPr>
        <w:spacing w:after="0" w:line="223" w:lineRule="exact"/>
        <w:rPr>
          <w:rFonts w:ascii="Arial" w:cs="Arial" w:eastAsia="Arial" w:hAnsi="Arial"/>
          <w:sz w:val="18"/>
          <w:szCs w:val="18"/>
          <w:color w:val="auto"/>
        </w:rPr>
      </w:pPr>
    </w:p>
    <w:p>
      <w:pPr>
        <w:ind w:left="3260" w:hanging="534"/>
        <w:spacing w:after="0"/>
        <w:tabs>
          <w:tab w:leader="none" w:pos="3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enter into any material transaction other than in the Ordinary Course of Business;</w:t>
      </w:r>
    </w:p>
    <w:p>
      <w:pPr>
        <w:spacing w:after="0" w:line="223" w:lineRule="exact"/>
        <w:rPr>
          <w:rFonts w:ascii="Arial" w:cs="Arial" w:eastAsia="Arial" w:hAnsi="Arial"/>
          <w:sz w:val="18"/>
          <w:szCs w:val="18"/>
          <w:color w:val="auto"/>
        </w:rPr>
      </w:pPr>
    </w:p>
    <w:p>
      <w:pPr>
        <w:ind w:left="780" w:right="280" w:firstLine="1946"/>
        <w:spacing w:after="0" w:line="276" w:lineRule="auto"/>
        <w:tabs>
          <w:tab w:leader="none" w:pos="324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169" w:lineRule="exact"/>
        <w:rPr>
          <w:rFonts w:ascii="Arial" w:cs="Arial" w:eastAsia="Arial" w:hAnsi="Arial"/>
          <w:sz w:val="18"/>
          <w:szCs w:val="18"/>
          <w:color w:val="auto"/>
        </w:rPr>
      </w:pPr>
    </w:p>
    <w:p>
      <w:pPr>
        <w:ind w:left="780" w:right="120" w:firstLine="1946"/>
        <w:spacing w:after="0" w:line="292" w:lineRule="auto"/>
        <w:tabs>
          <w:tab w:leader="none" w:pos="324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make, change or revoke any Tax election, fail to pay any income or other material Tax as such Tax becomes due and payable, file any amendment making any material change to any Tax Return, settle or compromise any income or other material Tax liability,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in connection with any extension of time to file any Tax Return), or adopt or change any accounting method in respect of Taxes;</w:t>
      </w:r>
    </w:p>
    <w:p>
      <w:pPr>
        <w:spacing w:after="0" w:line="164" w:lineRule="exact"/>
        <w:rPr>
          <w:rFonts w:ascii="Arial" w:cs="Arial" w:eastAsia="Arial" w:hAnsi="Arial"/>
          <w:sz w:val="16"/>
          <w:szCs w:val="16"/>
          <w:color w:val="auto"/>
        </w:rPr>
      </w:pPr>
    </w:p>
    <w:p>
      <w:pPr>
        <w:ind w:left="3260" w:hanging="534"/>
        <w:spacing w:after="0"/>
        <w:tabs>
          <w:tab w:leader="none" w:pos="3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enter into, materially amend or terminate any Parent Material Contract;</w:t>
      </w:r>
    </w:p>
    <w:p>
      <w:pPr>
        <w:spacing w:after="0" w:line="223" w:lineRule="exact"/>
        <w:rPr>
          <w:rFonts w:ascii="Arial" w:cs="Arial" w:eastAsia="Arial" w:hAnsi="Arial"/>
          <w:sz w:val="18"/>
          <w:szCs w:val="18"/>
          <w:color w:val="auto"/>
        </w:rPr>
      </w:pPr>
    </w:p>
    <w:p>
      <w:pPr>
        <w:ind w:left="780" w:right="120" w:firstLine="1946"/>
        <w:spacing w:after="0" w:line="276" w:lineRule="auto"/>
        <w:tabs>
          <w:tab w:leader="none" w:pos="320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except as otherwise set forth in the Parent Budget, make any expenditures, incur any Liabilities or discharge or satisfy any Liabilities, in each case, in amounts that exceed the aggregate amount of the Parent Budget by $300,000;</w:t>
      </w:r>
    </w:p>
    <w:p>
      <w:pPr>
        <w:spacing w:after="0" w:line="169" w:lineRule="exact"/>
        <w:rPr>
          <w:rFonts w:ascii="Arial" w:cs="Arial" w:eastAsia="Arial" w:hAnsi="Arial"/>
          <w:sz w:val="18"/>
          <w:szCs w:val="18"/>
          <w:color w:val="auto"/>
        </w:rPr>
      </w:pPr>
    </w:p>
    <w:p>
      <w:pPr>
        <w:ind w:left="3220" w:hanging="494"/>
        <w:spacing w:after="0"/>
        <w:tabs>
          <w:tab w:leader="none" w:pos="322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other than as required by Law or GAAP, take any action to materially change its accounting policies or</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procedures; or</w:t>
      </w:r>
    </w:p>
    <w:p>
      <w:pPr>
        <w:spacing w:after="0" w:line="209" w:lineRule="exact"/>
        <w:rPr>
          <w:rFonts w:ascii="Arial" w:cs="Arial" w:eastAsia="Arial" w:hAnsi="Arial"/>
          <w:sz w:val="17"/>
          <w:szCs w:val="17"/>
          <w:color w:val="auto"/>
        </w:rPr>
      </w:pPr>
    </w:p>
    <w:p>
      <w:pPr>
        <w:ind w:left="3200" w:hanging="474"/>
        <w:spacing w:after="0"/>
        <w:tabs>
          <w:tab w:leader="none" w:pos="32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4" w:lineRule="exact"/>
        <w:rPr>
          <w:sz w:val="20"/>
          <w:szCs w:val="20"/>
          <w:color w:val="auto"/>
        </w:rPr>
      </w:pPr>
    </w:p>
    <w:p>
      <w:pPr>
        <w:ind w:left="140" w:right="80" w:firstLine="1292"/>
        <w:spacing w:after="0" w:line="262" w:lineRule="auto"/>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u w:val="single" w:color="auto"/>
          <w:color w:val="auto"/>
        </w:rPr>
        <w:t>Operation of the Company’s Business</w:t>
      </w:r>
      <w:r>
        <w:rPr>
          <w:rFonts w:ascii="Arial" w:cs="Arial" w:eastAsia="Arial" w:hAnsi="Arial"/>
          <w:sz w:val="15"/>
          <w:szCs w:val="15"/>
          <w:color w:val="auto"/>
        </w:rPr>
        <w:t>.</w:t>
      </w:r>
    </w:p>
    <w:p>
      <w:pPr>
        <w:spacing w:after="0" w:line="228" w:lineRule="exact"/>
        <w:rPr>
          <w:sz w:val="20"/>
          <w:szCs w:val="20"/>
          <w:color w:val="auto"/>
        </w:rPr>
      </w:pPr>
    </w:p>
    <w:p>
      <w:pPr>
        <w:ind w:left="140" w:firstLine="1940"/>
        <w:spacing w:after="0" w:line="300" w:lineRule="auto"/>
        <w:tabs>
          <w:tab w:leader="none" w:pos="250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of the Company Disclosure Schedule, as expressly permitted by this Agreement, as required by applicable Law or unless Parent shall otherwise consent in writing (which consent shall not be unreasonably withheld, delayed or conditioned), during the Pre-Closing Period: each of the Company and its Subsidiaries shall conduct its business and operations in the Ordinary Course of Business and in compliance with all applicable Laws and the requirements of all Contracts that constitute Company Material Contracts.</w:t>
      </w:r>
    </w:p>
    <w:p>
      <w:pPr>
        <w:spacing w:after="0" w:line="156" w:lineRule="exact"/>
        <w:rPr>
          <w:rFonts w:ascii="Arial" w:cs="Arial" w:eastAsia="Arial" w:hAnsi="Arial"/>
          <w:sz w:val="16"/>
          <w:szCs w:val="16"/>
          <w:color w:val="auto"/>
        </w:rPr>
      </w:pPr>
    </w:p>
    <w:p>
      <w:pPr>
        <w:ind w:left="140" w:right="20" w:firstLine="1940"/>
        <w:spacing w:after="0" w:line="258" w:lineRule="auto"/>
        <w:tabs>
          <w:tab w:leader="none" w:pos="251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Except (i) as expressly permitted by this Agreement, (ii) as set forth in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Company Disclosure Schedule, (iii) as required by applicable Law or (iv) with the prior written consent of Parent (which consent shall not be unreasonably withheld, delayed or conditioned), at all times during the Pre-Closing Period, the Company shall not, nor shall it cause or permit any of its Subsidiaries to, do any of the following:</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0" w:name="page361"/>
    <w:bookmarkEnd w:id="36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780" w:right="180" w:firstLine="1946"/>
        <w:spacing w:after="0" w:line="262" w:lineRule="auto"/>
        <w:tabs>
          <w:tab w:leader="none" w:pos="315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its capital stock or other securities (except for shares of Company Common Stock from terminated employees, directors or consultants of the Company);</w:t>
      </w:r>
    </w:p>
    <w:p>
      <w:pPr>
        <w:spacing w:after="0" w:line="183" w:lineRule="exact"/>
        <w:rPr>
          <w:rFonts w:ascii="Arial" w:cs="Arial" w:eastAsia="Arial" w:hAnsi="Arial"/>
          <w:sz w:val="18"/>
          <w:szCs w:val="18"/>
          <w:color w:val="auto"/>
        </w:rPr>
      </w:pPr>
    </w:p>
    <w:p>
      <w:pPr>
        <w:ind w:left="3160" w:hanging="434"/>
        <w:spacing w:after="0"/>
        <w:tabs>
          <w:tab w:leader="none" w:pos="316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sell, issue, grant, pledge or otherwise dispose of or encumber or authorize any of the foregoing with respect to:</w:t>
      </w:r>
    </w:p>
    <w:p>
      <w:pPr>
        <w:spacing w:after="0" w:line="45" w:lineRule="exact"/>
        <w:rPr>
          <w:rFonts w:ascii="Arial" w:cs="Arial" w:eastAsia="Arial" w:hAnsi="Arial"/>
          <w:sz w:val="16"/>
          <w:szCs w:val="16"/>
          <w:color w:val="auto"/>
        </w:rPr>
      </w:pPr>
    </w:p>
    <w:p>
      <w:pPr>
        <w:ind w:left="780" w:right="40" w:firstLine="8"/>
        <w:spacing w:after="0" w:line="268" w:lineRule="auto"/>
        <w:tabs>
          <w:tab w:leader="none" w:pos="107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 capital stock or other security of the Company or any of its Subsidiaries (except for shares of outstanding Company Common Stock issued upon the valid exercise of Company Options that are outstanding as of immediately prior to the date of this Agreement); provided, however, that the Company may sell up to $25 million in the aggregate of capital stock or other securities of the Company in a bona fide equity financing with a third party (it being agreed that any such stock issuance shall increase the Company Valuation by an amount equal to 60% of the aggregate amount of such equity financing and the Parent Valuation by an amount equal to 40% of the aggregate amount of such equity financing); (B) any option, warrant or right to acquire any capital stock or any other security; or (C) any instrument convertible into or exchangeable for any capital stock or other security of the Company or any of its Subsidiaries;</w:t>
      </w:r>
    </w:p>
    <w:p>
      <w:pPr>
        <w:spacing w:after="0" w:line="180" w:lineRule="exact"/>
        <w:rPr>
          <w:rFonts w:ascii="Arial" w:cs="Arial" w:eastAsia="Arial" w:hAnsi="Arial"/>
          <w:sz w:val="17"/>
          <w:szCs w:val="17"/>
          <w:color w:val="auto"/>
        </w:rPr>
      </w:pPr>
    </w:p>
    <w:p>
      <w:pPr>
        <w:ind w:left="780" w:right="880" w:firstLine="1946"/>
        <w:spacing w:after="0" w:line="258" w:lineRule="auto"/>
        <w:tabs>
          <w:tab w:leader="none" w:pos="321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86" w:lineRule="exact"/>
        <w:rPr>
          <w:rFonts w:ascii="Arial" w:cs="Arial" w:eastAsia="Arial" w:hAnsi="Arial"/>
          <w:sz w:val="18"/>
          <w:szCs w:val="18"/>
          <w:color w:val="auto"/>
        </w:rPr>
      </w:pPr>
    </w:p>
    <w:p>
      <w:pPr>
        <w:ind w:left="3200" w:hanging="474"/>
        <w:spacing w:after="0"/>
        <w:tabs>
          <w:tab w:leader="none" w:pos="320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venture with any other Entity;</w:t>
      </w:r>
    </w:p>
    <w:p>
      <w:pPr>
        <w:spacing w:after="0" w:line="209" w:lineRule="exact"/>
        <w:rPr>
          <w:rFonts w:ascii="Arial" w:cs="Arial" w:eastAsia="Arial" w:hAnsi="Arial"/>
          <w:sz w:val="17"/>
          <w:szCs w:val="17"/>
          <w:color w:val="auto"/>
        </w:rPr>
      </w:pPr>
    </w:p>
    <w:p>
      <w:pPr>
        <w:ind w:left="780" w:right="60" w:firstLine="1946"/>
        <w:spacing w:after="0" w:line="258" w:lineRule="auto"/>
        <w:tabs>
          <w:tab w:leader="none" w:pos="3196"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 in excess of the budgeted capital expenditure and commitment amounts set forth in the Company operating budget delivered to Parent concurrently with the execution of this Agreement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Budget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80" w:firstLine="1946"/>
        <w:spacing w:after="0" w:line="290" w:lineRule="auto"/>
        <w:tabs>
          <w:tab w:leader="none" w:pos="320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other than as required by applicable Law or the terms of any Benefit Plan as in effect on the date of this Agreement: (A) adopt, terminate, establish or enter into any Benefit Plan; (B) cause or permit any Benefit Plan to be amended in any material respect; (C) pay any bonus or make any profit-sharing or similar payment to, or increase the amount of the wages, salary, commissions, benefits or other compensation or remuneration payable to, any of its directors, officers or employees, other than increases in base salary and annual cash bonus opportunities and payments made in the Ordinary Course of Business consistent with past practice; (D) increase the severance or change of control benefits offered to any current or new employees, directors or consultants or (E) hire, terminate or give notice of termination to any (x) officer or (y) employee whose annual base salary is or is expected to be more than $125,000 per year;</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61" w:name="page362"/>
    <w:bookmarkEnd w:id="36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220" w:hanging="494"/>
        <w:spacing w:after="0"/>
        <w:tabs>
          <w:tab w:leader="none" w:pos="32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recognize any labor union, labor organization, or similar Person;</w:t>
      </w:r>
    </w:p>
    <w:p>
      <w:pPr>
        <w:spacing w:after="0" w:line="223" w:lineRule="exact"/>
        <w:rPr>
          <w:rFonts w:ascii="Arial" w:cs="Arial" w:eastAsia="Arial" w:hAnsi="Arial"/>
          <w:sz w:val="18"/>
          <w:szCs w:val="18"/>
          <w:color w:val="auto"/>
        </w:rPr>
      </w:pPr>
    </w:p>
    <w:p>
      <w:pPr>
        <w:ind w:left="3220" w:hanging="494"/>
        <w:spacing w:after="0"/>
        <w:tabs>
          <w:tab w:leader="none" w:pos="32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enter into any material transaction other than in the Ordinary Course of Business;</w:t>
      </w:r>
    </w:p>
    <w:p>
      <w:pPr>
        <w:spacing w:after="0" w:line="223" w:lineRule="exact"/>
        <w:rPr>
          <w:rFonts w:ascii="Arial" w:cs="Arial" w:eastAsia="Arial" w:hAnsi="Arial"/>
          <w:sz w:val="18"/>
          <w:szCs w:val="18"/>
          <w:color w:val="auto"/>
        </w:rPr>
      </w:pPr>
    </w:p>
    <w:p>
      <w:pPr>
        <w:ind w:left="780" w:right="340" w:firstLine="1946"/>
        <w:spacing w:after="0" w:line="276" w:lineRule="auto"/>
        <w:tabs>
          <w:tab w:leader="none" w:pos="320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169" w:lineRule="exact"/>
        <w:rPr>
          <w:rFonts w:ascii="Arial" w:cs="Arial" w:eastAsia="Arial" w:hAnsi="Arial"/>
          <w:sz w:val="18"/>
          <w:szCs w:val="18"/>
          <w:color w:val="auto"/>
        </w:rPr>
      </w:pPr>
    </w:p>
    <w:p>
      <w:pPr>
        <w:ind w:left="780" w:right="300" w:firstLine="1946"/>
        <w:spacing w:after="0" w:line="276" w:lineRule="auto"/>
        <w:tabs>
          <w:tab w:leader="none" w:pos="319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Company IP Rights (other than pursuant to non-exclusive licenses in the Ordinary Course of Business);</w:t>
      </w:r>
    </w:p>
    <w:p>
      <w:pPr>
        <w:spacing w:after="0" w:line="169" w:lineRule="exact"/>
        <w:rPr>
          <w:rFonts w:ascii="Arial" w:cs="Arial" w:eastAsia="Arial" w:hAnsi="Arial"/>
          <w:sz w:val="18"/>
          <w:szCs w:val="18"/>
          <w:color w:val="auto"/>
        </w:rPr>
      </w:pPr>
    </w:p>
    <w:p>
      <w:pPr>
        <w:ind w:left="780" w:right="20" w:firstLine="1946"/>
        <w:spacing w:after="0" w:line="292" w:lineRule="auto"/>
        <w:tabs>
          <w:tab w:leader="none" w:pos="320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make, change or revoke any Tax election, fail to pay any income or other material Tax as such Tax becomes due and payable, file any amendment making any material change to any Tax Return, settle or compromise any income or other material Tax liability, enter into any Tax allocation, sharing, indemnification or other similar agreement or arrangement (other than customary commercial contracts entered into in the Ordinary Course of Business the principal subject matter of which is not Taxes), request or consent to any extension or waiver of any limitation period with respect to any claim or assessment for any income or other material Taxes (other than in connection with any extension of time to file any Tax Return), or adopt or change any accounting method in respect of Taxes;</w:t>
      </w:r>
    </w:p>
    <w:p>
      <w:pPr>
        <w:spacing w:after="0" w:line="164" w:lineRule="exact"/>
        <w:rPr>
          <w:rFonts w:ascii="Arial" w:cs="Arial" w:eastAsia="Arial" w:hAnsi="Arial"/>
          <w:sz w:val="16"/>
          <w:szCs w:val="16"/>
          <w:color w:val="auto"/>
        </w:rPr>
      </w:pPr>
    </w:p>
    <w:p>
      <w:pPr>
        <w:ind w:left="3260" w:hanging="534"/>
        <w:spacing w:after="0"/>
        <w:tabs>
          <w:tab w:leader="none" w:pos="32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enter into, materially amend or terminate any Company Material Contract;</w:t>
      </w:r>
    </w:p>
    <w:p>
      <w:pPr>
        <w:spacing w:after="0" w:line="223" w:lineRule="exact"/>
        <w:rPr>
          <w:rFonts w:ascii="Arial" w:cs="Arial" w:eastAsia="Arial" w:hAnsi="Arial"/>
          <w:sz w:val="18"/>
          <w:szCs w:val="18"/>
          <w:color w:val="auto"/>
        </w:rPr>
      </w:pPr>
    </w:p>
    <w:p>
      <w:pPr>
        <w:ind w:left="780" w:right="20" w:firstLine="1946"/>
        <w:spacing w:after="0" w:line="306" w:lineRule="auto"/>
        <w:tabs>
          <w:tab w:leader="none" w:pos="325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except as otherwise set forth in the Company Budget, make any expenditures, incur any Liabilities or discharge or satisfy any Liabilities, in each case, in amounts that exceed the aggregate amount of the Company Budget by $300,000;</w:t>
      </w:r>
    </w:p>
    <w:p>
      <w:pPr>
        <w:spacing w:after="0" w:line="147" w:lineRule="exact"/>
        <w:rPr>
          <w:rFonts w:ascii="Arial" w:cs="Arial" w:eastAsia="Arial" w:hAnsi="Arial"/>
          <w:sz w:val="17"/>
          <w:szCs w:val="17"/>
          <w:color w:val="auto"/>
        </w:rPr>
      </w:pPr>
    </w:p>
    <w:p>
      <w:pPr>
        <w:ind w:left="3260" w:hanging="534"/>
        <w:spacing w:after="0"/>
        <w:tabs>
          <w:tab w:leader="none" w:pos="32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other than as required by Law or GAAP, take any action to materially change its accounting policies or</w:t>
      </w:r>
    </w:p>
    <w:p>
      <w:pPr>
        <w:spacing w:after="0" w:line="34"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procedures; or</w:t>
      </w:r>
    </w:p>
    <w:p>
      <w:pPr>
        <w:spacing w:after="0" w:line="209" w:lineRule="exact"/>
        <w:rPr>
          <w:rFonts w:ascii="Arial" w:cs="Arial" w:eastAsia="Arial" w:hAnsi="Arial"/>
          <w:sz w:val="17"/>
          <w:szCs w:val="17"/>
          <w:color w:val="auto"/>
        </w:rPr>
      </w:pPr>
    </w:p>
    <w:p>
      <w:pPr>
        <w:ind w:left="3240" w:hanging="514"/>
        <w:spacing w:after="0"/>
        <w:tabs>
          <w:tab w:leader="none" w:pos="32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4" w:lineRule="exact"/>
        <w:rPr>
          <w:sz w:val="20"/>
          <w:szCs w:val="20"/>
          <w:color w:val="auto"/>
        </w:rPr>
      </w:pPr>
    </w:p>
    <w:p>
      <w:pPr>
        <w:ind w:left="140" w:firstLine="1940"/>
        <w:spacing w:after="0" w:line="262" w:lineRule="auto"/>
        <w:tabs>
          <w:tab w:leader="none" w:pos="250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Nothing contained in this Agreement shall give Parent,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2" w:name="page363"/>
    <w:bookmarkEnd w:id="36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40" w:firstLine="1292"/>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Access and Investigation</w:t>
      </w:r>
      <w:r>
        <w:rPr>
          <w:rFonts w:ascii="Arial" w:cs="Arial" w:eastAsia="Arial" w:hAnsi="Arial"/>
          <w:sz w:val="16"/>
          <w:szCs w:val="16"/>
          <w:color w:val="auto"/>
        </w:rPr>
        <w:t xml:space="preserve">.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appropriate and; (d) make available to the other Party copies of unaudited financial statements, material operating and financial reports prepared for senior management or the board of directors of such Party, and any material notice, report or other document filed with or sent to or received from any Governmental Body in connection with the Contemplated Transactions. Any investigation conducted by either Parent or the Company pursuant to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shall be conducted in such manner as not to interfere unreasonably with the conduct of the business of the other Party.</w:t>
      </w:r>
    </w:p>
    <w:p>
      <w:pPr>
        <w:spacing w:after="0" w:line="175" w:lineRule="exact"/>
        <w:rPr>
          <w:sz w:val="20"/>
          <w:szCs w:val="20"/>
          <w:color w:val="auto"/>
        </w:rPr>
      </w:pPr>
    </w:p>
    <w:p>
      <w:pPr>
        <w:ind w:left="140" w:right="40"/>
        <w:spacing w:after="0" w:line="262" w:lineRule="auto"/>
        <w:rPr>
          <w:sz w:val="20"/>
          <w:szCs w:val="20"/>
          <w:color w:val="auto"/>
        </w:rPr>
      </w:pPr>
      <w:r>
        <w:rPr>
          <w:rFonts w:ascii="Arial" w:cs="Arial" w:eastAsia="Arial" w:hAnsi="Arial"/>
          <w:sz w:val="18"/>
          <w:szCs w:val="18"/>
          <w:color w:val="auto"/>
        </w:rPr>
        <w:t>Notwithstanding the foregoing, any Party may restrict the foregoing access to the extent that any Law applicable to such Party requires such Party to restrict or prohibit access to any such properties or information or as may be necessary to preserve the attorney-client privilege under any circumstances in which such privilege may be jeopardized by such disclosure or access.</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u w:val="single" w:color="auto"/>
          <w:color w:val="auto"/>
        </w:rPr>
        <w:t>Parent Non-Solicitation</w:t>
      </w:r>
      <w:r>
        <w:rPr>
          <w:rFonts w:ascii="Arial" w:cs="Arial" w:eastAsia="Arial" w:hAnsi="Arial"/>
          <w:sz w:val="16"/>
          <w:szCs w:val="16"/>
          <w:color w:val="auto"/>
        </w:rPr>
        <w:t>.</w:t>
      </w:r>
    </w:p>
    <w:p>
      <w:pPr>
        <w:spacing w:after="0" w:line="228" w:lineRule="exact"/>
        <w:rPr>
          <w:sz w:val="20"/>
          <w:szCs w:val="20"/>
          <w:color w:val="auto"/>
        </w:rPr>
      </w:pPr>
    </w:p>
    <w:p>
      <w:pPr>
        <w:ind w:left="140" w:right="40" w:firstLine="1940"/>
        <w:spacing w:after="0" w:line="284" w:lineRule="auto"/>
        <w:tabs>
          <w:tab w:leader="none" w:pos="2501"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Parent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Parent or any of its Subsidiaries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ind w:left="140" w:firstLine="2"/>
        <w:spacing w:after="0" w:line="284" w:lineRule="auto"/>
        <w:tabs>
          <w:tab w:leader="none" w:pos="39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execute or enter into any letter of intent or any Contract contemplating or otherwise relating to any Acquisition Transaction; or (vi) publicly propose to do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anything contained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subject to compliance with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prior to obtaining the Required Parent Stockholder Vote,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Parent’s outside financial advisors and outside legal counsel, constitutes, or is reasonably likely to result in, a Superior Offer (and is not withdrawn) if: (A) neither Parent nor any of its Representatives shall have breached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in any material respect, (B) the Parent Board concludes in good faith based on the advice of outside legal counsel, that the failure to take such action is reasonably likely to be inconsistent with the fiduciary duties of the Parent Board under applicable Law; (C) Parent receives from such Person an executed confidentiality agreement containing provisions (including nondisclosure provisions, use restrictions, non-solicitation provisions and no hire provisions) at least as favorable to Parent as those contained in the Confidentiality Agreement; and (D) substantially contemporaneously with furnishing any such nonpublic information to such Person, Parent furnishes such nonpublic information to the Company (to the extent such information has not been previously furnished by Parent to the Company). Without limiting the generality of the foregoing, Parent acknowledges and agrees that, in the event any Representative of Parent (whether or not such Representative is purporting to act on behalf of Parent) takes any action that, if taken by Parent, would constitute a breach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taking of such action by such Representative shall be deemed to constitute a breach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by Parent for purposes of this Agreement.</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3" w:name="page364"/>
    <w:bookmarkEnd w:id="36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40" w:firstLine="1940"/>
        <w:spacing w:after="0" w:line="254" w:lineRule="auto"/>
        <w:tabs>
          <w:tab w:leader="none" w:pos="251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Parent or any Representative of Parent receives an Acquisition Proposal or Acquisition Inquiry at any time during the Pre-Closing Period, then Parent shall promptly (and in no event later than one Business Day after Parent becomes aware of such Acquisition Proposal or Acquisition Inquiry) advise the Company orally and in writing of such Acquisition Proposal or Acquisition Inquiry (including the identity of the Person making or submitting such Acquisition Proposal or Acquisition Inquiry, and the material terms thereof). Parent shall keep the Company reasonably informed with respect to the status and material terms of any such Acquisition Proposal or Acquisition Inquiry and any material modification or proposed material modification thereto.</w:t>
      </w:r>
    </w:p>
    <w:p>
      <w:pPr>
        <w:spacing w:after="0" w:line="192" w:lineRule="exact"/>
        <w:rPr>
          <w:rFonts w:ascii="Arial" w:cs="Arial" w:eastAsia="Arial" w:hAnsi="Arial"/>
          <w:sz w:val="18"/>
          <w:szCs w:val="18"/>
          <w:color w:val="auto"/>
        </w:rPr>
      </w:pPr>
    </w:p>
    <w:p>
      <w:pPr>
        <w:ind w:left="140" w:firstLine="1940"/>
        <w:spacing w:after="0" w:line="262" w:lineRule="auto"/>
        <w:tabs>
          <w:tab w:leader="none" w:pos="250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Parent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of Parent or any of its Subsidiaries provided to such Person.</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Company Non-Solicitation</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68" w:lineRule="auto"/>
        <w:tabs>
          <w:tab w:leader="none" w:pos="249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the Company or any of its Subsidiaries to any Person in connection with or in response to an Acquisition Proposal or Acquisition Inquiry; (iii) engage in discussions or negotiations with any Person with respect to any Acquisition Proposal or Acquisition Inquiry; (iv) approve, endorse or recommend any Acquisition Proposal; (v) execute or enter into any letter of intent or any Contract contemplating or otherwise relating to any Acquisition Transaction; or (vi) publicly propose to do any of the foregoing. Without limiting the generality of the foregoing, the Company acknowledges and agrees that, in the event any Representative of the Company (whether or not such Representative is purporting to act on behalf of the Company) takes any action that, if taken by the Company, would constitute a breach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the taking of such action by such Representative shall be deemed to constitute a breach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by the Company for purposes of this Agreement.</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364" w:name="page365"/>
    <w:bookmarkEnd w:id="36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60" w:firstLine="1940"/>
        <w:spacing w:after="0" w:line="254" w:lineRule="auto"/>
        <w:tabs>
          <w:tab w:leader="none" w:pos="25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the Company or any Representative of the Company receives an Acquisition Proposal or Acquisition Inquiry at any time during the Pre-Closing Period, then the Company shall promptly (and in no event later than one Business Day after the Company becomes aware of such Acquisition Proposal or Acquisition Inquiry) advise Parent orally and in writing of such Acquisition Proposal or Acquisition Inquiry (including the identity of the Person making or submitting such Acquisition Proposal or Acquisition Inquiry, and the material terms thereof). The Company shall keep Parent reasonably informed with respect to the status and material terms of any such Acquisition Proposal or Acquisition Inquiry and any material modification or proposed material modification thereto.</w:t>
      </w:r>
    </w:p>
    <w:p>
      <w:pPr>
        <w:spacing w:after="0" w:line="192" w:lineRule="exact"/>
        <w:rPr>
          <w:rFonts w:ascii="Arial" w:cs="Arial" w:eastAsia="Arial" w:hAnsi="Arial"/>
          <w:sz w:val="18"/>
          <w:szCs w:val="18"/>
          <w:color w:val="auto"/>
        </w:rPr>
      </w:pPr>
    </w:p>
    <w:p>
      <w:pPr>
        <w:ind w:left="140" w:firstLine="1940"/>
        <w:spacing w:after="0" w:line="262" w:lineRule="auto"/>
        <w:tabs>
          <w:tab w:leader="none" w:pos="249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Company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of the Company or any of its Subsidiaries provided to such Person.</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Notification of Certain Matters</w:t>
      </w:r>
      <w:r>
        <w:rPr>
          <w:rFonts w:ascii="Arial" w:cs="Arial" w:eastAsia="Arial" w:hAnsi="Arial"/>
          <w:sz w:val="16"/>
          <w:szCs w:val="16"/>
          <w:color w:val="auto"/>
        </w:rPr>
        <w:t>.</w:t>
      </w:r>
    </w:p>
    <w:p>
      <w:pPr>
        <w:spacing w:after="0" w:line="228" w:lineRule="exact"/>
        <w:rPr>
          <w:sz w:val="20"/>
          <w:szCs w:val="20"/>
          <w:color w:val="auto"/>
        </w:rPr>
      </w:pPr>
    </w:p>
    <w:p>
      <w:pPr>
        <w:ind w:left="2500" w:hanging="420"/>
        <w:spacing w:after="0"/>
        <w:tabs>
          <w:tab w:leader="none" w:pos="25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During the Pre-Closing Period, the Company shall promptly notify Parent (and, if in writing, furnish copies of) if any of</w:t>
      </w:r>
    </w:p>
    <w:p>
      <w:pPr>
        <w:spacing w:after="0" w:line="34" w:lineRule="exact"/>
        <w:rPr>
          <w:rFonts w:ascii="Arial" w:cs="Arial" w:eastAsia="Arial" w:hAnsi="Arial"/>
          <w:sz w:val="17"/>
          <w:szCs w:val="17"/>
          <w:color w:val="auto"/>
        </w:rPr>
      </w:pPr>
    </w:p>
    <w:p>
      <w:pPr>
        <w:ind w:left="140" w:right="8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the following occurs: (a) any notice or other communication is received from any Person alleging that the Consent of such Person is or may be required in connection with any of the Contemplated Transactions; (b) any Legal Proceeding against or involving or otherwise affecting the Company or its Subsidiaries is commenced, or, to the Knowledge of the Company, threatened in writing against the Company or its Subsidiaries or, to the Knowledge of the Company, any director, officer or Key Employee of the Company or its Subsidiaries; (c) the Company becomes aware of any material inaccuracy in any representation or warranty made by it in this Agreement; or (d) the failure of the Company to comply in any material respect with any covenant or obligation of the Company; in each case that could reasonably be expected to make the timely satisfaction of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as applicable, impossible or materially less likely. No notification given to Parent pursuant to this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shall change, limit or otherwise affect any of the representations, warranties, covenants or obligations of the Company or any of its Subsidiaries contained in this Agreement or the Company Disclosure Schedule for purposes of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as applicable.</w:t>
      </w:r>
    </w:p>
    <w:p>
      <w:pPr>
        <w:spacing w:after="0" w:line="181" w:lineRule="exact"/>
        <w:rPr>
          <w:rFonts w:ascii="Arial" w:cs="Arial" w:eastAsia="Arial" w:hAnsi="Arial"/>
          <w:sz w:val="17"/>
          <w:szCs w:val="17"/>
          <w:color w:val="auto"/>
        </w:rPr>
      </w:pPr>
    </w:p>
    <w:p>
      <w:pPr>
        <w:ind w:left="2520" w:hanging="440"/>
        <w:spacing w:after="0"/>
        <w:tabs>
          <w:tab w:leader="none" w:pos="25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During the Pre-Closing Period, Parent shall promptly notify the Company (and, if in writing, furnish copies of) if any of</w:t>
      </w:r>
    </w:p>
    <w:p>
      <w:pPr>
        <w:spacing w:after="0" w:line="45" w:lineRule="exact"/>
        <w:rPr>
          <w:rFonts w:ascii="Arial" w:cs="Arial" w:eastAsia="Arial" w:hAnsi="Arial"/>
          <w:sz w:val="16"/>
          <w:szCs w:val="16"/>
          <w:color w:val="auto"/>
        </w:rPr>
      </w:pPr>
    </w:p>
    <w:p>
      <w:pPr>
        <w:ind w:left="140" w:right="6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the following occurs: (a) any notice or other communication is received from any Person alleging that the Consent of such Person is or may be required in connection with any of the Contemplated Transactions; (b) any Legal Proceeding against or involving or otherwise affecting Parent or its Subsidiaries is commenced, or, to the Knowledge of Parent, threatened in writing against Parent or its Subsidiaries or, to the Knowledge of Parent, any director, officer or Key Employee of Parent or its Subsidiaries; (c) Parent becomes aware of any material inaccuracy in any representation or warranty made by it in this Agreement; or (d) the failure of Parent to comply in any material respect with any covenant or obligation of Parent; in each case that could reasonably be expected to make the timely satisfaction of any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as applicable, impossible or materially less likely. No notification given to the Company pursuant to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shall change, limit or otherwise affect any of the representations, warranties, covenants or obligations of Parent or any of its Subsidiaries contained in this Agreement or the Parent Disclosure Schedule for purposes of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as applicable.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5" w:name="page366"/>
    <w:bookmarkEnd w:id="36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8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u w:val="single" w:color="auto"/>
          <w:color w:val="auto"/>
        </w:rPr>
        <w:t>Code Section 280G Approval</w:t>
      </w:r>
      <w:r>
        <w:rPr>
          <w:rFonts w:ascii="Arial" w:cs="Arial" w:eastAsia="Arial" w:hAnsi="Arial"/>
          <w:sz w:val="16"/>
          <w:szCs w:val="16"/>
          <w:color w:val="auto"/>
        </w:rPr>
        <w:t>. The Company shall, no later than five (5) Business Days prior to the Closing Date, (a) use commercially reasonable efforts to secure from each “disqualified individual” (within the meaning of Code Section 280G) of the Company or any of its Subsidiaries or parent companies who has a right to any payments and/or benefits or potential right to any payments and/or benefits under any Benefit Plan or otherwise that are “contingent” (within the meaning of Code Section 280G) on the Contemplated Transactions and that would be deemed to constitute “parachute payments” (within the meaning of Code Section 280G) a waiver, subject to the approval described in clause (b), of such Person’s rights to all of such parachute payments (the “</w:t>
      </w:r>
      <w:r>
        <w:rPr>
          <w:rFonts w:ascii="Arial" w:cs="Arial" w:eastAsia="Arial" w:hAnsi="Arial"/>
          <w:sz w:val="16"/>
          <w:szCs w:val="16"/>
          <w:b w:val="1"/>
          <w:bCs w:val="1"/>
          <w:i w:val="1"/>
          <w:iCs w:val="1"/>
          <w:u w:val="single" w:color="auto"/>
          <w:color w:val="auto"/>
        </w:rPr>
        <w:t>Waived 280G Benefits</w:t>
      </w:r>
      <w:r>
        <w:rPr>
          <w:rFonts w:ascii="Arial" w:cs="Arial" w:eastAsia="Arial" w:hAnsi="Arial"/>
          <w:sz w:val="16"/>
          <w:szCs w:val="16"/>
          <w:color w:val="auto"/>
        </w:rPr>
        <w:t xml:space="preserve">”) and (b) solicit the approval of the stockholders of the Company, to the extent and in the manner required under Code Section 280G(b)(5)(B) and the regulations promulgated thereunder, of any Waived 280G Benefits. Not less than five (5) Business Days prior to distribution of any materials to stockholders or “disqualified individuals” (within the meaning of Code Section 280G) in connection with the waiver and vote described in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the Company shall provide Parent for its review and comment a copy of all such materials and a copy of its Code Section 280G calculations and shall accept all of Parent’s reasonable comments to such documents. Prior to the Closing Date, the Company shall deliver to Parent evidence that a vote of the Company’s stockholders was solicited in accordance with the foregoing provisions of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and that either (i) the requisite number of stockholder votes was obtained with respect to the Waived 280G Benefits (the “</w:t>
      </w:r>
      <w:r>
        <w:rPr>
          <w:rFonts w:ascii="Arial" w:cs="Arial" w:eastAsia="Arial" w:hAnsi="Arial"/>
          <w:sz w:val="16"/>
          <w:szCs w:val="16"/>
          <w:b w:val="1"/>
          <w:bCs w:val="1"/>
          <w:i w:val="1"/>
          <w:iCs w:val="1"/>
          <w:u w:val="single" w:color="auto"/>
          <w:color w:val="auto"/>
        </w:rPr>
        <w:t>280G Approval</w:t>
      </w:r>
      <w:r>
        <w:rPr>
          <w:rFonts w:ascii="Arial" w:cs="Arial" w:eastAsia="Arial" w:hAnsi="Arial"/>
          <w:sz w:val="16"/>
          <w:szCs w:val="16"/>
          <w:color w:val="auto"/>
        </w:rPr>
        <w:t>”), or (ii) that the 280G Approval was not obtained, and, as a consequence, the Waived 280G Benefits have not been and shall not be made or provided.</w:t>
      </w:r>
    </w:p>
    <w:p>
      <w:pPr>
        <w:spacing w:after="0" w:line="164" w:lineRule="exact"/>
        <w:rPr>
          <w:sz w:val="20"/>
          <w:szCs w:val="20"/>
          <w:color w:val="auto"/>
        </w:rPr>
      </w:pPr>
    </w:p>
    <w:p>
      <w:pPr>
        <w:jc w:val="center"/>
        <w:ind w:right="4760"/>
        <w:spacing w:after="0"/>
        <w:tabs>
          <w:tab w:leader="none" w:pos="200" w:val="left"/>
        </w:tabs>
        <w:rPr>
          <w:sz w:val="20"/>
          <w:szCs w:val="20"/>
          <w:color w:val="auto"/>
        </w:rPr>
      </w:pPr>
      <w:r>
        <w:rPr>
          <w:rFonts w:ascii="Arial" w:cs="Arial" w:eastAsia="Arial" w:hAnsi="Arial"/>
          <w:sz w:val="18"/>
          <w:szCs w:val="18"/>
          <w:b w:val="1"/>
          <w:bCs w:val="1"/>
          <w:color w:val="auto"/>
        </w:rPr>
        <w:t>Section 5.</w:t>
        <w:tab/>
        <w:t>ADDITIONAL AGREEMENTS OF THE PARTIES</w:t>
      </w:r>
    </w:p>
    <w:p>
      <w:pPr>
        <w:spacing w:after="0" w:line="224"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Registration Statement; Proxy Statement</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3" w:lineRule="auto"/>
        <w:tabs>
          <w:tab w:leader="none" w:pos="249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the Parties shall prepare, and Parent shall cause to be filed with the SEC, the Registration Statement, in which the Proxy Statement will be included as a prospectus. Parent covenants and agrees that the Proxy Statement, including any pro forma financial statements included therein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Parent further covenants to use reasonable best efforts to keep the Registration Statement effective for so long as necessary to complete the Merger. Prior to the Registration Statement being declared effective, (1) Parent shall use its reasonable best efforts to execute and deliver to Cooley LLP (“</w:t>
      </w:r>
      <w:r>
        <w:rPr>
          <w:rFonts w:ascii="Arial" w:cs="Arial" w:eastAsia="Arial" w:hAnsi="Arial"/>
          <w:sz w:val="16"/>
          <w:szCs w:val="16"/>
          <w:b w:val="1"/>
          <w:bCs w:val="1"/>
          <w:i w:val="1"/>
          <w:iCs w:val="1"/>
          <w:color w:val="auto"/>
        </w:rPr>
        <w:t>Cooley</w:t>
      </w:r>
      <w:r>
        <w:rPr>
          <w:rFonts w:ascii="Arial" w:cs="Arial" w:eastAsia="Arial" w:hAnsi="Arial"/>
          <w:sz w:val="16"/>
          <w:szCs w:val="16"/>
          <w:color w:val="auto"/>
        </w:rPr>
        <w:t>”) and to Dechert LLP (“</w:t>
      </w:r>
      <w:r>
        <w:rPr>
          <w:rFonts w:ascii="Arial" w:cs="Arial" w:eastAsia="Arial" w:hAnsi="Arial"/>
          <w:sz w:val="16"/>
          <w:szCs w:val="16"/>
          <w:b w:val="1"/>
          <w:bCs w:val="1"/>
          <w:i w:val="1"/>
          <w:iCs w:val="1"/>
          <w:color w:val="auto"/>
        </w:rPr>
        <w:t>Dechert</w:t>
      </w:r>
      <w:r>
        <w:rPr>
          <w:rFonts w:ascii="Arial" w:cs="Arial" w:eastAsia="Arial" w:hAnsi="Arial"/>
          <w:sz w:val="16"/>
          <w:szCs w:val="16"/>
          <w:color w:val="auto"/>
        </w:rPr>
        <w:t xml:space="preserve">”) the applicable “Tax Representation Letter” referenced in </w:t>
      </w:r>
      <w:r>
        <w:rPr>
          <w:rFonts w:ascii="Arial" w:cs="Arial" w:eastAsia="Arial" w:hAnsi="Arial"/>
          <w:sz w:val="16"/>
          <w:szCs w:val="16"/>
          <w:u w:val="single" w:color="auto"/>
          <w:color w:val="auto"/>
        </w:rPr>
        <w:t>Section 5.12(c)</w:t>
      </w:r>
      <w:r>
        <w:rPr>
          <w:rFonts w:ascii="Arial" w:cs="Arial" w:eastAsia="Arial" w:hAnsi="Arial"/>
          <w:sz w:val="16"/>
          <w:szCs w:val="16"/>
          <w:color w:val="auto"/>
        </w:rPr>
        <w:t xml:space="preserve">; and (2) the Company shall use its reasonable best efforts to execute and deliver to Cooley and to Dechert the applicable “Tax Representation Letter” referenced in </w:t>
      </w:r>
      <w:r>
        <w:rPr>
          <w:rFonts w:ascii="Arial" w:cs="Arial" w:eastAsia="Arial" w:hAnsi="Arial"/>
          <w:sz w:val="16"/>
          <w:szCs w:val="16"/>
          <w:u w:val="single" w:color="auto"/>
          <w:color w:val="auto"/>
        </w:rPr>
        <w:t>Section 5.12(c)</w:t>
      </w:r>
      <w:r>
        <w:rPr>
          <w:rFonts w:ascii="Arial" w:cs="Arial" w:eastAsia="Arial" w:hAnsi="Arial"/>
          <w:sz w:val="16"/>
          <w:szCs w:val="16"/>
          <w:color w:val="auto"/>
        </w:rPr>
        <w:t xml:space="preserve">. Following the delivery of the Tax Representation Letters pursuant to the preceding sentence, (x) Parent shall use its commercially reasonable efforts to cause Dechert to deliver to it a tax opinion satisfying the requirements of Item 601 of Regulation S-K under the Securities Act; and (y) the Company shall use its commercially reasonable efforts to cause Cooley to deliver to it a tax opinion satisfying the requirements of Item 601 of Regulation S-K under the Securities Act. In rendering such opinions, each of such counsel shall be entitled to rely on the Tax Representation Letters referred to in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The Company covenants and agrees that the information provided by the Company or its Subsidiaries to Parent for inclusion in the Proxy Statement (including the Company Financials) will not contain any untrue statement of a material fact or omit to state any material fact required to be stated therein or necessary in order to make such information not misleading. Notwithstanding the foregoing, Parent makes no covenant, representation or warranty with respect to statements made in the Proxy Statement (and the letter to stockholders, notice of meeting and form of proxy included therewith), if any, based on information provided by the Company or its Subsidiaries or any of their Representatives specifically for inclusion therein. The Company and its legal counsel shall be given reasonable opportunity to review and comment on the Proxy Statement, including all amendments and supplements thereto, prior to the filing thereof with the SEC, and on the response to any comments of the SEC on the Proxy Statement, prior to the filing thereof with the SEC. Parent shall use commercially reasonable efforts to cause the Registration Statement and the Proxy Statement to comply with the applicable rules and regulations promulgated by the SEC, to respond promptly to any comments of the SEC or its staff and to have the Registration Statement declared effective under the Securities Act as promptly as practicable after it is filed with the SEC. Each of the Parties shall use commercially reasonable efforts to cause the Proxy Statement to be mailed to Parent’s stockholders as promptly as practicable after the Registration Statement is declared effective under the Securities Act. Each Party shall promptly furnish to the other Party all information concerning such Party and such Party’s Affiliates and such Party’s stockholders that may be required or reasonably requested in connection with any action contemplated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 If Parent,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Parent stockholders.</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6" w:name="page367"/>
    <w:bookmarkEnd w:id="36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60" w:firstLine="1940"/>
        <w:spacing w:after="0" w:line="271" w:lineRule="auto"/>
        <w:tabs>
          <w:tab w:leader="none" w:pos="250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Company shall reasonably cooperate with Parent and provide, and require its Representatives to provide, Parent and its Representatives, with all true, correct and complete information regarding the Company or its Subsidiaries that is required by Law to be included in the Registration Statement or reasonably requested by Parent to be included in the Registration Statement. Without limiting the foregoing, the Company will use commercially reasonable efforts to cause to be delivered to Parent a consent letter of the Company’s independent accounting firm, dated no more than two Business Days before the date on which the Registration Statement becomes effective (and reasonably satisfactory in form and substance to Parent), that is customary in scope and substance for consent letters delivered by independent public accountants in connection with registration statements similar to the Registration Statement.</w:t>
      </w:r>
    </w:p>
    <w:p>
      <w:pPr>
        <w:spacing w:after="0" w:line="174"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Company Stockholder Written Consent</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69" w:lineRule="auto"/>
        <w:tabs>
          <w:tab w:leader="none" w:pos="250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Promptly after the Registration Statement shall have been declared effective under the Securities Act, and in any event no later than three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true and correct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Under no circumstances shall the Company assert that any other approval or consent is necessary by its stockholders to approve this Agreement and the Contemplated Transactions.</w:t>
      </w:r>
    </w:p>
    <w:p>
      <w:pPr>
        <w:spacing w:after="0" w:line="181" w:lineRule="exact"/>
        <w:rPr>
          <w:rFonts w:ascii="Arial" w:cs="Arial" w:eastAsia="Arial" w:hAnsi="Arial"/>
          <w:sz w:val="17"/>
          <w:szCs w:val="17"/>
          <w:color w:val="auto"/>
        </w:rPr>
      </w:pPr>
    </w:p>
    <w:p>
      <w:pPr>
        <w:ind w:left="140" w:firstLine="1940"/>
        <w:spacing w:after="0" w:line="269" w:lineRule="auto"/>
        <w:tabs>
          <w:tab w:leader="none" w:pos="251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Reasonably promptly following receipt of the Required Company Stockholder Vote, the Company shall prepare and mail a notice (the “</w:t>
      </w:r>
      <w:r>
        <w:rPr>
          <w:rFonts w:ascii="Arial" w:cs="Arial" w:eastAsia="Arial" w:hAnsi="Arial"/>
          <w:sz w:val="17"/>
          <w:szCs w:val="17"/>
          <w:b w:val="1"/>
          <w:bCs w:val="1"/>
          <w:i w:val="1"/>
          <w:iCs w:val="1"/>
          <w:color w:val="auto"/>
        </w:rPr>
        <w:t>Stockholder Notice</w:t>
      </w:r>
      <w:r>
        <w:rPr>
          <w:rFonts w:ascii="Arial" w:cs="Arial" w:eastAsia="Arial" w:hAnsi="Arial"/>
          <w:sz w:val="17"/>
          <w:szCs w:val="17"/>
          <w:color w:val="auto"/>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shall be subject to Parent’s advance review and reasonable approval.</w:t>
      </w:r>
    </w:p>
    <w:p>
      <w:pPr>
        <w:spacing w:after="0" w:line="177" w:lineRule="exact"/>
        <w:rPr>
          <w:rFonts w:ascii="Arial" w:cs="Arial" w:eastAsia="Arial" w:hAnsi="Arial"/>
          <w:sz w:val="17"/>
          <w:szCs w:val="17"/>
          <w:color w:val="auto"/>
        </w:rPr>
      </w:pPr>
    </w:p>
    <w:p>
      <w:pPr>
        <w:ind w:left="140" w:firstLine="1940"/>
        <w:spacing w:after="0" w:line="290" w:lineRule="auto"/>
        <w:tabs>
          <w:tab w:leader="none" w:pos="249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Company agrees that: (i) the Company Board shall recommend that the Company’s stockholders vote to adopt and approve this Agreement and the Contemplated Transactions and shall use commercially reasonable efforts to solicit such approval within the time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recommendation of the Company Board that the Company’s stockholders vote to adopt and approve this Agreement being referred to as the “</w:t>
      </w:r>
      <w:r>
        <w:rPr>
          <w:rFonts w:ascii="Arial" w:cs="Arial" w:eastAsia="Arial" w:hAnsi="Arial"/>
          <w:sz w:val="16"/>
          <w:szCs w:val="16"/>
          <w:b w:val="1"/>
          <w:bCs w:val="1"/>
          <w:i w:val="1"/>
          <w:iCs w:val="1"/>
          <w:color w:val="auto"/>
        </w:rPr>
        <w:t>Company Board Recommendation</w:t>
      </w:r>
      <w:r>
        <w:rPr>
          <w:rFonts w:ascii="Arial" w:cs="Arial" w:eastAsia="Arial" w:hAnsi="Arial"/>
          <w:sz w:val="16"/>
          <w:szCs w:val="16"/>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7" w:name="page368"/>
    <w:bookmarkEnd w:id="36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jc w:val="both"/>
        <w:ind w:left="140" w:right="100" w:firstLine="1940"/>
        <w:spacing w:after="0" w:line="262" w:lineRule="auto"/>
        <w:tabs>
          <w:tab w:leader="none" w:pos="250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Company’s obligation to solicit the consent of its stockholders to sign the Company Stockholder Written Consent in accordance with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not be limited or otherwise affected by the commencement, disclosure, announcement or submission of any Superior Offer or other Acquisition Proposal.</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Parent Stockholders’ Meeting</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5" w:lineRule="auto"/>
        <w:tabs>
          <w:tab w:leader="none" w:pos="250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Parent shall take all action necessary under applicable Law to call, give notice of and hold a meeting of the holders of Parent Common Stock to consider and vote to approve (i) the issuance of the shares of Parent Common Stock to the stockholders of the Company pursuant to the terms of this Agreement and (ii) the Reverse Split (the “</w:t>
      </w:r>
      <w:r>
        <w:rPr>
          <w:rFonts w:ascii="Arial" w:cs="Arial" w:eastAsia="Arial" w:hAnsi="Arial"/>
          <w:sz w:val="16"/>
          <w:szCs w:val="16"/>
          <w:b w:val="1"/>
          <w:bCs w:val="1"/>
          <w:i w:val="1"/>
          <w:iCs w:val="1"/>
          <w:color w:val="auto"/>
        </w:rPr>
        <w:t>Parent Stockholder Matters</w:t>
      </w:r>
      <w:r>
        <w:rPr>
          <w:rFonts w:ascii="Arial" w:cs="Arial" w:eastAsia="Arial" w:hAnsi="Arial"/>
          <w:sz w:val="16"/>
          <w:szCs w:val="16"/>
          <w:color w:val="auto"/>
        </w:rPr>
        <w:t>” and such meeting, the “</w:t>
      </w:r>
      <w:r>
        <w:rPr>
          <w:rFonts w:ascii="Arial" w:cs="Arial" w:eastAsia="Arial" w:hAnsi="Arial"/>
          <w:sz w:val="16"/>
          <w:szCs w:val="16"/>
          <w:b w:val="1"/>
          <w:bCs w:val="1"/>
          <w:i w:val="1"/>
          <w:iCs w:val="1"/>
          <w:color w:val="auto"/>
        </w:rPr>
        <w:t>Parent Stockholders’ Meeting</w:t>
      </w:r>
      <w:r>
        <w:rPr>
          <w:rFonts w:ascii="Arial" w:cs="Arial" w:eastAsia="Arial" w:hAnsi="Arial"/>
          <w:sz w:val="16"/>
          <w:szCs w:val="16"/>
          <w:color w:val="auto"/>
        </w:rPr>
        <w:t>”). The Parent Stockholders’ Meeting shall be held as promptly as practicable after the Registration Statement is declared effective under the Securities Act, and in any event within forty five (45) days after the Registration Statement is declared effective under the Securities Act (other than to the extent that the Registration Statement is subject to any stop order or proceeding (or threatened proceeding by the SEC) seeking a stop order with respect to the Registration Statement, in which case such forty five (45) day period shall be tolled for the earlier of forty five (45) days or so long as such stop order remains in effect or proceeding or threatened proceeding remains pending. Parent shall take reasonable measures to ensure that all proxies solicited in connection with the Parent Stockholders’ Meeting are solicited in compliance with all applicable Law. Notwithstanding anything to the contrary contained herein, if on the date of the Parent Stockholders’ Meeting, or a date preceding the date on which the Parent Stockholders’ Meeting is scheduled, Parent reasonably believes that (i) it will not receive proxies sufficient to obtain the Required Parent Stockholder Vote, whether or not a quorum would be present or (ii) it will not have sufficient shares of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as long as the date of the Parent Stockholders’ Meeting is not postponed or adjourned more than an aggregate of 60 calendar days in connection with any postponements or adjournments.</w:t>
      </w:r>
    </w:p>
    <w:p>
      <w:pPr>
        <w:spacing w:after="0" w:line="168" w:lineRule="exact"/>
        <w:rPr>
          <w:rFonts w:ascii="Arial" w:cs="Arial" w:eastAsia="Arial" w:hAnsi="Arial"/>
          <w:sz w:val="16"/>
          <w:szCs w:val="16"/>
          <w:color w:val="auto"/>
        </w:rPr>
      </w:pPr>
    </w:p>
    <w:p>
      <w:pPr>
        <w:ind w:left="140" w:right="20" w:firstLine="1940"/>
        <w:spacing w:after="0" w:line="272" w:lineRule="auto"/>
        <w:tabs>
          <w:tab w:leader="none" w:pos="251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Parent agrees that, subject to </w:t>
      </w:r>
      <w:r>
        <w:rPr>
          <w:rFonts w:ascii="Arial" w:cs="Arial" w:eastAsia="Arial" w:hAnsi="Arial"/>
          <w:sz w:val="17"/>
          <w:szCs w:val="17"/>
          <w:u w:val="single" w:color="auto"/>
          <w:color w:val="auto"/>
        </w:rPr>
        <w:t>Section 5.3(c)</w:t>
      </w:r>
      <w:r>
        <w:rPr>
          <w:rFonts w:ascii="Arial" w:cs="Arial" w:eastAsia="Arial" w:hAnsi="Arial"/>
          <w:sz w:val="17"/>
          <w:szCs w:val="17"/>
          <w:color w:val="auto"/>
        </w:rPr>
        <w:t>: (i) the Parent Board shall recommend that the holders of Parent Common Stock vote to approve the Parent Stockholder Matters, (ii) the Proxy Statement shall include a statement to the effect that the Parent Board recommends that Parent’s stockholders vote to approve the Parent Stockholder Matters (the recommendation of the Parent Board being referred to as the “</w:t>
      </w:r>
      <w:r>
        <w:rPr>
          <w:rFonts w:ascii="Arial" w:cs="Arial" w:eastAsia="Arial" w:hAnsi="Arial"/>
          <w:sz w:val="17"/>
          <w:szCs w:val="17"/>
          <w:b w:val="1"/>
          <w:bCs w:val="1"/>
          <w:i w:val="1"/>
          <w:iCs w:val="1"/>
          <w:color w:val="auto"/>
        </w:rPr>
        <w:t>Parent Board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Recommendation</w:t>
      </w:r>
      <w:r>
        <w:rPr>
          <w:rFonts w:ascii="Arial" w:cs="Arial" w:eastAsia="Arial" w:hAnsi="Arial"/>
          <w:sz w:val="17"/>
          <w:szCs w:val="17"/>
          <w:color w:val="auto"/>
        </w:rPr>
        <w:t>”); and (iii) the Parent Board Recommendation shall not be withheld, amended, withdrawn or modified (and the Parent Board shall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publicly propose to withhold, amend, withdraw or modify the Parent Board Recommendation) in a manner adverse to the Company (the actions set forth in the foregoing clause (iii), collectively, a “</w:t>
      </w:r>
      <w:r>
        <w:rPr>
          <w:rFonts w:ascii="Arial" w:cs="Arial" w:eastAsia="Arial" w:hAnsi="Arial"/>
          <w:sz w:val="17"/>
          <w:szCs w:val="17"/>
          <w:b w:val="1"/>
          <w:bCs w:val="1"/>
          <w:i w:val="1"/>
          <w:iCs w:val="1"/>
          <w:color w:val="auto"/>
        </w:rPr>
        <w:t>Parent Board Adverse Recommendation Change</w:t>
      </w:r>
      <w:r>
        <w:rPr>
          <w:rFonts w:ascii="Arial" w:cs="Arial" w:eastAsia="Arial" w:hAnsi="Arial"/>
          <w:sz w:val="17"/>
          <w:szCs w:val="17"/>
          <w:color w:val="auto"/>
        </w:rPr>
        <w:t>”).</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8" w:name="page369"/>
    <w:bookmarkEnd w:id="36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6" w:lineRule="auto"/>
        <w:tabs>
          <w:tab w:leader="none" w:pos="250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and subject to compliance with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including Section 5.3(e)</w:t>
      </w:r>
      <w:r>
        <w:rPr>
          <w:rFonts w:ascii="Arial" w:cs="Arial" w:eastAsia="Arial" w:hAnsi="Arial"/>
          <w:sz w:val="17"/>
          <w:szCs w:val="17"/>
          <w:color w:val="auto"/>
        </w:rPr>
        <w:t xml:space="preserve">), if at any time prior to the approval of Parent Stockholder Matters by the Required Parent Stockholder Vote, Parent receives a bona fide written Superior Offer, the Parent Board may make a Parent Board Adverse Recommendation Change if, but only if, following the receipt of and on account of such Superior Offer, (i) the Parent Board determines in good faith, based on the advice of its outside legal counsel, that the failure to make a Parent Board Adverse Recommendation Change would be reasonably likely to be inconsistent with its fiduciary duties under applicable Law, (ii) Parent has, and has caused its financial advisors and outside legal counsel to, during the Parent Notice Period (as defined below), negotiate with the Company in good faith (if the Company so desires) to make such adjustments to the terms and conditions of this Agreement so that such Acquisition Proposal ceases to constitute a Superior Offer, and (iii) if after the Company shall have delivered to Parent a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be reasonably likely to be inconsistent with its fiduciary duties under applicable Law (after taking into account such alterations of the terms and conditions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receives written notice from Parent confirming that the Parent Board has determined to change its recommendation at least four Business Days in advance of such Parent Board Adverse Recommendation Change, (the “</w:t>
      </w:r>
      <w:r>
        <w:rPr>
          <w:rFonts w:ascii="Arial" w:cs="Arial" w:eastAsia="Arial" w:hAnsi="Arial"/>
          <w:sz w:val="17"/>
          <w:szCs w:val="17"/>
          <w:b w:val="1"/>
          <w:bCs w:val="1"/>
          <w:i w:val="1"/>
          <w:iCs w:val="1"/>
          <w:color w:val="auto"/>
        </w:rPr>
        <w:t>Parent Notice Period</w:t>
      </w:r>
      <w:r>
        <w:rPr>
          <w:rFonts w:ascii="Arial" w:cs="Arial" w:eastAsia="Arial" w:hAnsi="Arial"/>
          <w:sz w:val="17"/>
          <w:szCs w:val="17"/>
          <w:color w:val="auto"/>
        </w:rPr>
        <w:t xml:space="preserve">”), which notice shall include written copies of any relevant proposed transaction agreements with any party making a potential Superior Offer. In the event of any material amendment to any Superior Offer, Parent shall be required to provide the Company with notice of such material amendment and the Parent Notice Period shall be extended, if applicable, to ensure that at least two Business Days remain in the Parent Notice Period following such notification during which the parties shall comply again with the requirements of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and the Parent Board shall not make a Parent Board Adverse Recommendation Change prior to the end of such Parent Notice Period as so extended.</w:t>
      </w:r>
    </w:p>
    <w:p>
      <w:pPr>
        <w:spacing w:after="0" w:line="191" w:lineRule="exact"/>
        <w:rPr>
          <w:rFonts w:ascii="Arial" w:cs="Arial" w:eastAsia="Arial" w:hAnsi="Arial"/>
          <w:sz w:val="17"/>
          <w:szCs w:val="17"/>
          <w:color w:val="auto"/>
        </w:rPr>
      </w:pPr>
    </w:p>
    <w:p>
      <w:pPr>
        <w:ind w:left="140" w:right="20" w:firstLine="1940"/>
        <w:spacing w:after="0" w:line="286" w:lineRule="auto"/>
        <w:tabs>
          <w:tab w:leader="none" w:pos="2511"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Other than in connection with a bona fide written Superior Offer (which shall be subject to </w:t>
      </w:r>
      <w:r>
        <w:rPr>
          <w:rFonts w:ascii="Arial" w:cs="Arial" w:eastAsia="Arial" w:hAnsi="Arial"/>
          <w:sz w:val="16"/>
          <w:szCs w:val="16"/>
          <w:u w:val="single" w:color="auto"/>
          <w:color w:val="auto"/>
        </w:rPr>
        <w:t>Section 5.3(c)</w:t>
      </w:r>
      <w:r>
        <w:rPr>
          <w:rFonts w:ascii="Arial" w:cs="Arial" w:eastAsia="Arial" w:hAnsi="Arial"/>
          <w:sz w:val="16"/>
          <w:szCs w:val="16"/>
          <w:color w:val="auto"/>
        </w:rPr>
        <w:t>), the Parent Board may make a Parent Board Adverse Recommendation Change in response to a Parent Change in Circumstance, if and only if: (A) the Parent Board determines in good faith, after consultation with the Company’s outside legal counsel, that the failure to do so is reasonably likely to be inconsistent with its fiduciary duties under applicable Law; (B) the Company receives written notice from Parent confirming that the Parent Board has determined to change its recommendation at least four Business Days in advance of the Parent Board Adverse Recommendation Change (the “</w:t>
      </w:r>
      <w:r>
        <w:rPr>
          <w:rFonts w:ascii="Arial" w:cs="Arial" w:eastAsia="Arial" w:hAnsi="Arial"/>
          <w:sz w:val="16"/>
          <w:szCs w:val="16"/>
          <w:b w:val="1"/>
          <w:bCs w:val="1"/>
          <w:i w:val="1"/>
          <w:iCs w:val="1"/>
          <w:color w:val="auto"/>
        </w:rPr>
        <w:t>Parent Change in Circumstance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and (C) (1) Parent shall have specified the Parent Change in Circumstance in reasonable detail, (2) Parent shall have given the Company four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Days after the Parent Change in Circumstance Notice to propose revisions to the terms of this Agreement or make another proposal so that such Parent Change in Circumstance would no longer necessitate a Parent Board Adverse Recommendation Change, and shall have negotiated in good faith with the Company (if the Company so desires) with respect to such proposed revisions or other proposal, if any, and (3) after considering the results of such negotiations and giving effect to the proposals made by the Company, if any, after consultation with outside legal counsel, the Parent Board shall have determined, in good faith, that the failure to make the Parent Board Adverse Recommendation Change in response to such Parent Change in Circumstance is reasonably likely to be inconsistent with its fiduciary duties under applicable Law.</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69" w:name="page370"/>
    <w:bookmarkEnd w:id="36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60" w:firstLine="1940"/>
        <w:spacing w:after="0" w:line="262" w:lineRule="auto"/>
        <w:tabs>
          <w:tab w:leader="none" w:pos="250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Parent’s obligation to call, give notice of and hold the Parent Stockholders’ Meeting in accordance with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Parent Board Recommendation.</w:t>
      </w:r>
    </w:p>
    <w:p>
      <w:pPr>
        <w:spacing w:after="0" w:line="183" w:lineRule="exact"/>
        <w:rPr>
          <w:rFonts w:ascii="Arial" w:cs="Arial" w:eastAsia="Arial" w:hAnsi="Arial"/>
          <w:sz w:val="18"/>
          <w:szCs w:val="18"/>
          <w:color w:val="auto"/>
        </w:rPr>
      </w:pPr>
    </w:p>
    <w:p>
      <w:pPr>
        <w:ind w:left="140" w:firstLine="1940"/>
        <w:spacing w:after="0" w:line="289" w:lineRule="auto"/>
        <w:tabs>
          <w:tab w:leader="none" w:pos="248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Nothing contained in this Agreement shall prohibit Parent or the Parent Board from (i) complying with Rules 14d-9 and 14e-2(a) promulgated under the Exchange Act, (ii) issuing a “stop, look and listen” communication or similar communication of the type contemplated by Section 14d-9(f) under the Exchange Act or (iii) otherwise making any disclosure to the Parent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the foregoing clause (iii) the Parent Board determines in good faith, after consultation with its outside legal counsel, that failure to make such disclosure would be reasonably likely to be inconsistent with applicable Law, including its fiduciary duties under applicable Law;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disclosures (other than a “stop, look and listen” communication or similar communication of the type contemplated by Section 14d-9(f) under the Exchange Act) shall be deemed to be a change of the Parent Board Recommendation unless the Parent Board expressly publicly reaffirms the Parent Board Recommendation (i) in such communication or (ii) within three Business Days after being requested in writing to do so by the Company.</w:t>
      </w:r>
    </w:p>
    <w:p>
      <w:pPr>
        <w:spacing w:after="0" w:line="162"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u w:val="single" w:color="auto"/>
          <w:color w:val="auto"/>
        </w:rPr>
        <w:t>Regulatory Approvals</w:t>
      </w:r>
      <w:r>
        <w:rPr>
          <w:rFonts w:ascii="Arial" w:cs="Arial" w:eastAsia="Arial" w:hAnsi="Arial"/>
          <w:sz w:val="16"/>
          <w:szCs w:val="16"/>
          <w:color w:val="auto"/>
        </w:rPr>
        <w:t>.</w:t>
      </w:r>
    </w:p>
    <w:p>
      <w:pPr>
        <w:spacing w:after="0" w:line="228" w:lineRule="exact"/>
        <w:rPr>
          <w:sz w:val="20"/>
          <w:szCs w:val="20"/>
          <w:color w:val="auto"/>
        </w:rPr>
      </w:pPr>
    </w:p>
    <w:p>
      <w:pPr>
        <w:ind w:left="140" w:right="100" w:firstLine="1940"/>
        <w:spacing w:after="0" w:line="258" w:lineRule="auto"/>
        <w:tabs>
          <w:tab w:leader="none" w:pos="2501" w:val="left"/>
        </w:tabs>
        <w:numPr>
          <w:ilvl w:val="1"/>
          <w:numId w:val="317"/>
        </w:numPr>
        <w:rPr>
          <w:rFonts w:ascii="Arial" w:cs="Arial" w:eastAsia="Arial" w:hAnsi="Arial"/>
          <w:sz w:val="18"/>
          <w:szCs w:val="18"/>
          <w:color w:val="auto"/>
        </w:rPr>
      </w:pPr>
      <w:r>
        <w:rPr>
          <w:rFonts w:ascii="Arial" w:cs="Arial" w:eastAsia="Arial" w:hAnsi="Arial"/>
          <w:sz w:val="18"/>
          <w:szCs w:val="18"/>
          <w:color w:val="auto"/>
        </w:rPr>
        <w:t>Each Party shall use reasonable best efforts to file or otherwise submit, as soon as practicable after the date of this Agreement, all applications, notices, reports and other documents reasonably required to be filed by such Party with or otherwise submitted by such Party to any Governmental Body with respect to the Contemplated Transactions, and to submit promptly any additional information requested by any such Governmental Body.</w:t>
      </w:r>
    </w:p>
    <w:p>
      <w:pPr>
        <w:spacing w:after="0" w:line="186" w:lineRule="exact"/>
        <w:rPr>
          <w:rFonts w:ascii="Arial" w:cs="Arial" w:eastAsia="Arial" w:hAnsi="Arial"/>
          <w:sz w:val="18"/>
          <w:szCs w:val="18"/>
          <w:color w:val="auto"/>
        </w:rPr>
      </w:pPr>
    </w:p>
    <w:p>
      <w:pPr>
        <w:ind w:left="140" w:right="20" w:firstLine="1940"/>
        <w:spacing w:after="0" w:line="283" w:lineRule="auto"/>
        <w:tabs>
          <w:tab w:leader="none" w:pos="2511" w:val="left"/>
        </w:tabs>
        <w:numPr>
          <w:ilvl w:val="1"/>
          <w:numId w:val="317"/>
        </w:numPr>
        <w:rPr>
          <w:rFonts w:ascii="Arial" w:cs="Arial" w:eastAsia="Arial" w:hAnsi="Arial"/>
          <w:sz w:val="16"/>
          <w:szCs w:val="16"/>
          <w:color w:val="auto"/>
        </w:rPr>
      </w:pPr>
      <w:r>
        <w:rPr>
          <w:rFonts w:ascii="Arial" w:cs="Arial" w:eastAsia="Arial" w:hAnsi="Arial"/>
          <w:sz w:val="16"/>
          <w:szCs w:val="16"/>
          <w:color w:val="auto"/>
        </w:rPr>
        <w:t>Parent and the Company shall confer on or prior to 30 days after the date of this Agreement, or on such later date as mutually agreed by Parent and the Company (the “</w:t>
      </w:r>
      <w:r>
        <w:rPr>
          <w:rFonts w:ascii="Arial" w:cs="Arial" w:eastAsia="Arial" w:hAnsi="Arial"/>
          <w:sz w:val="16"/>
          <w:szCs w:val="16"/>
          <w:b w:val="1"/>
          <w:bCs w:val="1"/>
          <w:i w:val="1"/>
          <w:iCs w:val="1"/>
          <w:color w:val="auto"/>
        </w:rPr>
        <w:t>Filing Determination Date</w:t>
      </w:r>
      <w:r>
        <w:rPr>
          <w:rFonts w:ascii="Arial" w:cs="Arial" w:eastAsia="Arial" w:hAnsi="Arial"/>
          <w:sz w:val="16"/>
          <w:szCs w:val="16"/>
          <w:color w:val="auto"/>
        </w:rPr>
        <w:t>”), to determine whether notification under the HSR Act by the Parent and any shareholder of the Company is required or advisable (a “</w:t>
      </w:r>
      <w:r>
        <w:rPr>
          <w:rFonts w:ascii="Arial" w:cs="Arial" w:eastAsia="Arial" w:hAnsi="Arial"/>
          <w:sz w:val="16"/>
          <w:szCs w:val="16"/>
          <w:b w:val="1"/>
          <w:bCs w:val="1"/>
          <w:i w:val="1"/>
          <w:iCs w:val="1"/>
          <w:color w:val="auto"/>
        </w:rPr>
        <w:t>Shareholder HSR Filing</w:t>
      </w:r>
      <w:r>
        <w:rPr>
          <w:rFonts w:ascii="Arial" w:cs="Arial" w:eastAsia="Arial" w:hAnsi="Arial"/>
          <w:sz w:val="16"/>
          <w:szCs w:val="16"/>
          <w:color w:val="auto"/>
        </w:rPr>
        <w:t>”). If either Parent or the Company reasonably determines in good faith that such notification is required or advisable, the Company shall notify the shareholder, pursuant to the terms of the Support Agreement, that such notification is required, and Parent shall use its reasonable best efforts to obtain expiration or termination of all waiting periods under the HSR Act with respect to the Contemplated Transactions as promptly as reasonably practicable, and shall make, or cause to be made, all filings required under the HSR Act (which filings shall request early termination of the waiting period under the HSR Act) with respect to the Contemplated Transactions no later than ten</w:t>
      </w:r>
    </w:p>
    <w:p>
      <w:pPr>
        <w:spacing w:after="0" w:line="3" w:lineRule="exact"/>
        <w:rPr>
          <w:rFonts w:ascii="Arial" w:cs="Arial" w:eastAsia="Arial" w:hAnsi="Arial"/>
          <w:sz w:val="16"/>
          <w:szCs w:val="16"/>
          <w:color w:val="auto"/>
        </w:rPr>
      </w:pPr>
    </w:p>
    <w:p>
      <w:pPr>
        <w:ind w:left="140" w:right="40" w:firstLine="2"/>
        <w:spacing w:after="0" w:line="284" w:lineRule="auto"/>
        <w:tabs>
          <w:tab w:leader="none" w:pos="484" w:val="left"/>
        </w:tabs>
        <w:numPr>
          <w:ilvl w:val="0"/>
          <w:numId w:val="318"/>
        </w:numPr>
        <w:rPr>
          <w:rFonts w:ascii="Arial" w:cs="Arial" w:eastAsia="Arial" w:hAnsi="Arial"/>
          <w:sz w:val="16"/>
          <w:szCs w:val="16"/>
          <w:color w:val="auto"/>
        </w:rPr>
      </w:pPr>
      <w:r>
        <w:rPr>
          <w:rFonts w:ascii="Arial" w:cs="Arial" w:eastAsia="Arial" w:hAnsi="Arial"/>
          <w:sz w:val="16"/>
          <w:szCs w:val="16"/>
          <w:color w:val="auto"/>
        </w:rPr>
        <w:t>Business Days after the Filing Determination Date. Parent agrees to furnish promptly to the Federal Trade Commission (the “</w:t>
      </w:r>
      <w:r>
        <w:rPr>
          <w:rFonts w:ascii="Arial" w:cs="Arial" w:eastAsia="Arial" w:hAnsi="Arial"/>
          <w:sz w:val="16"/>
          <w:szCs w:val="16"/>
          <w:b w:val="1"/>
          <w:bCs w:val="1"/>
          <w:i w:val="1"/>
          <w:iCs w:val="1"/>
          <w:color w:val="auto"/>
        </w:rPr>
        <w:t>FTC</w:t>
      </w:r>
      <w:r>
        <w:rPr>
          <w:rFonts w:ascii="Arial" w:cs="Arial" w:eastAsia="Arial" w:hAnsi="Arial"/>
          <w:sz w:val="16"/>
          <w:szCs w:val="16"/>
          <w:color w:val="auto"/>
        </w:rPr>
        <w:t>”) and the Antitrust Division of the United States Department of Justice (the “</w:t>
      </w:r>
      <w:r>
        <w:rPr>
          <w:rFonts w:ascii="Arial" w:cs="Arial" w:eastAsia="Arial" w:hAnsi="Arial"/>
          <w:sz w:val="16"/>
          <w:szCs w:val="16"/>
          <w:b w:val="1"/>
          <w:bCs w:val="1"/>
          <w:i w:val="1"/>
          <w:iCs w:val="1"/>
          <w:color w:val="auto"/>
        </w:rPr>
        <w:t>Antitrust Division</w:t>
      </w:r>
      <w:r>
        <w:rPr>
          <w:rFonts w:ascii="Arial" w:cs="Arial" w:eastAsia="Arial" w:hAnsi="Arial"/>
          <w:sz w:val="16"/>
          <w:szCs w:val="16"/>
          <w:color w:val="auto"/>
        </w:rPr>
        <w:t>”) additional information reasonably requested in connection with such Shareholder HSR Filing. Parent and the Company shall cooperate with each other and any Company shareholder in connection with any such filing or investigation relating thereto, including sharing drafts of documents before filing and considering in good faith all reasonable additions, deletions or changes suggested in connection therewith, including with respect to any analyses, appearances, presentations, memoranda, briefs, arguments, opinions and proposals. Parent shall furnish the Company copies of any correspondence, communication, or filing, and Parent shall not independently participate in any meeting with the FTC or the Antitrust Division in respect of any such filing or investigation without giving the Company notice and, to the extent permitted by such governmental authority, the opportunity to attend and/or participate. Parent may, as it deems advisable, designate any confidential or competitively sensitive material provided to the Company under this Section 5.4 as “outside counsel only” in which case such materials and information contained therein shall be given only to the outside legal counsel of the Company and will not be disclosed by such outside counsel to employees, officers, or directors, unless express written permission is obtained in advance from the source of the materials.</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0" w:name="page371"/>
    <w:bookmarkEnd w:id="37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u w:val="single" w:color="auto"/>
          <w:color w:val="auto"/>
        </w:rPr>
        <w:t>Company Options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4" w:lineRule="auto"/>
        <w:tabs>
          <w:tab w:leader="none" w:pos="249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At the Effective Time, each Company Option that is outstanding and unexercised immediately prior to the Effective Time under the Company Plan, whether or not vested, shall be assumed by Parent and converted into an option to purchase Parent Common Stock, and Parent shall assume the Company Plan and each such Company Option in accordance with the terms (as in effect as of the date of this Agreement) of the Company Plan and the terms of the stock option agreement by which each such Company Option is evidenced (but with changes to such documents as Parent in good faith determines are appropriate to reflect the assumption of the Company Options by Parent). All rights with respect to Company Common Stock under Company Options assumed by Parent (each, an “</w:t>
      </w:r>
      <w:r>
        <w:rPr>
          <w:rFonts w:ascii="Arial" w:cs="Arial" w:eastAsia="Arial" w:hAnsi="Arial"/>
          <w:sz w:val="16"/>
          <w:szCs w:val="16"/>
          <w:b w:val="1"/>
          <w:bCs w:val="1"/>
          <w:i w:val="1"/>
          <w:iCs w:val="1"/>
          <w:color w:val="auto"/>
        </w:rPr>
        <w:t>Assumed Option</w:t>
      </w:r>
      <w:r>
        <w:rPr>
          <w:rFonts w:ascii="Arial" w:cs="Arial" w:eastAsia="Arial" w:hAnsi="Arial"/>
          <w:sz w:val="16"/>
          <w:szCs w:val="16"/>
          <w:color w:val="auto"/>
        </w:rPr>
        <w:t xml:space="preserve">”) shall thereupon be converted into rights with respect to Parent Common Stock in accordance with this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Accordingly, from and after the Effective Time: (i) each Assumed Option may be exercised solely for shares of Parent Common Stock; (ii) the number of shares of Parent Common Stock subject to each Assumed Option shall be determined by multiplying (A) the number of shares of Company Common Stock that were subject to such Company Option, as in effect immediately prior to the Effective Time, by (B) the Exchange Ratio, and rounding the resulting number down to the nearest whole number of shares of Parent Common Stock; (iii) the per share exercise price for the Parent Common Stock issuable upon exercise of each Assumed Option shall be determined by dividing (A) the per share exercise price of Company Common Stock subject to such Company Option, as in effect immediately prior to the Effective Time, by (B) the Exchange Ratio and rounding the resulting exercise price up to the nearest whole cent; and (iv) any restriction on the exercise of any Assumed Option shall continue in full force and effect and the term, exercisability, vesting schedule and other provisions of such Company Option shall otherwise remain unchanged; </w:t>
      </w:r>
      <w:r>
        <w:rPr>
          <w:rFonts w:ascii="Arial" w:cs="Arial" w:eastAsia="Arial" w:hAnsi="Arial"/>
          <w:sz w:val="16"/>
          <w:szCs w:val="16"/>
          <w:i w:val="1"/>
          <w:iCs w:val="1"/>
          <w:color w:val="auto"/>
        </w:rPr>
        <w:t>provided</w:t>
      </w:r>
      <w:r>
        <w:rPr>
          <w:rFonts w:ascii="Arial" w:cs="Arial" w:eastAsia="Arial" w:hAnsi="Arial"/>
          <w:sz w:val="16"/>
          <w:szCs w:val="16"/>
          <w:color w:val="auto"/>
        </w:rPr>
        <w:t>, that: (A) Parent may amend the terms of the Company Options and the Company Plan to reflect Parent’s substitution of the Company Options with options to purchase Parent Common Stock (such as by making any change in control or similar definition relate to Parent and having any provision that provides for the adjustment of Company Options upon the occurrence of certain corporate events relate to corporate events that relate to Parent and/or Parent Common Stock); and (B) the Parent Board or a committee thereof shall succeed to the authority and responsibility of the Company Board or any committee thereof with respect to each Assumed Option.</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1" w:name="page372"/>
    <w:bookmarkEnd w:id="37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440" w:firstLine="1940"/>
        <w:spacing w:after="0" w:line="262" w:lineRule="auto"/>
        <w:tabs>
          <w:tab w:leader="none" w:pos="251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Parent shall file with the SEC, promptly, but no later than thirty (30) days after the Effective Time, a registration statement on Form S-8 (or any successor form), if available for use by Parent, relating to the shares of Parent Common Stock issuable with respect to Company Options assumed by Parent in accordance with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40" w:firstLine="1940"/>
        <w:spacing w:after="0" w:line="262" w:lineRule="auto"/>
        <w:tabs>
          <w:tab w:leader="none" w:pos="250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take all actions that may be necessary (under the Company Plan and otherwise) to effectuate the provisions of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to ensure that, from and after the Effective Time, holders of Company Options have no rights with respect thereto other than those specifically provided in this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79" w:lineRule="exact"/>
        <w:rPr>
          <w:sz w:val="20"/>
          <w:szCs w:val="20"/>
          <w:color w:val="auto"/>
        </w:rPr>
      </w:pPr>
    </w:p>
    <w:p>
      <w:pPr>
        <w:ind w:left="140" w:right="100" w:firstLine="1292"/>
        <w:spacing w:after="0" w:line="260"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Parent Options</w:t>
      </w:r>
      <w:r>
        <w:rPr>
          <w:rFonts w:ascii="Arial" w:cs="Arial" w:eastAsia="Arial" w:hAnsi="Arial"/>
          <w:sz w:val="18"/>
          <w:szCs w:val="18"/>
          <w:color w:val="auto"/>
        </w:rPr>
        <w:t>. Prior to the Closing, the Parent Board shall have adopted appropriate resolutions and taken all other actions necessary and appropriate to provide that each unexpired and unexercised Parent Option, whether vested or unvested, shall be accelerated in full effective as of immediately prior to the Effective Time, with each unexercised Parent Option remaining outstanding immediately after the Effective Time in accordance with its terms.</w:t>
      </w:r>
    </w:p>
    <w:p>
      <w:pPr>
        <w:spacing w:after="0" w:line="180" w:lineRule="exact"/>
        <w:rPr>
          <w:sz w:val="20"/>
          <w:szCs w:val="20"/>
          <w:color w:val="auto"/>
        </w:rPr>
      </w:pPr>
    </w:p>
    <w:p>
      <w:pPr>
        <w:ind w:left="140" w:right="40" w:firstLine="1292"/>
        <w:spacing w:after="0" w:line="28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Employee Benefits</w:t>
      </w:r>
      <w:r>
        <w:rPr>
          <w:rFonts w:ascii="Arial" w:cs="Arial" w:eastAsia="Arial" w:hAnsi="Arial"/>
          <w:sz w:val="16"/>
          <w:szCs w:val="16"/>
          <w:color w:val="auto"/>
        </w:rPr>
        <w:t>. For purposes of vesting, eligibility to participate, and level of benefits under the benefit plans, programs, contracts or arrangements of Parent or any of its Subsidiaries (including, following the Closing, the Company and its Subsidiaries) providing benefits to any Continuing Employee after the Closing (the “</w:t>
      </w:r>
      <w:r>
        <w:rPr>
          <w:rFonts w:ascii="Arial" w:cs="Arial" w:eastAsia="Arial" w:hAnsi="Arial"/>
          <w:sz w:val="16"/>
          <w:szCs w:val="16"/>
          <w:b w:val="1"/>
          <w:bCs w:val="1"/>
          <w:i w:val="1"/>
          <w:iCs w:val="1"/>
          <w:color w:val="auto"/>
        </w:rPr>
        <w:t>Post-Closing Plans</w:t>
      </w:r>
      <w:r>
        <w:rPr>
          <w:rFonts w:ascii="Arial" w:cs="Arial" w:eastAsia="Arial" w:hAnsi="Arial"/>
          <w:sz w:val="16"/>
          <w:szCs w:val="16"/>
          <w:color w:val="auto"/>
        </w:rPr>
        <w:t>”) each employee who continues to be employed by Parent, the Company or any of their respective Subsidiaries immediately following the Closing (“</w:t>
      </w:r>
      <w:r>
        <w:rPr>
          <w:rFonts w:ascii="Arial" w:cs="Arial" w:eastAsia="Arial" w:hAnsi="Arial"/>
          <w:sz w:val="16"/>
          <w:szCs w:val="16"/>
          <w:b w:val="1"/>
          <w:bCs w:val="1"/>
          <w:i w:val="1"/>
          <w:iCs w:val="1"/>
          <w:color w:val="auto"/>
        </w:rPr>
        <w:t>Continuing Employees</w:t>
      </w:r>
      <w:r>
        <w:rPr>
          <w:rFonts w:ascii="Arial" w:cs="Arial" w:eastAsia="Arial" w:hAnsi="Arial"/>
          <w:sz w:val="16"/>
          <w:szCs w:val="16"/>
          <w:color w:val="auto"/>
        </w:rPr>
        <w:t xml:space="preserve">”) shall be credited with his or her years of service(s) with the Parent, the Company or any of their respective Subsidiaries and their respective predecessors;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the extent that its application would result in a duplication of benefits. In addition, and without limiting the generality of the foregoing, for purposes of each Post-Closing Plan providing medical, dental, pharmaceutical and/or vision benefits to a Continuing Employee, Parent shall cause all pre-existing condition exclusions and actively at work requirements of such Post-Closing Plan to be waived for such Continuing Employee and his or her covered dependents to the extent and unless such conditions would have been waived or satisfied under the employee benefit plan whose coverage is being replaced under the Post-Closing Plan, and Parent shall use commercially reasonable efforts to cause any eligible expenses incurred by a Continuing Employee and his or her covered dependents during the portion of such plan year in which coverage is replaced with coverage under a Post-Closing Plan to be taken into account under such Post-Closing Plan with respect to the plan year in which participation in such Post-Closing Plan begins for purposes of satisfying all deductible, coinsurance and maximum out-of-pocket requirements applicable to such Continuing Employee and his or her covered dependents for such plan year as if such amounts had been paid in accordance with such Post-Closing Plan.</w:t>
      </w:r>
    </w:p>
    <w:p>
      <w:pPr>
        <w:spacing w:after="0" w:line="175" w:lineRule="exact"/>
        <w:rPr>
          <w:sz w:val="20"/>
          <w:szCs w:val="20"/>
          <w:color w:val="auto"/>
        </w:rPr>
      </w:pPr>
    </w:p>
    <w:p>
      <w:pPr>
        <w:ind w:left="140" w:right="240" w:firstLine="1940"/>
        <w:spacing w:after="0" w:line="262" w:lineRule="auto"/>
        <w:tabs>
          <w:tab w:leader="none" w:pos="251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Parent and the Company shall cause the Company and Parent to comply with the terms of any employment, severance, retention, change of control or similar agreement specified on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of the Company Disclosure Schedule and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of the Parent Disclosure Schedule, subject to the provisions of such agreements.</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2" w:name="page373"/>
    <w:bookmarkEnd w:id="37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6" w:lineRule="auto"/>
        <w:tabs>
          <w:tab w:leader="none" w:pos="250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officer, fiduciary or agent of Parent or the Company, respectively (the “</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against all claims, losses, liabilities, damages, judgments, fines and reasonable fees, costs and expenses, including attorneys’ fees and disbursements (collectively, “</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xml:space="preserve">”), incurred in connection with any claim, action, suit, proceeding or investigation, whether civil, criminal, administrative or investigative, arising out of or pertaining to the fact that the D&amp;O Indemnified Party is or was a director, officer, fiduciary or agent of Parent or of the Company,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person to whom expenses are advanced provides an undertaking to Parent, to the extent then required by the DGCL, to repay such</w:t>
      </w:r>
      <w:r>
        <w:rPr>
          <w:rFonts w:ascii="Arial" w:cs="Arial" w:eastAsia="Arial" w:hAnsi="Arial"/>
          <w:sz w:val="16"/>
          <w:szCs w:val="16"/>
          <w:i w:val="1"/>
          <w:iCs w:val="1"/>
          <w:color w:val="auto"/>
        </w:rPr>
        <w:t xml:space="preserve"> </w:t>
      </w:r>
      <w:r>
        <w:rPr>
          <w:rFonts w:ascii="Arial" w:cs="Arial" w:eastAsia="Arial" w:hAnsi="Arial"/>
          <w:sz w:val="16"/>
          <w:szCs w:val="16"/>
          <w:color w:val="auto"/>
        </w:rPr>
        <w:t>advances if it is ultimately determined that such person is not entitled to indemnification.</w:t>
      </w:r>
    </w:p>
    <w:p>
      <w:pPr>
        <w:spacing w:after="0" w:line="172" w:lineRule="exact"/>
        <w:rPr>
          <w:rFonts w:ascii="Arial" w:cs="Arial" w:eastAsia="Arial" w:hAnsi="Arial"/>
          <w:sz w:val="16"/>
          <w:szCs w:val="16"/>
          <w:color w:val="auto"/>
        </w:rPr>
      </w:pPr>
    </w:p>
    <w:p>
      <w:pPr>
        <w:ind w:left="140" w:right="40" w:firstLine="1940"/>
        <w:spacing w:after="0" w:line="271" w:lineRule="auto"/>
        <w:tabs>
          <w:tab w:leader="none" w:pos="250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years from the Effective Time in a manner that would adversely affect the rights thereunder of individuals who, at or prior to the Effective Time, were officers or directors of Parent.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w:t>
      </w:r>
    </w:p>
    <w:p>
      <w:pPr>
        <w:spacing w:after="0" w:line="177" w:lineRule="exact"/>
        <w:rPr>
          <w:rFonts w:ascii="Arial" w:cs="Arial" w:eastAsia="Arial" w:hAnsi="Arial"/>
          <w:sz w:val="17"/>
          <w:szCs w:val="17"/>
          <w:color w:val="auto"/>
        </w:rPr>
      </w:pPr>
    </w:p>
    <w:p>
      <w:pPr>
        <w:ind w:left="140" w:right="20" w:firstLine="1940"/>
        <w:spacing w:after="0" w:line="254" w:lineRule="auto"/>
        <w:tabs>
          <w:tab w:leader="none" w:pos="250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w:t>
      </w:r>
    </w:p>
    <w:p>
      <w:pPr>
        <w:spacing w:after="0" w:line="189" w:lineRule="exact"/>
        <w:rPr>
          <w:rFonts w:ascii="Arial" w:cs="Arial" w:eastAsia="Arial" w:hAnsi="Arial"/>
          <w:sz w:val="18"/>
          <w:szCs w:val="18"/>
          <w:color w:val="auto"/>
        </w:rPr>
      </w:pPr>
    </w:p>
    <w:p>
      <w:pPr>
        <w:ind w:left="140" w:right="340" w:firstLine="1940"/>
        <w:spacing w:after="0" w:line="254" w:lineRule="auto"/>
        <w:tabs>
          <w:tab w:leader="none" w:pos="251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From and after the Effective Time, Parent shall maintain directors’ and officers’ liability insurance policies, with an effective date as of the Closing Date, on commercially available terms and conditions and with coverage limits customary for U.S. public companies similarly situated to Parent. In addition, Parent shall purchase, prior to the Effective Time, a six-year prepaid “tail policy” (the cost of which shall be a Company Transaction Expense) for the non-cancellable extension of the directors’ and officers’ liability coverage of Parent’s existing directors’ and officers’ insurance policies for a claims reporting or discovery period of at least six years from and after the Effective Time with respect to any claim related to any period of time at or prior to the Effective Time.</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73" w:name="page374"/>
    <w:bookmarkEnd w:id="37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340" w:lineRule="auto"/>
        <w:tabs>
          <w:tab w:leader="none" w:pos="250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Parent shall pay all expenses, including reasonable attorneys’ fees, that are incurred by the persons referred to in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in connection with their successful enforcement of the rights provided to such persons in this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left="140" w:right="40" w:firstLine="1940"/>
        <w:spacing w:after="0" w:line="262" w:lineRule="auto"/>
        <w:tabs>
          <w:tab w:leader="none" w:pos="247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ind w:left="140" w:right="40" w:firstLine="1940"/>
        <w:spacing w:after="0" w:line="274" w:lineRule="auto"/>
        <w:tabs>
          <w:tab w:leader="none" w:pos="251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Parent shall cause the Surviving Corporation to perform all of the obligations of the Surviving Corporation under this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72" w:lineRule="exact"/>
        <w:rPr>
          <w:sz w:val="20"/>
          <w:szCs w:val="20"/>
          <w:color w:val="auto"/>
        </w:rPr>
      </w:pPr>
    </w:p>
    <w:p>
      <w:pPr>
        <w:ind w:left="140" w:right="20" w:firstLine="1292"/>
        <w:spacing w:after="0" w:line="272"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u w:val="single" w:color="auto"/>
          <w:color w:val="auto"/>
        </w:rPr>
        <w:t>Additional Agreements</w:t>
      </w:r>
      <w:r>
        <w:rPr>
          <w:rFonts w:ascii="Arial" w:cs="Arial" w:eastAsia="Arial" w:hAnsi="Arial"/>
          <w:sz w:val="17"/>
          <w:szCs w:val="17"/>
          <w:color w:val="auto"/>
        </w:rPr>
        <w:t>. The Parties shall use commercially reasonable efforts to cause to be taken all actions necessary to consummate the Contemplated Transactions. Without limiting the generality of the foregoing, each Party to this Agreement: (a) shall make all filings and other submissions (if any) and give all notices (if any) required to be made and given by such Party in connection with the Contemplated Transactions; (b) shall use reasonable best efforts to obtain each Consent (if any) reasonably required to be obtained (pursuant to any applicable Law or Contract, or otherwise) by such Party in connection with the Contemplated Transactions or for such Contract to remain in full force and effect; (c) shall use commercially reasonable efforts to lift any injunction prohibiting, or any other legal bar to, the Contemplated Transactions; and (d) shall use commercially reasonable efforts to satisfy the conditions precedent to the consummation of this Agreement.</w:t>
      </w:r>
    </w:p>
    <w:p>
      <w:pPr>
        <w:spacing w:after="0" w:line="172" w:lineRule="exact"/>
        <w:rPr>
          <w:sz w:val="20"/>
          <w:szCs w:val="20"/>
          <w:color w:val="auto"/>
        </w:rPr>
      </w:pPr>
    </w:p>
    <w:p>
      <w:pPr>
        <w:ind w:left="140" w:firstLine="1292"/>
        <w:spacing w:after="0" w:line="28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u w:val="single" w:color="auto"/>
          <w:color w:val="auto"/>
        </w:rPr>
        <w:t>Disclosure</w:t>
      </w:r>
      <w:r>
        <w:rPr>
          <w:rFonts w:ascii="Arial" w:cs="Arial" w:eastAsia="Arial" w:hAnsi="Arial"/>
          <w:sz w:val="16"/>
          <w:szCs w:val="16"/>
          <w:color w:val="auto"/>
        </w:rPr>
        <w:t xml:space="preserve">. Without limiting any Party’s obligations under the Confidentiality Agreement, no Party shall, and no Party shall permit any of its Subsidiaries or any Representative of such Party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disclosure is requested by a Governmental Body or such Party shall have determined in good faith that such disclosure is required by applicable Law or by obligations pursuant to any listing agreement with or rules of any national securities exchange or interdealer quotation service and, to the extent practicable, before such press release or disclosure is issued or made, such Party shall have used commercially reasonable efforts to advise the other Party of, and consult with the other Party regarding, the text of such press release or disclosure;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Notwithstanding the foregoing, the initial press release regarding the Contemplated Transactions may be issued by Parent and such press release and the Current Report on Form 8-K to be filed by Parent in connection with the initial announcement of this Agreement and the Contemplated Transactions shall not be subject to this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74" w:name="page375"/>
    <w:bookmarkEnd w:id="37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89"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u w:val="single" w:color="auto"/>
          <w:color w:val="auto"/>
        </w:rPr>
        <w:t>Listing</w:t>
      </w:r>
      <w:r>
        <w:rPr>
          <w:rFonts w:ascii="Arial" w:cs="Arial" w:eastAsia="Arial" w:hAnsi="Arial"/>
          <w:sz w:val="16"/>
          <w:szCs w:val="16"/>
          <w:color w:val="auto"/>
        </w:rPr>
        <w:t>. Parent shall use its commercially reasonable efforts, (a) to the extent required by the rules and regulations of NASDAQ, to prepare and submit to NASDAQ a notification form for the listing of the shares of Parent Common Stock to be issued in connection with the Contemplated Transactions, and to cause such shares to be approved for listing (subject to official notice of issuance); and (b) to the extent required by Nasdaq Marketplace Rule 5110, to file an initial listing application for the Parent Common Stock on NASDAQ (the “</w:t>
      </w:r>
      <w:r>
        <w:rPr>
          <w:rFonts w:ascii="Arial" w:cs="Arial" w:eastAsia="Arial" w:hAnsi="Arial"/>
          <w:sz w:val="16"/>
          <w:szCs w:val="16"/>
          <w:b w:val="1"/>
          <w:bCs w:val="1"/>
          <w:i w:val="1"/>
          <w:iCs w:val="1"/>
          <w:color w:val="auto"/>
        </w:rPr>
        <w:t>NASDAQ Listing Application</w:t>
      </w:r>
      <w:r>
        <w:rPr>
          <w:rFonts w:ascii="Arial" w:cs="Arial" w:eastAsia="Arial" w:hAnsi="Arial"/>
          <w:sz w:val="16"/>
          <w:szCs w:val="16"/>
          <w:color w:val="auto"/>
        </w:rPr>
        <w:t xml:space="preserve">”) and to cause such NASDAQ Listing Application to be conditionally approved prior to the Effective Time. The Parties will use commercially reasonable efforts to coordinate with respect to compliance with NASDAQ rules and regulations. The Company agrees to pay all NASDAQ fees associated with the NASDAQ Listing Application (the cost of which shall be a Company Transaction Expense).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159"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28" w:lineRule="exact"/>
        <w:rPr>
          <w:sz w:val="20"/>
          <w:szCs w:val="20"/>
          <w:color w:val="auto"/>
        </w:rPr>
      </w:pPr>
    </w:p>
    <w:p>
      <w:pPr>
        <w:ind w:left="140" w:right="20" w:firstLine="1940"/>
        <w:spacing w:after="0" w:line="292" w:lineRule="auto"/>
        <w:tabs>
          <w:tab w:leader="none" w:pos="250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For United States federal income Tax purposes, (i) the Parties intend that the Merger qualify as a “reorganization” within the meaning of Section 368(a) of the Code (the “</w:t>
      </w:r>
      <w:r>
        <w:rPr>
          <w:rFonts w:ascii="Arial" w:cs="Arial" w:eastAsia="Arial" w:hAnsi="Arial"/>
          <w:sz w:val="16"/>
          <w:szCs w:val="16"/>
          <w:b w:val="1"/>
          <w:bCs w:val="1"/>
          <w:i w:val="1"/>
          <w:iCs w:val="1"/>
          <w:color w:val="auto"/>
        </w:rPr>
        <w:t>Intended Tax Treatment</w:t>
      </w:r>
      <w:r>
        <w:rPr>
          <w:rFonts w:ascii="Arial" w:cs="Arial" w:eastAsia="Arial" w:hAnsi="Arial"/>
          <w:sz w:val="16"/>
          <w:szCs w:val="16"/>
          <w:color w:val="auto"/>
        </w:rPr>
        <w:t>”), and (ii) this Agreement is intended to be, and is hereby adopted as, a “plan of reorganization” for purposes of Section 354 and 361 of the Code and Treasury Regulations Section 1.368-2(g) and 1.368-3(a), to which the Parent, Merger Sub and the Company are parties under Section 368(b) of the Code. The Parties shall treat and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w:t>
      </w:r>
    </w:p>
    <w:p>
      <w:pPr>
        <w:spacing w:after="0" w:line="164" w:lineRule="exact"/>
        <w:rPr>
          <w:rFonts w:ascii="Arial" w:cs="Arial" w:eastAsia="Arial" w:hAnsi="Arial"/>
          <w:sz w:val="16"/>
          <w:szCs w:val="16"/>
          <w:color w:val="auto"/>
        </w:rPr>
      </w:pPr>
    </w:p>
    <w:p>
      <w:pPr>
        <w:ind w:left="140" w:right="400" w:firstLine="1940"/>
        <w:spacing w:after="0" w:line="262" w:lineRule="auto"/>
        <w:tabs>
          <w:tab w:leader="none" w:pos="250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Parties shall use their respective reasonable best efforts to cause the Merger to qualify, and agree not to take any action or permit or cause any affiliate or any Subsidiary to take any action which action would reasonably be expected to prevent the Merger from qualifying, for the Intended Tax Treatment.</w:t>
      </w:r>
    </w:p>
    <w:p>
      <w:pPr>
        <w:spacing w:after="0" w:line="183" w:lineRule="exact"/>
        <w:rPr>
          <w:rFonts w:ascii="Arial" w:cs="Arial" w:eastAsia="Arial" w:hAnsi="Arial"/>
          <w:sz w:val="18"/>
          <w:szCs w:val="18"/>
          <w:color w:val="auto"/>
        </w:rPr>
      </w:pPr>
    </w:p>
    <w:p>
      <w:pPr>
        <w:ind w:left="140" w:right="40" w:firstLine="1940"/>
        <w:spacing w:after="0" w:line="274" w:lineRule="auto"/>
        <w:tabs>
          <w:tab w:leader="none" w:pos="2501"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Parent shall use commercially reasonable efforts to deliver to Dechert and Cooley a “Tax Representation Letter,” dated as of the Closing Date and signed by an officer of Parent, containing representations of Parent, and Merger Sub, and the Company shall use commercially reasonable efforts to deliver to Dechert and Cooley a “Tax Representation Letter,” dated as of the Closing Date and signed by an officer of the Company, containing representations of the Company, in each case as shall be necessary or appropriate to enable Cooley to render the opinion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5.12(e)</w:t>
      </w:r>
      <w:r>
        <w:rPr>
          <w:rFonts w:ascii="Arial" w:cs="Arial" w:eastAsia="Arial" w:hAnsi="Arial"/>
          <w:sz w:val="17"/>
          <w:szCs w:val="17"/>
          <w:color w:val="auto"/>
        </w:rPr>
        <w:t xml:space="preserve"> of this Agreement and Dechert to render the opinion described in </w:t>
      </w:r>
      <w:r>
        <w:rPr>
          <w:rFonts w:ascii="Arial" w:cs="Arial" w:eastAsia="Arial" w:hAnsi="Arial"/>
          <w:sz w:val="17"/>
          <w:szCs w:val="17"/>
          <w:u w:val="single" w:color="auto"/>
          <w:color w:val="auto"/>
        </w:rPr>
        <w:t>Section 5.12(d)</w:t>
      </w:r>
      <w:r>
        <w:rPr>
          <w:rFonts w:ascii="Arial" w:cs="Arial" w:eastAsia="Arial" w:hAnsi="Arial"/>
          <w:sz w:val="17"/>
          <w:szCs w:val="17"/>
          <w:color w:val="auto"/>
        </w:rPr>
        <w:t xml:space="preserve"> of this Agreement.</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75" w:name="page376"/>
    <w:bookmarkEnd w:id="37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300" w:lineRule="auto"/>
        <w:tabs>
          <w:tab w:leader="none" w:pos="251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Parent shall use reasonable best efforts to obtain an opinion of Dechert, to the effect that the Merger shall qualify for the Intended Tax Treatment, dated as of the Closing and also dated as of any earlier date as may be required by the SEC in connection with the effectiveness of the Registration Statement. In rendering such opinion, Dechert may require and rely upon (and may incorporate by reference) reasonable and customary representations and covenants, including those contained in the Tax Representation Letters described in </w:t>
      </w:r>
      <w:r>
        <w:rPr>
          <w:rFonts w:ascii="Arial" w:cs="Arial" w:eastAsia="Arial" w:hAnsi="Arial"/>
          <w:sz w:val="16"/>
          <w:szCs w:val="16"/>
          <w:u w:val="single" w:color="auto"/>
          <w:color w:val="auto"/>
        </w:rPr>
        <w:t>Section 5.12(c)</w:t>
      </w:r>
      <w:r>
        <w:rPr>
          <w:rFonts w:ascii="Arial" w:cs="Arial" w:eastAsia="Arial" w:hAnsi="Arial"/>
          <w:sz w:val="16"/>
          <w:szCs w:val="16"/>
          <w:color w:val="auto"/>
        </w:rPr>
        <w:t xml:space="preserve"> of this Agreement.</w:t>
      </w:r>
    </w:p>
    <w:p>
      <w:pPr>
        <w:spacing w:after="0" w:line="156" w:lineRule="exact"/>
        <w:rPr>
          <w:rFonts w:ascii="Arial" w:cs="Arial" w:eastAsia="Arial" w:hAnsi="Arial"/>
          <w:sz w:val="16"/>
          <w:szCs w:val="16"/>
          <w:color w:val="auto"/>
        </w:rPr>
      </w:pPr>
    </w:p>
    <w:p>
      <w:pPr>
        <w:ind w:left="140" w:right="200" w:firstLine="1940"/>
        <w:spacing w:after="0" w:line="300" w:lineRule="auto"/>
        <w:tabs>
          <w:tab w:leader="none" w:pos="249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The Company shall use reasonable best efforts to obtain an opinion of Cooley to the effect that the Merger shall qualify for the Intended Tax Treatment, dated as of the Closing and also dated as of any earlier date as may be required by the SEC in connection with the effectiveness of the Registration Statement. In rendering such opinion, Cooley may require and rely upon (and may incorporate by reference) reasonable and customary representations and covenants, including the Tax Representation Letters described in </w:t>
      </w:r>
      <w:r>
        <w:rPr>
          <w:rFonts w:ascii="Arial" w:cs="Arial" w:eastAsia="Arial" w:hAnsi="Arial"/>
          <w:sz w:val="16"/>
          <w:szCs w:val="16"/>
          <w:u w:val="single" w:color="auto"/>
          <w:color w:val="auto"/>
        </w:rPr>
        <w:t>Section 5.12(c)</w:t>
      </w:r>
      <w:r>
        <w:rPr>
          <w:rFonts w:ascii="Arial" w:cs="Arial" w:eastAsia="Arial" w:hAnsi="Arial"/>
          <w:sz w:val="16"/>
          <w:szCs w:val="16"/>
          <w:color w:val="auto"/>
        </w:rPr>
        <w:t xml:space="preserve"> of this Agreement.</w:t>
      </w:r>
    </w:p>
    <w:p>
      <w:pPr>
        <w:spacing w:after="0" w:line="153" w:lineRule="exact"/>
        <w:rPr>
          <w:sz w:val="20"/>
          <w:szCs w:val="20"/>
          <w:color w:val="auto"/>
        </w:rPr>
      </w:pPr>
    </w:p>
    <w:p>
      <w:pPr>
        <w:ind w:left="140" w:right="100" w:firstLine="1292"/>
        <w:spacing w:after="0" w:line="260"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Parent shall be entitled to place appropriate legends on the book entries and/or certificates evidencing any shares of Parent Common Stock to be received in the Merger by equity 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80" w:lineRule="exact"/>
        <w:rPr>
          <w:sz w:val="20"/>
          <w:szCs w:val="20"/>
          <w:color w:val="auto"/>
        </w:rPr>
      </w:pPr>
    </w:p>
    <w:p>
      <w:pPr>
        <w:ind w:left="140" w:right="80" w:firstLine="1292"/>
        <w:spacing w:after="0" w:line="285"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Directors and Officers</w:t>
      </w:r>
      <w:r>
        <w:rPr>
          <w:rFonts w:ascii="Arial" w:cs="Arial" w:eastAsia="Arial" w:hAnsi="Arial"/>
          <w:sz w:val="16"/>
          <w:szCs w:val="16"/>
          <w:color w:val="auto"/>
        </w:rPr>
        <w:t xml:space="preserve">. The Parties shall use reasonable best efforts and take all necessary action so that immediately after the Effective Time, (a) the Parent Board is comprised of seven (7) members, with three (3) such members designated by Parent (all of which Parent designees must satisfy NASDAQ’s independence requirements and at least two (2) of such Parent designees must also satisfy NASDAQ’s independence and financial sophistication requirements for audit committee members) and four (4) such members designated by the Company, and (b) the Persons listed in </w:t>
      </w:r>
      <w:r>
        <w:rPr>
          <w:rFonts w:ascii="Arial" w:cs="Arial" w:eastAsia="Arial" w:hAnsi="Arial"/>
          <w:sz w:val="16"/>
          <w:szCs w:val="16"/>
          <w:b w:val="1"/>
          <w:bCs w:val="1"/>
          <w:u w:val="single" w:color="auto"/>
          <w:color w:val="auto"/>
        </w:rPr>
        <w:t>Exhibit 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heading “Officers” are elected or appointed, as applicable, to the positions of officers of Parent and the Surviving Corporation, as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therein, to serve in such positions effective as of the Effective Time until successors are duly appointed and qualified in accordance with applicable Law. If any Person listed in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is unable or unwilling to serve as an officer of Parent or the Surviving Corporation, as set forth therein, as of the Effective Time, the Parties shall mutually agree upon a successor. The Persons listed in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under the heading “Board Designees – Parent” shall be Parent’s designees pursuant to clause (a)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(which list shall be delivered to the Company prior to the date the Registration Statement is first filed with the SEC, shall be reasonably acceptable to the Company and which list may not be changed by Parent at any time prior to the Closing without prior written notice to the Company to include different board designees who are reasonably acceptable to the Company and who, in any case, shall satisfy the requirements of clause (a)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(the “</w:t>
      </w:r>
      <w:r>
        <w:rPr>
          <w:rFonts w:ascii="Arial" w:cs="Arial" w:eastAsia="Arial" w:hAnsi="Arial"/>
          <w:sz w:val="16"/>
          <w:szCs w:val="16"/>
          <w:b w:val="1"/>
          <w:bCs w:val="1"/>
          <w:i w:val="1"/>
          <w:iCs w:val="1"/>
          <w:color w:val="auto"/>
        </w:rPr>
        <w:t>Parent Designees</w:t>
      </w:r>
      <w:r>
        <w:rPr>
          <w:rFonts w:ascii="Arial" w:cs="Arial" w:eastAsia="Arial" w:hAnsi="Arial"/>
          <w:sz w:val="16"/>
          <w:szCs w:val="16"/>
          <w:color w:val="auto"/>
        </w:rPr>
        <w:t xml:space="preserve">”). The Persons listed in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under the heading “Board Designees – Company” shall be the Company’s designees pursuant to clause (a)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xml:space="preserve"> (which list may be changed by the Company at any time prior to the Closing by written notice to Parent to include different board designees who are reasonably acceptable to Parent).</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6" w:name="page377"/>
    <w:bookmarkEnd w:id="37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660" w:firstLine="1292"/>
        <w:spacing w:after="0" w:line="311"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b w:val="1"/>
          <w:bCs w:val="1"/>
          <w:u w:val="single" w:color="auto"/>
          <w:color w:val="auto"/>
        </w:rPr>
        <w:t>Termination of Certain Agreements and Rights</w:t>
      </w:r>
      <w:r>
        <w:rPr>
          <w:rFonts w:ascii="Arial" w:cs="Arial" w:eastAsia="Arial" w:hAnsi="Arial"/>
          <w:sz w:val="17"/>
          <w:szCs w:val="17"/>
          <w:color w:val="auto"/>
        </w:rPr>
        <w:t>. The Company shall cause any Investor Agreements to be terminated immediately prior to the Effective Time, without any liability being imposed on the part of Parent or the Surviving Corporation.</w:t>
      </w:r>
    </w:p>
    <w:p>
      <w:pPr>
        <w:spacing w:after="0" w:line="139" w:lineRule="exact"/>
        <w:rPr>
          <w:sz w:val="20"/>
          <w:szCs w:val="20"/>
          <w:color w:val="auto"/>
        </w:rPr>
      </w:pPr>
    </w:p>
    <w:p>
      <w:pPr>
        <w:ind w:left="140" w:firstLine="1292"/>
        <w:spacing w:after="0" w:line="270"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b w:val="1"/>
          <w:bCs w:val="1"/>
          <w:u w:val="single" w:color="auto"/>
          <w:color w:val="auto"/>
        </w:rPr>
        <w:t>Section 16 Matters</w:t>
      </w:r>
      <w:r>
        <w:rPr>
          <w:rFonts w:ascii="Arial" w:cs="Arial" w:eastAsia="Arial" w:hAnsi="Arial"/>
          <w:sz w:val="17"/>
          <w:szCs w:val="17"/>
          <w:color w:val="auto"/>
        </w:rPr>
        <w:t>. Prior to the Effective Time, Parent and the Company shall take all such steps as may be required (to the extent permitted under applicable Laws)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At least thirty (30) days prior to the Closing Date, the Company shall furnish the following information to Parent for each individual who, immediately after the Effective Time, will become subject to the reporting requirements of Section 16(a) of the Exchange Act with respect to Parent: (a) the number of shares of Company Capital Stock owned by such individual and expected to be exchanged for shares of Parent Common Stock pursuant to the Merger, and (b) the number of other derivative securities (if any) with respect to Company Capital Stock owned by such individual and expected to be converted into shares of Parent Common Stock or derivative securities with respect to Parent Common Stock in connection with the Merger.</w:t>
      </w:r>
    </w:p>
    <w:p>
      <w:pPr>
        <w:spacing w:after="0" w:line="174" w:lineRule="exact"/>
        <w:rPr>
          <w:sz w:val="20"/>
          <w:szCs w:val="20"/>
          <w:color w:val="auto"/>
        </w:rPr>
      </w:pPr>
    </w:p>
    <w:p>
      <w:pPr>
        <w:ind w:left="140" w:right="140" w:firstLine="1292"/>
        <w:spacing w:after="0" w:line="26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shall cooperate reasonably with the other Party and shall provide the other Party with such 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76" w:lineRule="exact"/>
        <w:rPr>
          <w:sz w:val="20"/>
          <w:szCs w:val="20"/>
          <w:color w:val="auto"/>
        </w:rPr>
      </w:pPr>
    </w:p>
    <w:p>
      <w:pPr>
        <w:ind w:left="140" w:right="20" w:firstLine="1292"/>
        <w:spacing w:after="0" w:line="293"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u w:val="single" w:color="auto"/>
          <w:color w:val="auto"/>
        </w:rPr>
        <w:t>Allocation Certificate</w:t>
      </w:r>
      <w:r>
        <w:rPr>
          <w:rFonts w:ascii="Arial" w:cs="Arial" w:eastAsia="Arial" w:hAnsi="Arial"/>
          <w:sz w:val="16"/>
          <w:szCs w:val="16"/>
          <w:color w:val="auto"/>
        </w:rPr>
        <w:t>. The Company will prepare and deliver to Parent at least ten Business Days prior to the Closing Date a certificate signed by the Chief Financial Officer of the Company in a form reasonably acceptable to Parent setting forth (as of immediately prior to the Effective Time) (a) each holder of Company Capital Stock or Company Options, (b) such holder’s name and address; (c) the number and type of Company Capital Stock held and/or underlying the Company Options as of the Closing Date for each such holder; and (c) the number of shares of Parent Common Stock to be issued to such holder, or to underlie any Parent Option to be issued to such holder, pursuant to this Agreement in respect of the Company Capital Stock or Company Options held by such holder as of immediately prior to the Effective Time (the “</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w:t>
      </w:r>
    </w:p>
    <w:p>
      <w:pPr>
        <w:spacing w:after="0" w:line="160" w:lineRule="exact"/>
        <w:rPr>
          <w:sz w:val="20"/>
          <w:szCs w:val="20"/>
          <w:color w:val="auto"/>
        </w:rPr>
      </w:pPr>
    </w:p>
    <w:p>
      <w:pPr>
        <w:ind w:left="140" w:right="120" w:firstLine="1292"/>
        <w:spacing w:after="0" w:line="288"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b w:val="1"/>
          <w:bCs w:val="1"/>
          <w:u w:val="single" w:color="auto"/>
          <w:color w:val="auto"/>
        </w:rPr>
        <w:t>Company Financial Statements</w:t>
      </w:r>
      <w:r>
        <w:rPr>
          <w:rFonts w:ascii="Arial" w:cs="Arial" w:eastAsia="Arial" w:hAnsi="Arial"/>
          <w:sz w:val="16"/>
          <w:szCs w:val="16"/>
          <w:color w:val="auto"/>
        </w:rPr>
        <w:t>. As promptly as reasonably practicable following the date of this Agreement, the Company will furnish to Parent (i) audited financial statements for the fiscal years ended 2014, 2015 and 2016, for inclusion in the Proxy Statement and the Registration Statement (the “</w:t>
      </w:r>
      <w:r>
        <w:rPr>
          <w:rFonts w:ascii="Arial" w:cs="Arial" w:eastAsia="Arial" w:hAnsi="Arial"/>
          <w:sz w:val="16"/>
          <w:szCs w:val="16"/>
          <w:b w:val="1"/>
          <w:bCs w:val="1"/>
          <w:i w:val="1"/>
          <w:iCs w:val="1"/>
          <w:color w:val="auto"/>
        </w:rPr>
        <w:t>Company Audited Financial Statements</w:t>
      </w:r>
      <w:r>
        <w:rPr>
          <w:rFonts w:ascii="Arial" w:cs="Arial" w:eastAsia="Arial" w:hAnsi="Arial"/>
          <w:sz w:val="16"/>
          <w:szCs w:val="16"/>
          <w:color w:val="auto"/>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Arial" w:cs="Arial" w:eastAsia="Arial" w:hAnsi="Arial"/>
          <w:sz w:val="16"/>
          <w:szCs w:val="16"/>
          <w:b w:val="1"/>
          <w:bCs w:val="1"/>
          <w:i w:val="1"/>
          <w:iCs w:val="1"/>
          <w:color w:val="auto"/>
        </w:rPr>
        <w:t>Company Interim Financial Statements</w:t>
      </w:r>
      <w:r>
        <w:rPr>
          <w:rFonts w:ascii="Arial" w:cs="Arial" w:eastAsia="Arial" w:hAnsi="Arial"/>
          <w:sz w:val="16"/>
          <w:szCs w:val="16"/>
          <w:color w:val="auto"/>
        </w:rPr>
        <w:t>”). Each of the Company Audited Financial Statements and the Company Interim Financial Statements will be suitable for inclusion in the Proxy Statement and the Registration Statement and prepared in accordance with GAAP as applied on a consistent basis with the Company’s past practice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7" w:name="page378"/>
    <w:bookmarkEnd w:id="37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80" w:firstLine="1292"/>
        <w:spacing w:after="0" w:line="260"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Takeover Statutes</w:t>
      </w:r>
      <w:r>
        <w:rPr>
          <w:rFonts w:ascii="Arial" w:cs="Arial" w:eastAsia="Arial" w:hAnsi="Arial"/>
          <w:sz w:val="18"/>
          <w:szCs w:val="18"/>
          <w:color w:val="auto"/>
        </w:rPr>
        <w:t>. If any Takeover Statute is or may become applicable to the Contemplated Transactions, each of the Company, the Company Board, Parent and the Parent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0" w:lineRule="exact"/>
        <w:rPr>
          <w:sz w:val="20"/>
          <w:szCs w:val="20"/>
          <w:color w:val="auto"/>
        </w:rPr>
      </w:pPr>
    </w:p>
    <w:p>
      <w:pPr>
        <w:ind w:left="140" w:firstLine="1292"/>
        <w:spacing w:after="0" w:line="273"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u w:val="single" w:color="auto"/>
          <w:color w:val="auto"/>
        </w:rPr>
        <w:t>Stockholder Litigation</w:t>
      </w:r>
      <w:r>
        <w:rPr>
          <w:rFonts w:ascii="Arial" w:cs="Arial" w:eastAsia="Arial" w:hAnsi="Arial"/>
          <w:sz w:val="17"/>
          <w:szCs w:val="17"/>
          <w:color w:val="auto"/>
        </w:rPr>
        <w:t xml:space="preserve">. Parent shall conduct and control the settlement and defense of any stockholder litigation against Parent or any of its directors relating to this Agreement or the Contemplated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settlement or other resolution of any such stockholder litigation agreed to by Parent after the Closing shall be approved in advance by a majority of the Parent Designees for so long as any Parent Designees are still members of the Parent Board. Without limiting the foregoing, prior to the Closing, Parent shall give the Company the opportunity to consult with Parent in connection with the defense and settlement of any such stockholder litigation, and Parent shall keep the Company reasonably apprised of any material developments in connection with any such stockholder litigation.</w:t>
      </w:r>
    </w:p>
    <w:p>
      <w:pPr>
        <w:spacing w:after="0" w:line="173"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b w:val="1"/>
          <w:bCs w:val="1"/>
          <w:u w:val="single" w:color="auto"/>
          <w:color w:val="auto"/>
        </w:rPr>
        <w:t>Calculation of Cash; Adjustment to Company and Parent Valuations</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58" w:lineRule="auto"/>
        <w:tabs>
          <w:tab w:leader="none" w:pos="2501"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Section 5.22(a)</w:t>
      </w:r>
      <w:r>
        <w:rPr>
          <w:rFonts w:ascii="Arial" w:cs="Arial" w:eastAsia="Arial" w:hAnsi="Arial"/>
          <w:sz w:val="18"/>
          <w:szCs w:val="18"/>
          <w:color w:val="auto"/>
        </w:rPr>
        <w:t xml:space="preserve"> of the Company Disclosure Schedule sets forth the Company’s good faith estimate of Company Cash and the components thereof, calculated as if the Closing occurs on December 31, 2017. The Parties agree that Company Cash, including for purposes of the Company Cash Schedule, will be calculated based on the same assumptions and methodologies used in preparing </w:t>
      </w:r>
      <w:r>
        <w:rPr>
          <w:rFonts w:ascii="Arial" w:cs="Arial" w:eastAsia="Arial" w:hAnsi="Arial"/>
          <w:sz w:val="18"/>
          <w:szCs w:val="18"/>
          <w:u w:val="single" w:color="auto"/>
          <w:color w:val="auto"/>
        </w:rPr>
        <w:t>Section 5.22(a)</w:t>
      </w:r>
      <w:r>
        <w:rPr>
          <w:rFonts w:ascii="Arial" w:cs="Arial" w:eastAsia="Arial" w:hAnsi="Arial"/>
          <w:sz w:val="18"/>
          <w:szCs w:val="18"/>
          <w:color w:val="auto"/>
        </w:rPr>
        <w:t xml:space="preserve"> of the Company Disclosure Schedule.</w:t>
      </w:r>
    </w:p>
    <w:p>
      <w:pPr>
        <w:spacing w:after="0" w:line="186" w:lineRule="exact"/>
        <w:rPr>
          <w:rFonts w:ascii="Arial" w:cs="Arial" w:eastAsia="Arial" w:hAnsi="Arial"/>
          <w:sz w:val="18"/>
          <w:szCs w:val="18"/>
          <w:color w:val="auto"/>
        </w:rPr>
      </w:pPr>
    </w:p>
    <w:p>
      <w:pPr>
        <w:ind w:left="140" w:right="280" w:firstLine="1940"/>
        <w:spacing w:after="0" w:line="262" w:lineRule="auto"/>
        <w:tabs>
          <w:tab w:leader="none" w:pos="25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On or prior to the Determination Date, the Company shall deliver the Company Cash Schedule to Parent. Upon the reasonable request of Parent, the Company shall make the work papers and back-up materials used or useful in preparing the Company Cash Schedule available to Parent.</w:t>
      </w:r>
    </w:p>
    <w:p>
      <w:pPr>
        <w:spacing w:after="0" w:line="183" w:lineRule="exact"/>
        <w:rPr>
          <w:rFonts w:ascii="Arial" w:cs="Arial" w:eastAsia="Arial" w:hAnsi="Arial"/>
          <w:sz w:val="18"/>
          <w:szCs w:val="18"/>
          <w:color w:val="auto"/>
        </w:rPr>
      </w:pPr>
    </w:p>
    <w:p>
      <w:pPr>
        <w:ind w:left="140" w:right="20" w:firstLine="1940"/>
        <w:spacing w:after="0" w:line="310" w:lineRule="auto"/>
        <w:tabs>
          <w:tab w:leader="none" w:pos="2501"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Section 5.22(c)</w:t>
      </w:r>
      <w:r>
        <w:rPr>
          <w:rFonts w:ascii="Arial" w:cs="Arial" w:eastAsia="Arial" w:hAnsi="Arial"/>
          <w:sz w:val="16"/>
          <w:szCs w:val="16"/>
          <w:color w:val="auto"/>
        </w:rPr>
        <w:t xml:space="preserve"> of the Parent Disclosure Schedule sets forth Parent’s good faith estimate of Parent Cash and the components thereof, calculated as if the Closing occurs on December 31, 2017. The Parties agree that Parent Cash, including for purposes of the Parent Cash Schedule, will be calculated based on the same assumptions and methodologies used in preparing </w:t>
      </w:r>
      <w:r>
        <w:rPr>
          <w:rFonts w:ascii="Arial" w:cs="Arial" w:eastAsia="Arial" w:hAnsi="Arial"/>
          <w:sz w:val="16"/>
          <w:szCs w:val="16"/>
          <w:u w:val="single" w:color="auto"/>
          <w:color w:val="auto"/>
        </w:rPr>
        <w:t>Section 5.22(c)</w:t>
      </w:r>
      <w:r>
        <w:rPr>
          <w:rFonts w:ascii="Arial" w:cs="Arial" w:eastAsia="Arial" w:hAnsi="Arial"/>
          <w:sz w:val="16"/>
          <w:szCs w:val="16"/>
          <w:color w:val="auto"/>
        </w:rPr>
        <w:t xml:space="preserve"> of the Parent Disclosure Schedule.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378" w:name="page379"/>
    <w:bookmarkEnd w:id="37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600" w:firstLine="1940"/>
        <w:spacing w:after="0" w:line="262" w:lineRule="auto"/>
        <w:tabs>
          <w:tab w:leader="none" w:pos="251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On or prior to the Determination Date, Parent shall deliver the Parent Cash Schedule to the Company. Upon the reasonable request of the Company, Parent shall make the work papers and back-up materials used or useful in preparing the Parent Cash Schedule available to the Company.</w:t>
      </w:r>
    </w:p>
    <w:p>
      <w:pPr>
        <w:spacing w:after="0" w:line="183" w:lineRule="exact"/>
        <w:rPr>
          <w:rFonts w:ascii="Arial" w:cs="Arial" w:eastAsia="Arial" w:hAnsi="Arial"/>
          <w:sz w:val="18"/>
          <w:szCs w:val="18"/>
          <w:color w:val="auto"/>
        </w:rPr>
      </w:pPr>
    </w:p>
    <w:p>
      <w:pPr>
        <w:ind w:left="2500" w:hanging="420"/>
        <w:spacing w:after="0"/>
        <w:tabs>
          <w:tab w:leader="none" w:pos="250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Following the final determination of Company Cash in accordance with this </w:t>
      </w:r>
      <w:r>
        <w:rPr>
          <w:rFonts w:ascii="Arial" w:cs="Arial" w:eastAsia="Arial" w:hAnsi="Arial"/>
          <w:sz w:val="16"/>
          <w:szCs w:val="16"/>
          <w:u w:val="single" w:color="auto"/>
          <w:color w:val="auto"/>
        </w:rPr>
        <w:t>Section 5.22</w:t>
      </w:r>
      <w:r>
        <w:rPr>
          <w:rFonts w:ascii="Arial" w:cs="Arial" w:eastAsia="Arial" w:hAnsi="Arial"/>
          <w:sz w:val="16"/>
          <w:szCs w:val="16"/>
          <w:color w:val="auto"/>
        </w:rPr>
        <w:t>, the Company Valuation shall</w:t>
      </w:r>
    </w:p>
    <w:p>
      <w:pPr>
        <w:spacing w:after="0" w:line="45" w:lineRule="exact"/>
        <w:rPr>
          <w:rFonts w:ascii="Arial" w:cs="Arial" w:eastAsia="Arial" w:hAnsi="Arial"/>
          <w:sz w:val="16"/>
          <w:szCs w:val="16"/>
          <w:color w:val="auto"/>
        </w:rPr>
      </w:pPr>
    </w:p>
    <w:p>
      <w:pPr>
        <w:ind w:left="140" w:right="60"/>
        <w:spacing w:after="0" w:line="276" w:lineRule="auto"/>
        <w:rPr>
          <w:rFonts w:ascii="Arial" w:cs="Arial" w:eastAsia="Arial" w:hAnsi="Arial"/>
          <w:sz w:val="16"/>
          <w:szCs w:val="16"/>
          <w:color w:val="auto"/>
        </w:rPr>
      </w:pPr>
      <w:r>
        <w:rPr>
          <w:rFonts w:ascii="Arial" w:cs="Arial" w:eastAsia="Arial" w:hAnsi="Arial"/>
          <w:sz w:val="17"/>
          <w:szCs w:val="17"/>
          <w:color w:val="auto"/>
        </w:rPr>
        <w:t>be adjusted as follows: (x) if Company Cash is within the Company Collar Range, no adjustment to the Company Valuation shall be made; (y) if there is a Company Excess Amount, the Company Valuation shall be increased dollar-for-dollar by the Company Excess Amount; and (z) if there is a Company Deficiency Amount, the Company Valuation shall be decreased dollar-for-dollar by the Company Deficiency Amount.</w:t>
      </w:r>
    </w:p>
    <w:p>
      <w:pPr>
        <w:spacing w:after="0" w:line="172" w:lineRule="exact"/>
        <w:rPr>
          <w:rFonts w:ascii="Arial" w:cs="Arial" w:eastAsia="Arial" w:hAnsi="Arial"/>
          <w:sz w:val="16"/>
          <w:szCs w:val="16"/>
          <w:color w:val="auto"/>
        </w:rPr>
      </w:pPr>
    </w:p>
    <w:p>
      <w:pPr>
        <w:ind w:left="2480" w:hanging="400"/>
        <w:spacing w:after="0"/>
        <w:tabs>
          <w:tab w:leader="none" w:pos="248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Following the final determination of Parent Cash in accordance with this </w:t>
      </w:r>
      <w:r>
        <w:rPr>
          <w:rFonts w:ascii="Arial" w:cs="Arial" w:eastAsia="Arial" w:hAnsi="Arial"/>
          <w:sz w:val="17"/>
          <w:szCs w:val="17"/>
          <w:u w:val="single" w:color="auto"/>
          <w:color w:val="auto"/>
        </w:rPr>
        <w:t>Section 5.22</w:t>
      </w:r>
      <w:r>
        <w:rPr>
          <w:rFonts w:ascii="Arial" w:cs="Arial" w:eastAsia="Arial" w:hAnsi="Arial"/>
          <w:sz w:val="17"/>
          <w:szCs w:val="17"/>
          <w:color w:val="auto"/>
        </w:rPr>
        <w:t>, the Parent Valuation shall be</w:t>
      </w:r>
    </w:p>
    <w:p>
      <w:pPr>
        <w:spacing w:after="0" w:line="34" w:lineRule="exact"/>
        <w:rPr>
          <w:rFonts w:ascii="Arial" w:cs="Arial" w:eastAsia="Arial" w:hAnsi="Arial"/>
          <w:sz w:val="17"/>
          <w:szCs w:val="17"/>
          <w:color w:val="auto"/>
        </w:rPr>
      </w:pPr>
    </w:p>
    <w:p>
      <w:pPr>
        <w:ind w:left="140" w:right="60"/>
        <w:spacing w:after="0" w:line="254" w:lineRule="auto"/>
        <w:rPr>
          <w:rFonts w:ascii="Arial" w:cs="Arial" w:eastAsia="Arial" w:hAnsi="Arial"/>
          <w:sz w:val="17"/>
          <w:szCs w:val="17"/>
          <w:color w:val="auto"/>
        </w:rPr>
      </w:pPr>
      <w:r>
        <w:rPr>
          <w:rFonts w:ascii="Arial" w:cs="Arial" w:eastAsia="Arial" w:hAnsi="Arial"/>
          <w:sz w:val="18"/>
          <w:szCs w:val="18"/>
          <w:color w:val="auto"/>
        </w:rPr>
        <w:t>adjusted as follows: (x) if Parent Cash is within the Parent Collar Range, no adjustment to the Parent Valuation shall be made; (y) if there is a Parent Excess Amount, the Parent Valuation shall be increased dollar-for-dollar by the Parent Excess Amount; and (z) if there is a Parent Deficiency Amount, the Parent Valuation shall be decreased dollar-for-dollar by the Parent Deficiency Amount.</w:t>
      </w:r>
    </w:p>
    <w:p>
      <w:pPr>
        <w:spacing w:after="0" w:line="186" w:lineRule="exact"/>
        <w:rPr>
          <w:sz w:val="20"/>
          <w:szCs w:val="20"/>
          <w:color w:val="auto"/>
        </w:rPr>
      </w:pPr>
    </w:p>
    <w:p>
      <w:pPr>
        <w:ind w:left="140" w:right="20" w:firstLine="1292"/>
        <w:spacing w:after="0" w:line="255"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b w:val="1"/>
          <w:bCs w:val="1"/>
          <w:u w:val="single" w:color="auto"/>
          <w:color w:val="auto"/>
        </w:rPr>
        <w:t>Post-Closing Equity Financing</w:t>
      </w:r>
      <w:r>
        <w:rPr>
          <w:rFonts w:ascii="Arial" w:cs="Arial" w:eastAsia="Arial" w:hAnsi="Arial"/>
          <w:sz w:val="18"/>
          <w:szCs w:val="18"/>
          <w:color w:val="auto"/>
        </w:rPr>
        <w:t>. Except for the issuance of shares of Parent Common Stock to the stockholders of the Company pursuant to the terms of this Agreement and shares of Parent Common Stock issued upon the valid exercise or settlement of Parent Options, Parent RSUs or Company Options outstanding as of the Closing, Parent shall not consummate an equity financing for shares of its or its Subsidiaries capital stock or other equity securities with any third party for a period of 90 days from and after the Effective Time unless a majority of the Parent Designees (or, in the event there are no Parent Designees then seated on the board of directors of Parent, a majority of Parent directors) shall have approved such equity financing in advance.</w:t>
      </w:r>
    </w:p>
    <w:p>
      <w:pPr>
        <w:spacing w:after="0" w:line="188"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b w:val="1"/>
          <w:bCs w:val="1"/>
          <w:u w:val="single" w:color="auto"/>
          <w:color w:val="auto"/>
        </w:rPr>
        <w:t>Reverse Split</w:t>
      </w:r>
      <w:r>
        <w:rPr>
          <w:rFonts w:ascii="Arial" w:cs="Arial" w:eastAsia="Arial" w:hAnsi="Arial"/>
          <w:sz w:val="16"/>
          <w:szCs w:val="16"/>
          <w:color w:val="auto"/>
        </w:rPr>
        <w:t>.</w:t>
      </w:r>
    </w:p>
    <w:p>
      <w:pPr>
        <w:spacing w:after="0" w:line="228" w:lineRule="exact"/>
        <w:rPr>
          <w:sz w:val="20"/>
          <w:szCs w:val="20"/>
          <w:color w:val="auto"/>
        </w:rPr>
      </w:pPr>
    </w:p>
    <w:p>
      <w:pPr>
        <w:ind w:left="140" w:firstLine="1940"/>
        <w:spacing w:after="0" w:line="286" w:lineRule="auto"/>
        <w:tabs>
          <w:tab w:leader="none" w:pos="250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Parent shall submit to the holders of Parent Common Stock at the Parent Stockholders’ Meeting a proposal to approve and adopt an amendment to the Parent Certificate of Incorporation to authorize the Board of Directors of Parent to effect a reverse stock split of all outstanding shares of Parent Common Stock at a reverse stock split ratio of between 10 and 20 for 1 as mutually agreed to by Parent and the Company (the “</w:t>
      </w:r>
      <w:r>
        <w:rPr>
          <w:rFonts w:ascii="Arial" w:cs="Arial" w:eastAsia="Arial" w:hAnsi="Arial"/>
          <w:sz w:val="16"/>
          <w:szCs w:val="16"/>
          <w:b w:val="1"/>
          <w:bCs w:val="1"/>
          <w:i w:val="1"/>
          <w:iCs w:val="1"/>
          <w:color w:val="auto"/>
        </w:rPr>
        <w:t>Reverse Split</w:t>
      </w:r>
      <w:r>
        <w:rPr>
          <w:rFonts w:ascii="Arial" w:cs="Arial" w:eastAsia="Arial" w:hAnsi="Arial"/>
          <w:sz w:val="16"/>
          <w:szCs w:val="16"/>
          <w:color w:val="auto"/>
        </w:rPr>
        <w:t xml:space="preserve">”). Parent shall use commercially reasonable efforts, including engaging a proxy solicitor to solicit from its stockholders proxies in favor of the Reverse Split. Without limiting Parent’s rights pursuant to </w:t>
      </w:r>
      <w:r>
        <w:rPr>
          <w:rFonts w:ascii="Arial" w:cs="Arial" w:eastAsia="Arial" w:hAnsi="Arial"/>
          <w:sz w:val="16"/>
          <w:szCs w:val="16"/>
          <w:u w:val="single" w:color="auto"/>
          <w:color w:val="auto"/>
        </w:rPr>
        <w:t>Section 5.3(a)</w:t>
      </w:r>
      <w:r>
        <w:rPr>
          <w:rFonts w:ascii="Arial" w:cs="Arial" w:eastAsia="Arial" w:hAnsi="Arial"/>
          <w:sz w:val="16"/>
          <w:szCs w:val="16"/>
          <w:color w:val="auto"/>
        </w:rPr>
        <w:t>, in the event that (i) the Required Parent Stockholder Merger Vote has been obtained (the date such approval is obtained, the “</w:t>
      </w:r>
      <w:r>
        <w:rPr>
          <w:rFonts w:ascii="Arial" w:cs="Arial" w:eastAsia="Arial" w:hAnsi="Arial"/>
          <w:sz w:val="16"/>
          <w:szCs w:val="16"/>
          <w:b w:val="1"/>
          <w:bCs w:val="1"/>
          <w:i w:val="1"/>
          <w:iCs w:val="1"/>
          <w:color w:val="auto"/>
        </w:rPr>
        <w:t>Merger Approval Date</w:t>
      </w:r>
      <w:r>
        <w:rPr>
          <w:rFonts w:ascii="Arial" w:cs="Arial" w:eastAsia="Arial" w:hAnsi="Arial"/>
          <w:sz w:val="16"/>
          <w:szCs w:val="16"/>
          <w:color w:val="auto"/>
        </w:rPr>
        <w:t>”) and (ii) as of the Merger Approval Date, based on the number of proxies then submitted and not revoked, approval of the Reverse Split only requires Parent to record additional proxies representing 2% or less of the aggregate number of shares of Parent Common Stock needed to obtain the Required Parent Stockholder Reverse Split Vote, Parent shall adjourn the Parent Stockholders’ Meeting with respect to the Reverse Split until the earlier of (x) five (5) calendar days after the Merger Approval Date and (y) the time when Parent has recorded proxies representing a sufficient number of shares of Parent Common Stock to obtain the Required Parent Stockholder Reverse Split Vote, and during such period, Parent shall use commercially reasonable efforts to solicit additional proxies in favor of the Reverse Split.</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79" w:name="page380"/>
    <w:bookmarkEnd w:id="37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72" w:lineRule="auto"/>
        <w:tabs>
          <w:tab w:leader="none" w:pos="2511"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In the event that Parent or the Parent Common Stock remains subject to delisting from NASDAQ after the Closing, Parent shall timely request a hearing before the NASDAQ hearings panel and use commercially reasonable efforts to take steps necessary to eliminate or resolve each impediment to continued listing of Parent and the Parent Common Stock on NASDAQ, including taking all action necessary under applicable Law to promptly call, give notice of and hold a meeting of the holders of Parent Common Stock to consider and vote to approve a reverse stock split of all outstanding shares of Parent Common Stock at a reverse stock split ratio to be determined at the sole discretion of the then Board of Directors, which will allow Parent to satisfy applicable listing rules and regulations of NASDAQ.</w:t>
      </w:r>
    </w:p>
    <w:p>
      <w:pPr>
        <w:spacing w:after="0" w:line="174"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6.</w:t>
        <w:tab/>
        <w:t>CONDITIONS PRECEDENT TO OBLIGATIONS OF EACH PARTY</w:t>
      </w:r>
    </w:p>
    <w:p>
      <w:pPr>
        <w:spacing w:after="0" w:line="228" w:lineRule="exact"/>
        <w:rPr>
          <w:sz w:val="20"/>
          <w:szCs w:val="20"/>
          <w:color w:val="auto"/>
        </w:rPr>
      </w:pPr>
    </w:p>
    <w:p>
      <w:pPr>
        <w:jc w:val="both"/>
        <w:ind w:left="140" w:right="100" w:firstLine="1292"/>
        <w:spacing w:after="0" w:line="262" w:lineRule="auto"/>
        <w:rPr>
          <w:sz w:val="20"/>
          <w:szCs w:val="20"/>
          <w:color w:val="auto"/>
        </w:rPr>
      </w:pPr>
      <w:r>
        <w:rPr>
          <w:rFonts w:ascii="Arial" w:cs="Arial" w:eastAsia="Arial" w:hAnsi="Arial"/>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79" w:lineRule="exact"/>
        <w:rPr>
          <w:sz w:val="20"/>
          <w:szCs w:val="20"/>
          <w:color w:val="auto"/>
        </w:rPr>
      </w:pPr>
    </w:p>
    <w:p>
      <w:pPr>
        <w:ind w:left="140" w:right="140" w:firstLine="1292"/>
        <w:spacing w:after="0" w:line="26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Effectiveness of Registration Statement</w:t>
      </w:r>
      <w:r>
        <w:rPr>
          <w:rFonts w:ascii="Arial" w:cs="Arial" w:eastAsia="Arial" w:hAnsi="Arial"/>
          <w:sz w:val="18"/>
          <w:szCs w:val="18"/>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176" w:lineRule="exact"/>
        <w:rPr>
          <w:sz w:val="20"/>
          <w:szCs w:val="20"/>
          <w:color w:val="auto"/>
        </w:rPr>
      </w:pPr>
    </w:p>
    <w:p>
      <w:pPr>
        <w:jc w:val="both"/>
        <w:ind w:left="140" w:firstLine="1292"/>
        <w:spacing w:after="0" w:line="31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No Restraints</w:t>
      </w:r>
      <w:r>
        <w:rPr>
          <w:rFonts w:ascii="Arial" w:cs="Arial" w:eastAsia="Arial" w:hAnsi="Arial"/>
          <w:sz w:val="16"/>
          <w:szCs w:val="16"/>
          <w:color w:val="auto"/>
        </w:rPr>
        <w:t>. No temporary restraining order, preliminary or permanent injunction or other order preventing the consummation of the Contemplated Transactions shall have been issued by any court of competent jurisdiction or other Governmental Body of competent jurisdiction and remain in effect and there shall not be any Law which has the effect of making the consummation of the Contemplated Transactions illegal.</w:t>
      </w:r>
    </w:p>
    <w:p>
      <w:pPr>
        <w:spacing w:after="0" w:line="141" w:lineRule="exact"/>
        <w:rPr>
          <w:sz w:val="20"/>
          <w:szCs w:val="20"/>
          <w:color w:val="auto"/>
        </w:rPr>
      </w:pPr>
    </w:p>
    <w:p>
      <w:pPr>
        <w:ind w:left="140" w:right="140" w:firstLine="1292"/>
        <w:spacing w:after="0" w:line="280"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Stockholder Approval</w:t>
      </w:r>
      <w:r>
        <w:rPr>
          <w:rFonts w:ascii="Arial" w:cs="Arial" w:eastAsia="Arial" w:hAnsi="Arial"/>
          <w:sz w:val="18"/>
          <w:szCs w:val="18"/>
          <w:color w:val="auto"/>
        </w:rPr>
        <w:t>. (a) Parent shall have obtained the Required Parent Stockholder Merger Vote and (b) the Company shall have obtained the Required Company Stockholder Vote.</w:t>
      </w:r>
    </w:p>
    <w:p>
      <w:pPr>
        <w:spacing w:after="0" w:line="163" w:lineRule="exact"/>
        <w:rPr>
          <w:sz w:val="20"/>
          <w:szCs w:val="20"/>
          <w:color w:val="auto"/>
        </w:rPr>
      </w:pPr>
    </w:p>
    <w:p>
      <w:pPr>
        <w:ind w:left="140" w:right="20" w:firstLine="1292"/>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u w:val="single" w:color="auto"/>
          <w:color w:val="auto"/>
        </w:rPr>
        <w:t>No Legal Proceedings</w:t>
      </w:r>
      <w:r>
        <w:rPr>
          <w:rFonts w:ascii="Arial" w:cs="Arial" w:eastAsia="Arial" w:hAnsi="Arial"/>
          <w:sz w:val="16"/>
          <w:szCs w:val="16"/>
          <w:color w:val="auto"/>
        </w:rPr>
        <w:t>. There shall not be any Legal Proceeding initiated by any Governmental Body pending: (a) challenging or seeking to restrain or prohibit the consummation of the Contemplated Transactions; (b) seeking to prohibit or limit in any material and adverse respect a Party’s ability to vote, transfer, receive dividends with respect to or otherwise exercise ownership rights with respect to the Stock of Parent; (c) that would materially and adversely affect the right or ability of Parent or the Company to own the assets or operate the business of Parent or the Company, in each case, in the respective manner such ownership or operations are conducted immediately prior to Closing; or (d) seeking to compel Parent or the Company (or any of their respective Subsidiaries) to dispose of or hold separate any material assets as a result of the Contemplated Transactions.</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80" w:name="page381"/>
    <w:bookmarkEnd w:id="38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120" w:firstLine="1292"/>
        <w:spacing w:after="0" w:line="280"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All waiting periods (and any extensions thereof) applicable to any Shareholder HSR Filing or any filing by the parties hereto under the HSR Act shall have expired or been terminated.</w:t>
      </w:r>
    </w:p>
    <w:p>
      <w:pPr>
        <w:spacing w:after="0" w:line="163" w:lineRule="exact"/>
        <w:rPr>
          <w:sz w:val="20"/>
          <w:szCs w:val="20"/>
          <w:color w:val="auto"/>
        </w:rPr>
      </w:pPr>
    </w:p>
    <w:p>
      <w:pPr>
        <w:ind w:left="140" w:right="360" w:firstLine="1292"/>
        <w:spacing w:after="0" w:line="280"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Documents</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of the documents set forth on </w:t>
      </w:r>
      <w:r>
        <w:rPr>
          <w:rFonts w:ascii="Arial" w:cs="Arial" w:eastAsia="Arial" w:hAnsi="Arial"/>
          <w:sz w:val="18"/>
          <w:szCs w:val="18"/>
          <w:u w:val="single" w:color="auto"/>
          <w:color w:val="auto"/>
        </w:rPr>
        <w:t>Schedule 6.6</w:t>
      </w:r>
      <w:r>
        <w:rPr>
          <w:rFonts w:ascii="Arial" w:cs="Arial" w:eastAsia="Arial" w:hAnsi="Arial"/>
          <w:sz w:val="18"/>
          <w:szCs w:val="18"/>
          <w:color w:val="auto"/>
        </w:rPr>
        <w:t xml:space="preserve"> shall have been duly executed by the parties thereto and a copy shall have been delivered to each of Parent and the Company.</w:t>
      </w:r>
    </w:p>
    <w:p>
      <w:pPr>
        <w:spacing w:after="0" w:line="163"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7.</w:t>
        <w:tab/>
        <w:t>ADDITIONAL CONDITIONS PRECEDENT TO OBLIGATIONS OF PARENT AND MERGER SUB</w:t>
      </w:r>
    </w:p>
    <w:p>
      <w:pPr>
        <w:spacing w:after="0" w:line="22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obligations of Parent and Merger Sub to effect the Merger and otherwise consummate the transactions to be consummated at the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Closing are subject to the satisfaction or the written waiver by Parent, at or prior to the Closing, of each of the following conditions:</w:t>
      </w:r>
    </w:p>
    <w:p>
      <w:pPr>
        <w:spacing w:after="0" w:line="205" w:lineRule="exact"/>
        <w:rPr>
          <w:sz w:val="20"/>
          <w:szCs w:val="20"/>
          <w:color w:val="auto"/>
        </w:rPr>
      </w:pPr>
    </w:p>
    <w:p>
      <w:pPr>
        <w:ind w:left="140" w:firstLine="1292"/>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Accuracy of Representations</w:t>
      </w:r>
      <w:r>
        <w:rPr>
          <w:rFonts w:ascii="Arial" w:cs="Arial" w:eastAsia="Arial" w:hAnsi="Arial"/>
          <w:sz w:val="16"/>
          <w:szCs w:val="16"/>
          <w:color w:val="auto"/>
        </w:rPr>
        <w:t xml:space="preserve">. The Company Fundamental Representations and the representation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the representation in </w:t>
      </w:r>
      <w:r>
        <w:rPr>
          <w:rFonts w:ascii="Arial" w:cs="Arial" w:eastAsia="Arial" w:hAnsi="Arial"/>
          <w:sz w:val="16"/>
          <w:szCs w:val="16"/>
          <w:u w:val="single" w:color="auto"/>
          <w:color w:val="auto"/>
        </w:rPr>
        <w:t>Section 2.8(a</w:t>
      </w:r>
      <w:r>
        <w:rPr>
          <w:rFonts w:ascii="Arial" w:cs="Arial" w:eastAsia="Arial" w:hAnsi="Arial"/>
          <w:sz w:val="16"/>
          <w:szCs w:val="16"/>
          <w:color w:val="auto"/>
        </w:rPr>
        <w:t>)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1" w:name="page382"/>
    <w:bookmarkEnd w:id="38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320" w:firstLine="1292"/>
        <w:spacing w:after="0" w:line="28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Performance of Covenants</w:t>
      </w:r>
      <w:r>
        <w:rPr>
          <w:rFonts w:ascii="Arial" w:cs="Arial" w:eastAsia="Arial" w:hAnsi="Arial"/>
          <w:sz w:val="18"/>
          <w:szCs w:val="18"/>
          <w:color w:val="auto"/>
        </w:rPr>
        <w:t>. The Company shall have performed or complied with in all material respects all agreements and covenants required to be performed or complied with by it under this Agreement at or prior to the Effective Time.</w:t>
      </w:r>
    </w:p>
    <w:p>
      <w:pPr>
        <w:spacing w:after="0" w:line="163" w:lineRule="exact"/>
        <w:rPr>
          <w:sz w:val="20"/>
          <w:szCs w:val="20"/>
          <w:color w:val="auto"/>
        </w:rPr>
      </w:pPr>
    </w:p>
    <w:p>
      <w:pPr>
        <w:jc w:val="center"/>
        <w:ind w:right="-119"/>
        <w:spacing w:after="0"/>
        <w:tabs>
          <w:tab w:leader="none" w:pos="2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u w:val="single" w:color="auto"/>
          <w:color w:val="auto"/>
        </w:rPr>
        <w:t>Documents</w:t>
      </w:r>
      <w:r>
        <w:rPr>
          <w:rFonts w:ascii="Arial" w:cs="Arial" w:eastAsia="Arial" w:hAnsi="Arial"/>
          <w:sz w:val="16"/>
          <w:szCs w:val="16"/>
          <w:color w:val="auto"/>
        </w:rPr>
        <w:t>. Parent shall have received the following documents, each of which shall be in full force and effect:</w:t>
      </w:r>
    </w:p>
    <w:p>
      <w:pPr>
        <w:spacing w:after="0" w:line="228" w:lineRule="exact"/>
        <w:rPr>
          <w:sz w:val="20"/>
          <w:szCs w:val="20"/>
          <w:color w:val="auto"/>
        </w:rPr>
      </w:pPr>
    </w:p>
    <w:p>
      <w:pPr>
        <w:ind w:left="140" w:firstLine="1940"/>
        <w:spacing w:after="0" w:line="262" w:lineRule="auto"/>
        <w:tabs>
          <w:tab w:leader="none" w:pos="2501"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the Company certifying (i)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have been duly satisfied and (ii) that the information set forth in the Allocation Certificate delivered by the Company in accordance with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is true and accurate in all respects as of the Closing Date; and</w:t>
      </w:r>
    </w:p>
    <w:p>
      <w:pPr>
        <w:spacing w:after="0" w:line="183" w:lineRule="exact"/>
        <w:rPr>
          <w:rFonts w:ascii="Arial" w:cs="Arial" w:eastAsia="Arial" w:hAnsi="Arial"/>
          <w:sz w:val="18"/>
          <w:szCs w:val="18"/>
          <w:color w:val="auto"/>
        </w:rPr>
      </w:pPr>
    </w:p>
    <w:p>
      <w:pPr>
        <w:ind w:left="140" w:right="420" w:firstLine="1940"/>
        <w:spacing w:after="0" w:line="306" w:lineRule="auto"/>
        <w:tabs>
          <w:tab w:leader="none" w:pos="2511"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a written resignation, in a form reasonably satisfactory to Parent, dated as of the Closing Date and effective as of the Closing, executed by each of the officers and directors of the Company listed in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of the Company Disclosure Schedule.</w:t>
      </w:r>
    </w:p>
    <w:p>
      <w:pPr>
        <w:spacing w:after="0" w:line="144" w:lineRule="exact"/>
        <w:rPr>
          <w:sz w:val="20"/>
          <w:szCs w:val="20"/>
          <w:color w:val="auto"/>
        </w:rPr>
      </w:pPr>
    </w:p>
    <w:p>
      <w:pPr>
        <w:jc w:val="both"/>
        <w:ind w:left="140" w:right="660" w:firstLine="1292"/>
        <w:spacing w:after="0" w:line="34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FIRPTA Certificate</w:t>
      </w:r>
      <w:r>
        <w:rPr>
          <w:rFonts w:ascii="Arial" w:cs="Arial" w:eastAsia="Arial" w:hAnsi="Arial"/>
          <w:sz w:val="16"/>
          <w:szCs w:val="16"/>
          <w:color w:val="auto"/>
        </w:rPr>
        <w:t>. Parent shall have received from the Company an executed notice to the IRS in accordance with the requirements of Treasury Regulation Section 1.897-2(h), dated as of the Closing Date, and in form and substance reasonably acceptable to Parent.</w:t>
      </w:r>
    </w:p>
    <w:p>
      <w:pPr>
        <w:spacing w:after="0" w:line="117"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u w:val="single" w:color="auto"/>
          <w:color w:val="auto"/>
        </w:rPr>
        <w:t>No Company Material Adverse Effect</w:t>
      </w:r>
      <w:r>
        <w:rPr>
          <w:rFonts w:ascii="Arial" w:cs="Arial" w:eastAsia="Arial" w:hAnsi="Arial"/>
          <w:sz w:val="16"/>
          <w:szCs w:val="16"/>
          <w:color w:val="auto"/>
        </w:rPr>
        <w:t>. Since the date of this Agreement, there shall not have occurred any Company Material</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Adverse Effect.</w:t>
      </w:r>
    </w:p>
    <w:p>
      <w:pPr>
        <w:spacing w:after="0" w:line="205"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b w:val="1"/>
          <w:bCs w:val="1"/>
          <w:u w:val="single" w:color="auto"/>
          <w:color w:val="auto"/>
        </w:rPr>
        <w:t>Termination of Investor Agreements</w:t>
      </w:r>
      <w:r>
        <w:rPr>
          <w:rFonts w:ascii="Arial" w:cs="Arial" w:eastAsia="Arial" w:hAnsi="Arial"/>
          <w:sz w:val="16"/>
          <w:szCs w:val="16"/>
          <w:color w:val="auto"/>
        </w:rPr>
        <w:t>. The Investor Agreements shall have been terminated.</w:t>
      </w:r>
    </w:p>
    <w:p>
      <w:pPr>
        <w:spacing w:after="0" w:line="224" w:lineRule="exact"/>
        <w:rPr>
          <w:sz w:val="20"/>
          <w:szCs w:val="20"/>
          <w:color w:val="auto"/>
        </w:rPr>
      </w:pPr>
    </w:p>
    <w:p>
      <w:pPr>
        <w:ind w:left="140" w:right="60" w:firstLine="1292"/>
        <w:spacing w:after="0" w:line="260"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Lock-Up Agreements</w:t>
      </w:r>
      <w:r>
        <w:rPr>
          <w:rFonts w:ascii="Arial" w:cs="Arial" w:eastAsia="Arial" w:hAnsi="Arial"/>
          <w:sz w:val="18"/>
          <w:szCs w:val="18"/>
          <w:color w:val="auto"/>
        </w:rPr>
        <w:t xml:space="preserve">. Parent shall have received a copy of a lock-up agreement in substantially the form attached hereto as </w:t>
      </w:r>
      <w:r>
        <w:rPr>
          <w:rFonts w:ascii="Arial" w:cs="Arial" w:eastAsia="Arial" w:hAnsi="Arial"/>
          <w:sz w:val="18"/>
          <w:szCs w:val="18"/>
          <w:b w:val="1"/>
          <w:bCs w:val="1"/>
          <w:color w:val="auto"/>
        </w:rPr>
        <w:t xml:space="preserve">Exhibit 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duly executed by each of the Company Lock-Up Signatories and each executive officer and director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 is elected or appointed, as applicable, as an executive officer and director of Parent as of immediately following the Closing, each of which shall be in full force and effect.</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2" w:name="page383"/>
    <w:bookmarkEnd w:id="38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8.</w:t>
        <w:tab/>
        <w:t>ADDITIONAL CONDITIONS PRECEDENT TO OBLIGATION OF THE COMPANY</w:t>
      </w:r>
    </w:p>
    <w:p>
      <w:pPr>
        <w:spacing w:after="0" w:line="228" w:lineRule="exact"/>
        <w:rPr>
          <w:sz w:val="20"/>
          <w:szCs w:val="20"/>
          <w:color w:val="auto"/>
        </w:rPr>
      </w:pPr>
    </w:p>
    <w:p>
      <w:pPr>
        <w:ind w:left="140" w:right="140" w:firstLine="1292"/>
        <w:spacing w:after="0" w:line="306" w:lineRule="auto"/>
        <w:rPr>
          <w:sz w:val="20"/>
          <w:szCs w:val="20"/>
          <w:color w:val="auto"/>
        </w:rPr>
      </w:pPr>
      <w:r>
        <w:rPr>
          <w:rFonts w:ascii="Arial" w:cs="Arial" w:eastAsia="Arial" w:hAnsi="Arial"/>
          <w:sz w:val="17"/>
          <w:szCs w:val="17"/>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44" w:lineRule="exact"/>
        <w:rPr>
          <w:sz w:val="20"/>
          <w:szCs w:val="20"/>
          <w:color w:val="auto"/>
        </w:rPr>
      </w:pPr>
    </w:p>
    <w:p>
      <w:pPr>
        <w:ind w:left="140" w:firstLine="1292"/>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Accuracy of Representations</w:t>
      </w:r>
      <w:r>
        <w:rPr>
          <w:rFonts w:ascii="Arial" w:cs="Arial" w:eastAsia="Arial" w:hAnsi="Arial"/>
          <w:sz w:val="16"/>
          <w:szCs w:val="16"/>
          <w:color w:val="auto"/>
        </w:rPr>
        <w:t xml:space="preserve">. The Parent Fundamental Representations and the representation in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 contained in this Agreement (other than the Parent Fundamental Representations, the representation in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Schedule made or purported to have been made after the date of this Agreement shall be disregarded).</w:t>
      </w:r>
    </w:p>
    <w:p>
      <w:pPr>
        <w:spacing w:after="0" w:line="165" w:lineRule="exact"/>
        <w:rPr>
          <w:sz w:val="20"/>
          <w:szCs w:val="20"/>
          <w:color w:val="auto"/>
        </w:rPr>
      </w:pPr>
    </w:p>
    <w:p>
      <w:pPr>
        <w:ind w:left="140" w:right="280" w:firstLine="1292"/>
        <w:spacing w:after="0" w:line="34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Performance of Covenants</w:t>
      </w:r>
      <w:r>
        <w:rPr>
          <w:rFonts w:ascii="Arial" w:cs="Arial" w:eastAsia="Arial" w:hAnsi="Arial"/>
          <w:sz w:val="16"/>
          <w:szCs w:val="16"/>
          <w:color w:val="auto"/>
        </w:rPr>
        <w:t>. Parent and Merger Sub shall have performed or complied with in all material respects all of their agreements and covenants required to be performed or complied with by each of them under this Agreement at or prior to the Effective Time.</w:t>
      </w:r>
    </w:p>
    <w:p>
      <w:pPr>
        <w:spacing w:after="0" w:line="117"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Documents</w:t>
      </w:r>
      <w:r>
        <w:rPr>
          <w:rFonts w:ascii="Arial" w:cs="Arial" w:eastAsia="Arial" w:hAnsi="Arial"/>
          <w:sz w:val="16"/>
          <w:szCs w:val="16"/>
          <w:color w:val="auto"/>
        </w:rPr>
        <w:t>. The Company shall have received the following documents, each of which shall be in full force and effect:</w:t>
      </w:r>
    </w:p>
    <w:p>
      <w:pPr>
        <w:spacing w:after="0" w:line="228" w:lineRule="exact"/>
        <w:rPr>
          <w:sz w:val="20"/>
          <w:szCs w:val="20"/>
          <w:color w:val="auto"/>
        </w:rPr>
      </w:pPr>
    </w:p>
    <w:p>
      <w:pPr>
        <w:ind w:left="140" w:right="180" w:firstLine="1940"/>
        <w:spacing w:after="0" w:line="276" w:lineRule="auto"/>
        <w:tabs>
          <w:tab w:leader="none" w:pos="250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Parent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have been duly satisfied; and</w:t>
      </w:r>
    </w:p>
    <w:p>
      <w:pPr>
        <w:spacing w:after="0" w:line="169" w:lineRule="exact"/>
        <w:rPr>
          <w:rFonts w:ascii="Arial" w:cs="Arial" w:eastAsia="Arial" w:hAnsi="Arial"/>
          <w:sz w:val="18"/>
          <w:szCs w:val="18"/>
          <w:color w:val="auto"/>
        </w:rPr>
      </w:pPr>
    </w:p>
    <w:p>
      <w:pPr>
        <w:ind w:left="140" w:right="100" w:firstLine="1940"/>
        <w:spacing w:after="0" w:line="262" w:lineRule="auto"/>
        <w:tabs>
          <w:tab w:leader="none" w:pos="251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a written resignation, in a form reasonably satisfactory to the Company, dated as of the Closing Date and effective as of the Closing, executed by each of the officers and directors of Parent who are not to continue as officers or directors of Parent after the Closing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hereof.</w:t>
      </w:r>
    </w:p>
    <w:p>
      <w:pPr>
        <w:spacing w:after="0" w:line="179"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u w:val="single" w:color="auto"/>
          <w:color w:val="auto"/>
        </w:rPr>
        <w:t>No Parent Material Adverse Effect</w:t>
      </w:r>
      <w:r>
        <w:rPr>
          <w:rFonts w:ascii="Arial" w:cs="Arial" w:eastAsia="Arial" w:hAnsi="Arial"/>
          <w:sz w:val="16"/>
          <w:szCs w:val="16"/>
          <w:color w:val="auto"/>
        </w:rPr>
        <w:t>. Since the date of this Agreement, there shall not have occurred any Parent Material</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Adverse Effect.</w:t>
      </w:r>
    </w:p>
    <w:p>
      <w:pPr>
        <w:spacing w:after="0" w:line="205"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b w:val="1"/>
          <w:bCs w:val="1"/>
          <w:color w:val="auto"/>
        </w:rPr>
        <w:t>Section 9.</w:t>
        <w:tab/>
        <w:t>TERMINATION</w:t>
      </w:r>
    </w:p>
    <w:p>
      <w:pPr>
        <w:spacing w:after="0" w:line="224" w:lineRule="exact"/>
        <w:rPr>
          <w:sz w:val="20"/>
          <w:szCs w:val="20"/>
          <w:color w:val="auto"/>
        </w:rPr>
      </w:pPr>
    </w:p>
    <w:p>
      <w:pPr>
        <w:ind w:left="140" w:right="40" w:firstLine="1292"/>
        <w:spacing w:after="0" w:line="26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prior to the Effective Time (whether before or after adoption of this Agreement by the Company’s stockholders and whether before or after approval of the Parent Stockholder Matters by Parent’s stockholders, unless otherwise specified below):</w:t>
      </w:r>
    </w:p>
    <w:p>
      <w:pPr>
        <w:spacing w:after="0" w:line="180" w:lineRule="exact"/>
        <w:rPr>
          <w:sz w:val="20"/>
          <w:szCs w:val="20"/>
          <w:color w:val="auto"/>
        </w:rPr>
      </w:pPr>
    </w:p>
    <w:p>
      <w:pPr>
        <w:ind w:left="5620" w:right="4860" w:hanging="3540"/>
        <w:spacing w:after="0" w:line="621" w:lineRule="auto"/>
        <w:tabs>
          <w:tab w:leader="none" w:pos="249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by mutual written consent of Parent and the Company;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725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3" w:name="page384"/>
    <w:bookmarkEnd w:id="38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90" w:lineRule="auto"/>
        <w:tabs>
          <w:tab w:leader="none" w:pos="2511" w:val="left"/>
        </w:tabs>
        <w:numPr>
          <w:ilvl w:val="0"/>
          <w:numId w:val="333"/>
        </w:numPr>
        <w:rPr>
          <w:rFonts w:ascii="Arial" w:cs="Arial" w:eastAsia="Arial" w:hAnsi="Arial"/>
          <w:sz w:val="16"/>
          <w:szCs w:val="16"/>
          <w:color w:val="auto"/>
        </w:rPr>
      </w:pPr>
      <w:r>
        <w:rPr>
          <w:rFonts w:ascii="Arial" w:cs="Arial" w:eastAsia="Arial" w:hAnsi="Arial"/>
          <w:sz w:val="16"/>
          <w:szCs w:val="16"/>
          <w:color w:val="auto"/>
        </w:rPr>
        <w:t xml:space="preserve">by either Parent or the Company if the Contemplated Transactions shall not have been consummated by April 30, 2018 (subject to possible extension as provided in this </w:t>
      </w:r>
      <w:r>
        <w:rPr>
          <w:rFonts w:ascii="Arial" w:cs="Arial" w:eastAsia="Arial" w:hAnsi="Arial"/>
          <w:sz w:val="16"/>
          <w:szCs w:val="16"/>
          <w:u w:val="single" w:color="auto"/>
          <w:color w:val="auto"/>
        </w:rPr>
        <w:t>Section 9.1(b)</w:t>
      </w:r>
      <w:r>
        <w:rPr>
          <w:rFonts w:ascii="Arial" w:cs="Arial" w:eastAsia="Arial" w:hAnsi="Arial"/>
          <w:sz w:val="16"/>
          <w:szCs w:val="16"/>
          <w:color w:val="auto"/>
        </w:rPr>
        <w:t>, the “</w:t>
      </w:r>
      <w:r>
        <w:rPr>
          <w:rFonts w:ascii="Arial" w:cs="Arial" w:eastAsia="Arial" w:hAnsi="Arial"/>
          <w:sz w:val="16"/>
          <w:szCs w:val="16"/>
          <w:b w:val="1"/>
          <w:bCs w:val="1"/>
          <w:i w:val="1"/>
          <w:iCs w:val="1"/>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to the Company, on the one hand, or to Parent, on the other hand, if such Party’s action or failure to act has been a principal cause of the failure of the Contemplated Transactions to occur on or before the End Date and such action or failure to act constitutes a breach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a request for additional information has been made by any Governmental Body, or in the event that the SEC has not declared effective under the Securities Act the Registration Statement by the date which is sixty (60) days prior to the End Date, then either the Company or Parent shall be entitled to extend the End Date for an additional sixty (60) days by written notice to the other the Party;</w:t>
      </w:r>
    </w:p>
    <w:p>
      <w:pPr>
        <w:spacing w:after="0" w:line="166" w:lineRule="exact"/>
        <w:rPr>
          <w:rFonts w:ascii="Arial" w:cs="Arial" w:eastAsia="Arial" w:hAnsi="Arial"/>
          <w:sz w:val="16"/>
          <w:szCs w:val="16"/>
          <w:color w:val="auto"/>
        </w:rPr>
      </w:pPr>
    </w:p>
    <w:p>
      <w:pPr>
        <w:ind w:left="140" w:right="20" w:firstLine="1940"/>
        <w:spacing w:after="0" w:line="262" w:lineRule="auto"/>
        <w:tabs>
          <w:tab w:leader="none" w:pos="250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by either Parent or the Company if a court of competent jurisdiction or other Governmental Body shall have issued a final and nonappealable order, decree or ruling, or shall have taken any other action, having the effect of permanently restraining, enjoining or otherwise prohibiting the Contemplated Transactions;</w:t>
      </w:r>
    </w:p>
    <w:p>
      <w:pPr>
        <w:spacing w:after="0" w:line="183" w:lineRule="exact"/>
        <w:rPr>
          <w:rFonts w:ascii="Arial" w:cs="Arial" w:eastAsia="Arial" w:hAnsi="Arial"/>
          <w:sz w:val="18"/>
          <w:szCs w:val="18"/>
          <w:color w:val="auto"/>
        </w:rPr>
      </w:pPr>
    </w:p>
    <w:p>
      <w:pPr>
        <w:ind w:left="140" w:right="240" w:firstLine="1940"/>
        <w:spacing w:after="0" w:line="285" w:lineRule="auto"/>
        <w:tabs>
          <w:tab w:leader="none" w:pos="25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by Parent if the Required Company Stockholder Vote shall not have been obtained within three Business Days of the Registration Statement becoming effective in accordance with the provisions of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once the Required Company Stockholder Vote has been obtained, Parent may not terminate this Agreement pursuant to this </w:t>
      </w:r>
      <w:r>
        <w:rPr>
          <w:rFonts w:ascii="Arial" w:cs="Arial" w:eastAsia="Arial" w:hAnsi="Arial"/>
          <w:sz w:val="17"/>
          <w:szCs w:val="17"/>
          <w:u w:val="single" w:color="auto"/>
          <w:color w:val="auto"/>
        </w:rPr>
        <w:t>Section 9.1(d)</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140" w:right="80" w:firstLine="1940"/>
        <w:spacing w:after="0" w:line="274" w:lineRule="auto"/>
        <w:tabs>
          <w:tab w:leader="none" w:pos="250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by either Parent or the Company if (i) the Parent Stockholders’ Meeting (including any adjournments and postponements thereof) shall have been held and completed and Parent’s stockholders shall have taken a final vote on the issuance of the shares of Parent Common Stock to the stockholders of the Company pursuant to the terms of this Agreement and (ii) the issuance of the shares of Parent Common Stock to the stockholders of the Company pursuant to the terms of this Agreement shall not have been approved at the Parent Stockholders’ Meeting (or at any adjournment or postponement thereof) by the Required Parent Stockholder Merger Vote;</w:t>
      </w:r>
    </w:p>
    <w:p>
      <w:pPr>
        <w:spacing w:after="0" w:line="176" w:lineRule="exact"/>
        <w:rPr>
          <w:rFonts w:ascii="Arial" w:cs="Arial" w:eastAsia="Arial" w:hAnsi="Arial"/>
          <w:sz w:val="17"/>
          <w:szCs w:val="17"/>
          <w:color w:val="auto"/>
        </w:rPr>
      </w:pPr>
    </w:p>
    <w:p>
      <w:pPr>
        <w:ind w:left="140" w:right="100" w:firstLine="1940"/>
        <w:spacing w:after="0" w:line="262" w:lineRule="auto"/>
        <w:tabs>
          <w:tab w:leader="none" w:pos="248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issuance of the shares of Parent Common Stock to the stockholders of the Company pursuant to the terms of this Agreement by the Required Parent Stockholder Merger Vote) if a Parent Triggering Event shall have occurred;</w:t>
      </w:r>
    </w:p>
    <w:p>
      <w:pPr>
        <w:spacing w:after="0" w:line="183" w:lineRule="exact"/>
        <w:rPr>
          <w:rFonts w:ascii="Arial" w:cs="Arial" w:eastAsia="Arial" w:hAnsi="Arial"/>
          <w:sz w:val="18"/>
          <w:szCs w:val="18"/>
          <w:color w:val="auto"/>
        </w:rPr>
      </w:pPr>
    </w:p>
    <w:p>
      <w:pPr>
        <w:ind w:left="140" w:firstLine="1940"/>
        <w:spacing w:after="0" w:line="269" w:lineRule="auto"/>
        <w:tabs>
          <w:tab w:leader="none" w:pos="2511"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would not be satisfied as of the time of such breach or as of the time such representation or warranty shall have become inaccurate;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is not then in material breach of any representation, warranty, covenant or agreement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if such inaccuracy in Parent’s or Merger Sub’s representations and warranties or breach by Parent or Merger Sub is curable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End Date by Parent or Merger Sub, then this Agreement shall not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as a result of such particular breach or inaccuracy until the expiration of a 30-day period commencing upon delivery of written notice from the Company to Parent or Merger Sub of such breach or inaccuracy and its intention to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as a result of such particular breach or inaccuracy if such breach by Parent or Merger Sub is cured prior to such termination becoming effective);</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4" w:name="page385"/>
    <w:bookmarkEnd w:id="38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69" w:lineRule="auto"/>
        <w:tabs>
          <w:tab w:leader="none" w:pos="2511"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would not be satisfied as of the time of such breach or as of the time such representation or warranty shall have become inaccurate;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is not then in material breach of any representation, warranty, covenant or agreement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such inaccuracy in the Company’s representations and warranties or breach by the Company is curable by the End Date by the Company then this Agreement shall not terminate pursuant to this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as a result of such particular breach or inaccuracy until the expiration of a 30-day period commencing upon delivery of written notice from Parent to the Company of such breach or inaccuracy and its intention to terminate pursuant to this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as a result of such particular breach or inaccuracy if such breach by the Company is cured prior to such termination becoming effective);</w:t>
      </w:r>
    </w:p>
    <w:p>
      <w:pPr>
        <w:spacing w:after="0" w:line="181" w:lineRule="exact"/>
        <w:rPr>
          <w:rFonts w:ascii="Arial" w:cs="Arial" w:eastAsia="Arial" w:hAnsi="Arial"/>
          <w:sz w:val="17"/>
          <w:szCs w:val="17"/>
          <w:color w:val="auto"/>
        </w:rPr>
      </w:pPr>
    </w:p>
    <w:p>
      <w:pPr>
        <w:ind w:left="2480" w:hanging="400"/>
        <w:spacing w:after="0"/>
        <w:tabs>
          <w:tab w:leader="none" w:pos="24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by the Company, at any time, in the event that a Parent Material Adverse Effect shall have occurred;</w:t>
      </w:r>
    </w:p>
    <w:p>
      <w:pPr>
        <w:spacing w:after="0" w:line="223" w:lineRule="exact"/>
        <w:rPr>
          <w:rFonts w:ascii="Arial" w:cs="Arial" w:eastAsia="Arial" w:hAnsi="Arial"/>
          <w:sz w:val="18"/>
          <w:szCs w:val="18"/>
          <w:color w:val="auto"/>
        </w:rPr>
      </w:pPr>
    </w:p>
    <w:p>
      <w:pPr>
        <w:ind w:left="2480" w:hanging="400"/>
        <w:spacing w:after="0"/>
        <w:tabs>
          <w:tab w:leader="none" w:pos="24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by Parent, at any time, in the event that a Company Material Adverse Effect shall have occurred; or</w:t>
      </w:r>
    </w:p>
    <w:p>
      <w:pPr>
        <w:spacing w:after="0" w:line="223" w:lineRule="exact"/>
        <w:rPr>
          <w:rFonts w:ascii="Arial" w:cs="Arial" w:eastAsia="Arial" w:hAnsi="Arial"/>
          <w:sz w:val="18"/>
          <w:szCs w:val="18"/>
          <w:color w:val="auto"/>
        </w:rPr>
      </w:pPr>
    </w:p>
    <w:p>
      <w:pPr>
        <w:ind w:left="140" w:right="460" w:firstLine="1940"/>
        <w:spacing w:after="0" w:line="258" w:lineRule="auto"/>
        <w:tabs>
          <w:tab w:leader="none" w:pos="251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by Parent, at any time, if (i) Parent has received a Superior Offer, (ii) Parent has complied with its obligations under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in order to accept such Superior Offer, (iii) Parent concurrently terminates this Agreement and enters into a Permitted Alternative Agreement with respect to such Superior Offer and (iv) within two Business Days of such termination, Parent pays to the Company the amount contemplated by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183" w:lineRule="exact"/>
        <w:rPr>
          <w:sz w:val="20"/>
          <w:szCs w:val="20"/>
          <w:color w:val="auto"/>
        </w:rPr>
      </w:pPr>
    </w:p>
    <w:p>
      <w:pPr>
        <w:ind w:left="140" w:right="40" w:firstLine="1292"/>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xml:space="preserve">. 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this Agreement shall be of no further force or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and the definitions of the defined terms in such Sections shall survive the termination of this Agreement and shall remain in full force and effect, and (b) the termination of this Agreement and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not relieve any Party of any liability for fraud or for any willful or intentional breach of any representation, warranty, covenant, obligation or other provision contained in this Agreement.</w:t>
      </w:r>
    </w:p>
    <w:p>
      <w:pPr>
        <w:spacing w:after="0" w:line="184" w:lineRule="exact"/>
        <w:rPr>
          <w:sz w:val="20"/>
          <w:szCs w:val="20"/>
          <w:color w:val="auto"/>
        </w:rPr>
      </w:pPr>
    </w:p>
    <w:p>
      <w:pPr>
        <w:ind w:left="144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u w:val="single" w:color="auto"/>
          <w:color w:val="auto"/>
        </w:rPr>
        <w:t>Expenses; Termination Fees</w:t>
      </w:r>
      <w:r>
        <w:rPr>
          <w:rFonts w:ascii="Arial" w:cs="Arial" w:eastAsia="Arial" w:hAnsi="Arial"/>
          <w:sz w:val="15"/>
          <w:szCs w:val="15"/>
          <w:color w:val="auto"/>
        </w:rPr>
        <w:t>.</w:t>
      </w:r>
    </w:p>
    <w:p>
      <w:pPr>
        <w:spacing w:after="0" w:line="228" w:lineRule="exact"/>
        <w:rPr>
          <w:sz w:val="20"/>
          <w:szCs w:val="20"/>
          <w:color w:val="auto"/>
        </w:rPr>
      </w:pPr>
    </w:p>
    <w:p>
      <w:pPr>
        <w:ind w:left="140" w:right="40" w:firstLine="1940"/>
        <w:spacing w:after="0" w:line="270" w:lineRule="auto"/>
        <w:tabs>
          <w:tab w:leader="none" w:pos="2501" w:val="left"/>
        </w:tabs>
        <w:numPr>
          <w:ilvl w:val="0"/>
          <w:numId w:val="335"/>
        </w:numPr>
        <w:rPr>
          <w:rFonts w:ascii="Arial" w:cs="Arial" w:eastAsia="Arial" w:hAnsi="Arial"/>
          <w:sz w:val="17"/>
          <w:szCs w:val="17"/>
          <w:color w:val="auto"/>
        </w:rPr>
      </w:pPr>
      <w:r>
        <w:rPr>
          <w:rFonts w:ascii="Arial" w:cs="Arial" w:eastAsia="Arial" w:hAnsi="Arial"/>
          <w:sz w:val="17"/>
          <w:szCs w:val="17"/>
          <w:color w:val="auto"/>
        </w:rPr>
        <w:t xml:space="preserve">Except as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5.8(d)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all fees and expenses incurred in connection with this Agreement and the Contemplated Transactions shall be paid by the Party incurring such expenses, whether or not the Merger is consummated;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Parent and the Company shall also share equally all fees and expenses incurred in relation to the printing and filing with the SEC</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Registration Statement (including any financial statements and exhibits) and any amendments or supplements thereto and paid to a financial printer or the SEC (it being agreed that the cost of which is allocated to the Company pursuant to the foregoing shall be a Company Transaction Expense). It is understood and agreed that all fees and expenses incurred or to be incurred by the Company in connection with the Contemplated Transactions and preparing, negotiating and entering into this Agreement and the performance of its obligations under this Agreement shall be paid by the Company in cash at or prior to the Closing (and shall be Company Transaction Expenses).</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5" w:name="page386"/>
    <w:bookmarkEnd w:id="38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940"/>
        <w:spacing w:after="0" w:line="295" w:lineRule="auto"/>
        <w:tabs>
          <w:tab w:leader="none" w:pos="251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by the Company pursuant to </w:t>
      </w:r>
      <w:r>
        <w:rPr>
          <w:rFonts w:ascii="Arial" w:cs="Arial" w:eastAsia="Arial" w:hAnsi="Arial"/>
          <w:sz w:val="16"/>
          <w:szCs w:val="16"/>
          <w:u w:val="single" w:color="auto"/>
          <w:color w:val="auto"/>
        </w:rPr>
        <w:t>Section 9.1(f)</w:t>
      </w:r>
      <w:r>
        <w:rPr>
          <w:rFonts w:ascii="Arial" w:cs="Arial" w:eastAsia="Arial" w:hAnsi="Arial"/>
          <w:sz w:val="16"/>
          <w:szCs w:val="16"/>
          <w:color w:val="auto"/>
        </w:rPr>
        <w:t>, (ii) an Acquisition Proposal with respect to Parent shall have been publicly announced or disclosed or otherwise communicated to Parent or the Parent Board after the date of this Agreement but prior to the termination of this Agreement and (iii) within twelve months after the date of such termination, Parent enters into a definitive agreement for a Subsequent Transaction in respect of the Acquisition Proposal referred to in clause (ii), then Parent shall pay to the Company an amount equal to $1,950,000 (the “</w:t>
      </w:r>
      <w:r>
        <w:rPr>
          <w:rFonts w:ascii="Arial" w:cs="Arial" w:eastAsia="Arial" w:hAnsi="Arial"/>
          <w:sz w:val="16"/>
          <w:szCs w:val="16"/>
          <w:b w:val="1"/>
          <w:bCs w:val="1"/>
          <w:i w:val="1"/>
          <w:iCs w:val="1"/>
          <w:color w:val="auto"/>
        </w:rPr>
        <w:t>Company Termination Fee</w:t>
      </w:r>
      <w:r>
        <w:rPr>
          <w:rFonts w:ascii="Arial" w:cs="Arial" w:eastAsia="Arial" w:hAnsi="Arial"/>
          <w:sz w:val="16"/>
          <w:szCs w:val="16"/>
          <w:color w:val="auto"/>
        </w:rPr>
        <w:t>”) within two Business Days of consummation of such Subsequent Transaction.</w:t>
      </w:r>
    </w:p>
    <w:p>
      <w:pPr>
        <w:spacing w:after="0" w:line="161" w:lineRule="exact"/>
        <w:rPr>
          <w:rFonts w:ascii="Arial" w:cs="Arial" w:eastAsia="Arial" w:hAnsi="Arial"/>
          <w:sz w:val="16"/>
          <w:szCs w:val="16"/>
          <w:color w:val="auto"/>
        </w:rPr>
      </w:pPr>
    </w:p>
    <w:p>
      <w:pPr>
        <w:ind w:left="140" w:right="660" w:firstLine="1940"/>
        <w:spacing w:after="0" w:line="276" w:lineRule="auto"/>
        <w:tabs>
          <w:tab w:leader="none" w:pos="25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Parent pursuant to </w:t>
      </w:r>
      <w:r>
        <w:rPr>
          <w:rFonts w:ascii="Arial" w:cs="Arial" w:eastAsia="Arial" w:hAnsi="Arial"/>
          <w:sz w:val="18"/>
          <w:szCs w:val="18"/>
          <w:u w:val="single" w:color="auto"/>
          <w:color w:val="auto"/>
        </w:rPr>
        <w:t>Section 9.1(k)</w:t>
      </w:r>
      <w:r>
        <w:rPr>
          <w:rFonts w:ascii="Arial" w:cs="Arial" w:eastAsia="Arial" w:hAnsi="Arial"/>
          <w:sz w:val="18"/>
          <w:szCs w:val="18"/>
          <w:color w:val="auto"/>
        </w:rPr>
        <w:t>, Parent shall pay to the Company within two Business Days of such termination the Company Termination Fee.</w:t>
      </w:r>
    </w:p>
    <w:p>
      <w:pPr>
        <w:spacing w:after="0" w:line="169" w:lineRule="exact"/>
        <w:rPr>
          <w:rFonts w:ascii="Arial" w:cs="Arial" w:eastAsia="Arial" w:hAnsi="Arial"/>
          <w:sz w:val="18"/>
          <w:szCs w:val="18"/>
          <w:color w:val="auto"/>
        </w:rPr>
      </w:pPr>
    </w:p>
    <w:p>
      <w:pPr>
        <w:ind w:left="140" w:right="40" w:firstLine="1940"/>
        <w:spacing w:after="0" w:line="254" w:lineRule="auto"/>
        <w:tabs>
          <w:tab w:leader="none" w:pos="25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Any Company Termination Fee due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be paid by wire transfer of same day funds. If Parent fails to pay when due any amount payable by it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then Parent shall (i) reimburse the Company for reasonable costs and expenses (including reasonable fees and disbursements of counsel) incurred by it in connection with the collection of such overdue amount and the enforcement by the Company of its rights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(ii) pay to the Company interest on such overdue amount (for the period commencing as of the date such overdue amount was originally required to be paid and ending on the date such overdue amount is actually paid to the Company in full) at a rate per annum equal to the “prime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any successor thereto) in effect on the date such overdue amount was originally required to be paid.</w:t>
      </w:r>
    </w:p>
    <w:p>
      <w:pPr>
        <w:spacing w:after="0" w:line="189" w:lineRule="exact"/>
        <w:rPr>
          <w:rFonts w:ascii="Arial" w:cs="Arial" w:eastAsia="Arial" w:hAnsi="Arial"/>
          <w:sz w:val="18"/>
          <w:szCs w:val="18"/>
          <w:color w:val="auto"/>
        </w:rPr>
      </w:pPr>
    </w:p>
    <w:p>
      <w:pPr>
        <w:ind w:left="140" w:right="80" w:firstLine="1940"/>
        <w:spacing w:after="0" w:line="285" w:lineRule="auto"/>
        <w:tabs>
          <w:tab w:leader="none" w:pos="249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The Parties agree that,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payment of the Company Termination Fee shall, in the circumstances in which it is owed in accordance with the terms of this Agreement, constitute the sole and exclusive remedy of the Company following the termination of this Agreement, it being understood that in no event shall Parent be required to pay the amounts payable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on more than one occasion and (ii) following payment of the Company Termination Fee (x) Parent shall have no further liability to the Company in connection with or arising out of this Agreement or the termination thereof, any breach of this Agreement by Parent giving rise to such termination, or the failure of the Contemplated Transactions to be consummated, (y) neither the Company nor any of its Affiliates shall be entitled to bring or maintain any other claim, action or proceeding against Parent or Merger Sub or seek to obtain any recovery, judgment or damages of any kind against such Parties (or any partner, member, stockholder, director, officer, employee, Subsidiary, Affiliate, agent or other Representative of such Parties) in connection with or arising out of this Agreement or the termination thereof, any breach by any such Parties giving rise to such termination or the failure of the Contemplated Transactions to be consummated and (z) the Company and its Affiliates shall be precluded from any other remedy against Parent, Merger Sub and their respective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(i) the agreements contained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is not a penalty, but rather is liquidated damages in a reasonable amount that will compensate the Company in the circumstances in which such amount is payable.</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86" w:name="page387"/>
    <w:bookmarkEnd w:id="38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780"/>
        <w:spacing w:after="0"/>
        <w:tabs>
          <w:tab w:leader="none" w:pos="1820" w:val="left"/>
        </w:tabs>
        <w:rPr>
          <w:sz w:val="20"/>
          <w:szCs w:val="20"/>
          <w:color w:val="auto"/>
        </w:rPr>
      </w:pPr>
      <w:r>
        <w:rPr>
          <w:rFonts w:ascii="Arial" w:cs="Arial" w:eastAsia="Arial" w:hAnsi="Arial"/>
          <w:sz w:val="18"/>
          <w:szCs w:val="18"/>
          <w:b w:val="1"/>
          <w:bCs w:val="1"/>
          <w:color w:val="auto"/>
        </w:rPr>
        <w:t>Section 10.</w:t>
        <w:tab/>
        <w:t>MISCELLANEOUS PROVISIONS</w:t>
      </w:r>
    </w:p>
    <w:p>
      <w:pPr>
        <w:spacing w:after="0" w:line="224" w:lineRule="exact"/>
        <w:rPr>
          <w:sz w:val="20"/>
          <w:szCs w:val="20"/>
          <w:color w:val="auto"/>
        </w:rPr>
      </w:pPr>
    </w:p>
    <w:p>
      <w:pPr>
        <w:ind w:left="140" w:right="160" w:firstLine="1292"/>
        <w:spacing w:after="0" w:line="265"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Non-Survival of Representations and Warranties</w:t>
      </w:r>
      <w:r>
        <w:rPr>
          <w:rFonts w:ascii="Arial" w:cs="Arial" w:eastAsia="Arial" w:hAnsi="Arial"/>
          <w:sz w:val="18"/>
          <w:szCs w:val="18"/>
          <w:color w:val="auto"/>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Effective Time.</w:t>
      </w:r>
    </w:p>
    <w:p>
      <w:pPr>
        <w:spacing w:after="0" w:line="176" w:lineRule="exact"/>
        <w:rPr>
          <w:sz w:val="20"/>
          <w:szCs w:val="20"/>
          <w:color w:val="auto"/>
        </w:rPr>
      </w:pPr>
    </w:p>
    <w:p>
      <w:pPr>
        <w:ind w:left="140" w:firstLine="1292"/>
        <w:spacing w:after="0" w:line="29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Required Parent Stockholder Vote);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w:t>
      </w:r>
    </w:p>
    <w:p>
      <w:pPr>
        <w:spacing w:after="0" w:line="154" w:lineRule="exact"/>
        <w:rPr>
          <w:sz w:val="20"/>
          <w:szCs w:val="20"/>
          <w:color w:val="auto"/>
        </w:rPr>
      </w:pPr>
    </w:p>
    <w:p>
      <w:pPr>
        <w:ind w:left="1440"/>
        <w:spacing w:after="0"/>
        <w:tabs>
          <w:tab w:leader="none" w:pos="20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w:t>
      </w:r>
    </w:p>
    <w:p>
      <w:pPr>
        <w:spacing w:after="0" w:line="228" w:lineRule="exact"/>
        <w:rPr>
          <w:sz w:val="20"/>
          <w:szCs w:val="20"/>
          <w:color w:val="auto"/>
        </w:rPr>
      </w:pPr>
    </w:p>
    <w:p>
      <w:pPr>
        <w:ind w:left="140" w:right="80" w:firstLine="1940"/>
        <w:spacing w:after="0" w:line="258" w:lineRule="auto"/>
        <w:tabs>
          <w:tab w:leader="none" w:pos="250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color w:val="auto"/>
        </w:rPr>
      </w:pPr>
    </w:p>
    <w:p>
      <w:pPr>
        <w:ind w:left="140" w:right="80" w:firstLine="1940"/>
        <w:spacing w:after="0" w:line="258" w:lineRule="auto"/>
        <w:tabs>
          <w:tab w:leader="none" w:pos="251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87" w:name="page388"/>
    <w:bookmarkEnd w:id="38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right="40" w:firstLine="1292"/>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Entire Agreement; Counterparts; Exchanges by Electronic Transmission</w:t>
      </w:r>
      <w:r>
        <w:rPr>
          <w:rFonts w:ascii="Arial" w:cs="Arial" w:eastAsia="Arial" w:hAnsi="Arial"/>
          <w:sz w:val="16"/>
          <w:szCs w:val="16"/>
          <w:color w:val="auto"/>
        </w:rPr>
        <w:t xml:space="preserve">. This Agreement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60" w:lineRule="exact"/>
        <w:rPr>
          <w:sz w:val="20"/>
          <w:szCs w:val="20"/>
          <w:color w:val="auto"/>
        </w:rPr>
      </w:pPr>
    </w:p>
    <w:p>
      <w:pPr>
        <w:ind w:left="140" w:firstLine="1292"/>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b w:val="1"/>
          <w:bCs w:val="1"/>
          <w:u w:val="single" w:color="auto"/>
          <w:color w:val="auto"/>
        </w:rPr>
        <w:t>Applicable Law; Jurisdiction</w:t>
      </w:r>
      <w:r>
        <w:rPr>
          <w:rFonts w:ascii="Arial" w:cs="Arial" w:eastAsia="Arial" w:hAnsi="Arial"/>
          <w:sz w:val="17"/>
          <w:szCs w:val="17"/>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of this Agreement; and (f) irrevocably and unconditionally waives the right to trial by jury.</w:t>
      </w:r>
    </w:p>
    <w:p>
      <w:pPr>
        <w:spacing w:after="0" w:line="178" w:lineRule="exact"/>
        <w:rPr>
          <w:sz w:val="20"/>
          <w:szCs w:val="20"/>
          <w:color w:val="auto"/>
        </w:rPr>
      </w:pPr>
    </w:p>
    <w:p>
      <w:pPr>
        <w:jc w:val="both"/>
        <w:ind w:left="140" w:right="660" w:firstLine="1292"/>
        <w:spacing w:after="0" w:line="265"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any action at law or suit in equity to enforce this Agreement or the rights of any of the Parties, the prevailing Party in such action or suit (as determined by a court of competent jurisdiction) shall be entitled to recover its reasonable out-of-pocket attorneys’ fees and all other reasonable costs and expenses incurred in such action or suit.</w:t>
      </w:r>
    </w:p>
    <w:p>
      <w:pPr>
        <w:spacing w:after="0" w:line="176" w:lineRule="exact"/>
        <w:rPr>
          <w:sz w:val="20"/>
          <w:szCs w:val="20"/>
          <w:color w:val="auto"/>
        </w:rPr>
      </w:pPr>
    </w:p>
    <w:p>
      <w:pPr>
        <w:ind w:left="140" w:right="140" w:firstLine="1292"/>
        <w:spacing w:after="0" w:line="302"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u w:val="single" w:color="auto"/>
          <w:color w:val="auto"/>
        </w:rPr>
        <w:t>Assignability</w:t>
      </w:r>
      <w:r>
        <w:rPr>
          <w:rFonts w:ascii="Arial" w:cs="Arial" w:eastAsia="Arial" w:hAnsi="Arial"/>
          <w:sz w:val="16"/>
          <w:szCs w:val="16"/>
          <w:color w:val="auto"/>
        </w:rPr>
        <w:t xml:space="preserve">. This Agreement shall be binding upon, and shall be enforceable by and inure solely to the benefit of, the Parties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88" w:name="page389"/>
    <w:bookmarkEnd w:id="38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5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Parent or Merger Sub:</w:t>
      </w:r>
    </w:p>
    <w:p>
      <w:pPr>
        <w:spacing w:after="0" w:line="22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2500 Northwinds Parkway</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Suite 100</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Alpharetta, GA 30009</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Joseph Patti, Ph.D.</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(678) 221-3344</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jpatti@aviragentherapeutics.com</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 (which shall not constitute notice):</w:t>
      </w:r>
    </w:p>
    <w:p>
      <w:pPr>
        <w:spacing w:after="0" w:line="22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1095 Avenue of the Americas</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New York, NY 10036</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David S. Rosenthal, Esq.; Richard A. Goldberg, Esq.</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(212) 698-3599</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david.rosenthal@dechert.com; richard.goldberg@dechert.com</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if to the Company:</w:t>
      </w:r>
    </w:p>
    <w:p>
      <w:pPr>
        <w:spacing w:after="0" w:line="22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395 Oyster Point Boulevard</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South San Francisco, CA 94080</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Wouter Latour</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(650) 550-3500</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wlatour@vaxart.com</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 (which shall not constitute notice):</w:t>
      </w:r>
    </w:p>
    <w:p>
      <w:pPr>
        <w:spacing w:after="0" w:line="22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3175 Hanover Street</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Craig Menden and John McKenna</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Facsimile: 650-644-0160</w:t>
      </w:r>
    </w:p>
    <w:p>
      <w:pPr>
        <w:spacing w:after="0" w:line="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cmenden@cooley.com; jmckenna@cooley.com</w:t>
      </w:r>
    </w:p>
    <w:p>
      <w:pPr>
        <w:spacing w:after="0" w:line="205" w:lineRule="exact"/>
        <w:rPr>
          <w:sz w:val="20"/>
          <w:szCs w:val="20"/>
          <w:color w:val="auto"/>
        </w:rPr>
      </w:pPr>
    </w:p>
    <w:p>
      <w:pPr>
        <w:ind w:left="140" w:right="440" w:firstLine="1292"/>
        <w:spacing w:after="0" w:line="26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89" w:name="page390"/>
    <w:bookmarkEnd w:id="38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140" w:firstLine="1292"/>
        <w:spacing w:after="0" w:line="270"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74" w:lineRule="exact"/>
        <w:rPr>
          <w:sz w:val="20"/>
          <w:szCs w:val="20"/>
          <w:color w:val="auto"/>
        </w:rPr>
      </w:pPr>
    </w:p>
    <w:p>
      <w:pPr>
        <w:ind w:left="140" w:firstLine="1292"/>
        <w:spacing w:after="0" w:line="269"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b w:val="1"/>
          <w:bCs w:val="1"/>
          <w:u w:val="single" w:color="auto"/>
          <w:color w:val="auto"/>
        </w:rPr>
        <w:t>Other Remedies; Specific Performance</w:t>
      </w:r>
      <w:r>
        <w:rPr>
          <w:rFonts w:ascii="Arial" w:cs="Arial" w:eastAsia="Arial" w:hAnsi="Arial"/>
          <w:sz w:val="17"/>
          <w:szCs w:val="17"/>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Party does not perform the provisions of this Agreement (including failing to take such actions as are required of it hereunder to consummate this Agreement) in accordance with its specified terms or otherwise breaches such provisions. Accordingly, the Parties acknowledge and agree that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or other equitable relief on the basis that any other Party has an adequate remedy at law or that any award of specific performance is not an appropriate remedy for any reason at law or in equity. Any Party seeking an injunction or injunctions to prevent breaches of this Agreement shall not be required to provide any bond or other security in connection with any such order or injunction.</w:t>
      </w:r>
    </w:p>
    <w:p>
      <w:pPr>
        <w:spacing w:after="0" w:line="174" w:lineRule="exact"/>
        <w:rPr>
          <w:sz w:val="20"/>
          <w:szCs w:val="20"/>
          <w:color w:val="auto"/>
        </w:rPr>
      </w:pPr>
    </w:p>
    <w:p>
      <w:pPr>
        <w:ind w:left="140" w:right="60" w:firstLine="1292"/>
        <w:spacing w:after="0" w:line="265"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b w:val="1"/>
          <w:bCs w:val="1"/>
          <w:u w:val="single" w:color="auto"/>
          <w:color w:val="auto"/>
        </w:rPr>
        <w:t>No Third Party Beneficiaries</w:t>
      </w:r>
      <w:r>
        <w:rPr>
          <w:rFonts w:ascii="Arial" w:cs="Arial" w:eastAsia="Arial" w:hAnsi="Arial"/>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76" w:lineRule="exact"/>
        <w:rPr>
          <w:sz w:val="20"/>
          <w:szCs w:val="20"/>
          <w:color w:val="auto"/>
        </w:rPr>
      </w:pPr>
    </w:p>
    <w:p>
      <w:pPr>
        <w:ind w:left="1440"/>
        <w:spacing w:after="0"/>
        <w:tabs>
          <w:tab w:leader="none" w:pos="20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w:t>
      </w:r>
    </w:p>
    <w:p>
      <w:pPr>
        <w:spacing w:after="0" w:line="228" w:lineRule="exact"/>
        <w:rPr>
          <w:sz w:val="20"/>
          <w:szCs w:val="20"/>
          <w:color w:val="auto"/>
        </w:rPr>
      </w:pPr>
    </w:p>
    <w:p>
      <w:pPr>
        <w:ind w:left="2500" w:hanging="420"/>
        <w:spacing w:after="0"/>
        <w:tabs>
          <w:tab w:leader="none" w:pos="25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References to “cash,” “dollars” or “$” are to U.S. dollars.</w:t>
      </w:r>
    </w:p>
    <w:p>
      <w:pPr>
        <w:spacing w:after="0" w:line="223" w:lineRule="exact"/>
        <w:rPr>
          <w:rFonts w:ascii="Arial" w:cs="Arial" w:eastAsia="Arial" w:hAnsi="Arial"/>
          <w:sz w:val="18"/>
          <w:szCs w:val="18"/>
          <w:color w:val="auto"/>
        </w:rPr>
      </w:pPr>
    </w:p>
    <w:p>
      <w:pPr>
        <w:jc w:val="both"/>
        <w:ind w:left="140" w:right="300" w:firstLine="1940"/>
        <w:spacing w:after="0" w:line="262" w:lineRule="auto"/>
        <w:tabs>
          <w:tab w:leader="none" w:pos="251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3" w:lineRule="exact"/>
        <w:rPr>
          <w:rFonts w:ascii="Arial" w:cs="Arial" w:eastAsia="Arial" w:hAnsi="Arial"/>
          <w:sz w:val="18"/>
          <w:szCs w:val="18"/>
          <w:color w:val="auto"/>
        </w:rPr>
      </w:pPr>
    </w:p>
    <w:p>
      <w:pPr>
        <w:ind w:left="140" w:right="460" w:firstLine="1940"/>
        <w:spacing w:after="0" w:line="258" w:lineRule="auto"/>
        <w:tabs>
          <w:tab w:leader="none" w:pos="249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90" w:name="page391"/>
    <w:bookmarkEnd w:id="39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20" w:firstLine="1940"/>
        <w:spacing w:after="0" w:line="276" w:lineRule="auto"/>
        <w:tabs>
          <w:tab w:leader="none" w:pos="250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9" w:lineRule="exact"/>
        <w:rPr>
          <w:rFonts w:ascii="Arial" w:cs="Arial" w:eastAsia="Arial" w:hAnsi="Arial"/>
          <w:sz w:val="18"/>
          <w:szCs w:val="18"/>
          <w:color w:val="auto"/>
        </w:rPr>
      </w:pPr>
    </w:p>
    <w:p>
      <w:pPr>
        <w:ind w:left="2500" w:hanging="420"/>
        <w:spacing w:after="0"/>
        <w:tabs>
          <w:tab w:leader="none" w:pos="25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use of the word “or” shall not be exclusive.</w:t>
      </w:r>
    </w:p>
    <w:p>
      <w:pPr>
        <w:spacing w:after="0" w:line="223" w:lineRule="exact"/>
        <w:rPr>
          <w:rFonts w:ascii="Arial" w:cs="Arial" w:eastAsia="Arial" w:hAnsi="Arial"/>
          <w:sz w:val="18"/>
          <w:szCs w:val="18"/>
          <w:color w:val="auto"/>
        </w:rPr>
      </w:pPr>
    </w:p>
    <w:p>
      <w:pPr>
        <w:ind w:left="140" w:right="60" w:firstLine="1940"/>
        <w:spacing w:after="0" w:line="276" w:lineRule="auto"/>
        <w:tabs>
          <w:tab w:leader="none" w:pos="248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169" w:lineRule="exact"/>
        <w:rPr>
          <w:rFonts w:ascii="Arial" w:cs="Arial" w:eastAsia="Arial" w:hAnsi="Arial"/>
          <w:sz w:val="18"/>
          <w:szCs w:val="18"/>
          <w:color w:val="auto"/>
        </w:rPr>
      </w:pPr>
    </w:p>
    <w:p>
      <w:pPr>
        <w:ind w:left="140" w:right="60" w:firstLine="1940"/>
        <w:spacing w:after="0" w:line="340" w:lineRule="auto"/>
        <w:tabs>
          <w:tab w:leader="none" w:pos="250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124" w:lineRule="exact"/>
        <w:rPr>
          <w:rFonts w:ascii="Arial" w:cs="Arial" w:eastAsia="Arial" w:hAnsi="Arial"/>
          <w:sz w:val="16"/>
          <w:szCs w:val="16"/>
          <w:color w:val="auto"/>
        </w:rPr>
      </w:pPr>
    </w:p>
    <w:p>
      <w:pPr>
        <w:ind w:left="140" w:right="220" w:firstLine="1940"/>
        <w:spacing w:after="0" w:line="340" w:lineRule="auto"/>
        <w:tabs>
          <w:tab w:leader="none" w:pos="250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bold-faced headings and table of contents contained in this Agreement are for convenience of reference only, shall not be deemed to be a part of this Agreement and shall not be referred to in connection with the construction or interpretation of this Agreement.</w:t>
      </w:r>
    </w:p>
    <w:p>
      <w:pPr>
        <w:spacing w:after="0" w:line="124" w:lineRule="exact"/>
        <w:rPr>
          <w:rFonts w:ascii="Arial" w:cs="Arial" w:eastAsia="Arial" w:hAnsi="Arial"/>
          <w:sz w:val="16"/>
          <w:szCs w:val="16"/>
          <w:color w:val="auto"/>
        </w:rPr>
      </w:pPr>
    </w:p>
    <w:p>
      <w:pPr>
        <w:jc w:val="both"/>
        <w:ind w:left="140" w:right="40" w:firstLine="1940"/>
        <w:spacing w:after="0" w:line="300" w:lineRule="auto"/>
        <w:tabs>
          <w:tab w:leader="none" w:pos="246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w:t>
      </w:r>
    </w:p>
    <w:p>
      <w:pPr>
        <w:spacing w:after="0" w:line="156" w:lineRule="exact"/>
        <w:rPr>
          <w:rFonts w:ascii="Arial" w:cs="Arial" w:eastAsia="Arial" w:hAnsi="Arial"/>
          <w:sz w:val="16"/>
          <w:szCs w:val="16"/>
          <w:color w:val="auto"/>
        </w:rPr>
      </w:pPr>
    </w:p>
    <w:p>
      <w:pPr>
        <w:ind w:left="140" w:firstLine="1940"/>
        <w:spacing w:after="0" w:line="300" w:lineRule="auto"/>
        <w:tabs>
          <w:tab w:leader="none" w:pos="247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“delivered” or “made available” means, with respect to any documentation, that prior to 11:59 p.m. (New York City time) on the date that is two calendar days prior to the date of this Agreement (i) a copy of such material has been posted to and made available by a Party to the other Party and its Representatives in the electronic data room maintained by such disclosing Party or (ii) such material is disclosed in the Parent SEC Documents filed with the SEC prior to the date hereof and publicly made available on the SEC’s Electronic Data Gathering Analysis and Retrieval system.</w:t>
      </w:r>
    </w:p>
    <w:p>
      <w:pPr>
        <w:spacing w:after="0" w:line="156" w:lineRule="exact"/>
        <w:rPr>
          <w:rFonts w:ascii="Arial" w:cs="Arial" w:eastAsia="Arial" w:hAnsi="Arial"/>
          <w:sz w:val="16"/>
          <w:szCs w:val="16"/>
          <w:color w:val="auto"/>
        </w:rPr>
      </w:pPr>
    </w:p>
    <w:p>
      <w:pPr>
        <w:jc w:val="both"/>
        <w:ind w:left="140" w:right="60" w:firstLine="1940"/>
        <w:spacing w:after="0" w:line="262" w:lineRule="auto"/>
        <w:tabs>
          <w:tab w:leader="none" w:pos="250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Whenever the last day for the exercise of any privilege or the discharge of any duty hereunder shall fall upon a Saturday, Sunday, or any date on which banks in New York, New York are authorized or obligated by Law to be closed, the Party having such privilege or duty may exercise such privilege or discharge such duty on the next succeeding day which is a regular Business Day.</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91" w:name="page392"/>
    <w:bookmarkEnd w:id="39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as of the date first above written.</w:t>
      </w:r>
    </w:p>
    <w:p>
      <w:pPr>
        <w:spacing w:after="0" w:line="23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AVIRAGEN THERAPEUTICS, INC.</w:t>
      </w:r>
    </w:p>
    <w:p>
      <w:pPr>
        <w:spacing w:after="0" w:line="200" w:lineRule="exact"/>
        <w:rPr>
          <w:sz w:val="20"/>
          <w:szCs w:val="20"/>
          <w:color w:val="auto"/>
        </w:rPr>
      </w:pPr>
    </w:p>
    <w:p>
      <w:pPr>
        <w:spacing w:after="0" w:line="243"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 Patti</w:t>
            </w:r>
          </w:p>
        </w:tc>
      </w:tr>
      <w:tr>
        <w:trPr>
          <w:trHeight w:val="194"/>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Joseph M. Patti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AGORA MERGER SUB, INC.</w:t>
            </w:r>
          </w:p>
        </w:tc>
      </w:tr>
      <w:tr>
        <w:trPr>
          <w:trHeight w:val="6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M. Patti</w:t>
            </w:r>
          </w:p>
        </w:tc>
      </w:tr>
      <w:tr>
        <w:trPr>
          <w:trHeight w:val="194"/>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Joseph M. Patti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VAXART, INC.</w:t>
            </w:r>
          </w:p>
        </w:tc>
      </w:tr>
      <w:tr>
        <w:trPr>
          <w:trHeight w:val="64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Wouter Latour</w:t>
            </w:r>
          </w:p>
        </w:tc>
      </w:tr>
      <w:tr>
        <w:trPr>
          <w:trHeight w:val="194"/>
        </w:trPr>
        <w:tc>
          <w:tcPr>
            <w:tcW w:w="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Name:Wouter Latour</w:t>
            </w:r>
          </w:p>
        </w:tc>
      </w:tr>
      <w:tr>
        <w:trPr>
          <w:trHeight w:val="230"/>
        </w:trPr>
        <w:tc>
          <w:tcPr>
            <w:tcW w:w="6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Title:Chief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 to Agreement and Plan of Merger and Reorganization]</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92" w:name="page393"/>
    <w:bookmarkEnd w:id="39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A</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DEFINITIONS</w:t>
      </w:r>
    </w:p>
    <w:p>
      <w:pPr>
        <w:spacing w:after="0" w:line="228" w:lineRule="exact"/>
        <w:rPr>
          <w:sz w:val="20"/>
          <w:szCs w:val="20"/>
          <w:color w:val="auto"/>
        </w:rPr>
      </w:pPr>
    </w:p>
    <w:p>
      <w:pPr>
        <w:ind w:left="1420" w:hanging="632"/>
        <w:spacing w:after="0"/>
        <w:tabs>
          <w:tab w:leader="none" w:pos="14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For purposes of this Agreement (including this Exhibit A):</w:t>
      </w:r>
    </w:p>
    <w:p>
      <w:pPr>
        <w:spacing w:after="0" w:line="224" w:lineRule="exact"/>
        <w:rPr>
          <w:sz w:val="20"/>
          <w:szCs w:val="20"/>
          <w:color w:val="auto"/>
        </w:rPr>
      </w:pPr>
    </w:p>
    <w:p>
      <w:pPr>
        <w:jc w:val="both"/>
        <w:ind w:left="140" w:right="8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Parent, on the other hand, to the other Party) that would reasonably be expected to lead to an Acquisition Proposal.</w:t>
      </w:r>
    </w:p>
    <w:p>
      <w:pPr>
        <w:spacing w:after="0" w:line="183" w:lineRule="exact"/>
        <w:rPr>
          <w:sz w:val="20"/>
          <w:szCs w:val="20"/>
          <w:color w:val="auto"/>
        </w:rPr>
      </w:pPr>
    </w:p>
    <w:p>
      <w:pPr>
        <w:jc w:val="both"/>
        <w:ind w:left="140" w:right="280" w:firstLine="1292"/>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 Proposal</w:t>
      </w:r>
      <w:r>
        <w:rPr>
          <w:rFonts w:ascii="Arial" w:cs="Arial" w:eastAsia="Arial" w:hAnsi="Arial"/>
          <w:sz w:val="17"/>
          <w:szCs w:val="17"/>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spacing w:after="0" w:line="16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related transactions involving:</w:t>
      </w:r>
    </w:p>
    <w:p>
      <w:pPr>
        <w:spacing w:after="0" w:line="224" w:lineRule="exact"/>
        <w:rPr>
          <w:sz w:val="20"/>
          <w:szCs w:val="20"/>
          <w:color w:val="auto"/>
        </w:rPr>
      </w:pPr>
    </w:p>
    <w:p>
      <w:pPr>
        <w:ind w:left="780" w:firstLine="654"/>
        <w:spacing w:after="0" w:line="272" w:lineRule="auto"/>
        <w:tabs>
          <w:tab w:leader="none" w:pos="184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178" w:lineRule="exact"/>
        <w:rPr>
          <w:rFonts w:ascii="Arial" w:cs="Arial" w:eastAsia="Arial" w:hAnsi="Arial"/>
          <w:sz w:val="17"/>
          <w:szCs w:val="17"/>
          <w:color w:val="auto"/>
        </w:rPr>
      </w:pPr>
    </w:p>
    <w:p>
      <w:pPr>
        <w:ind w:left="780" w:right="260" w:firstLine="654"/>
        <w:spacing w:after="0" w:line="340" w:lineRule="auto"/>
        <w:tabs>
          <w:tab w:leader="none" w:pos="1859"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25" w:lineRule="exact"/>
        <w:rPr>
          <w:sz w:val="20"/>
          <w:szCs w:val="20"/>
          <w:color w:val="auto"/>
        </w:rPr>
      </w:pPr>
    </w:p>
    <w:p>
      <w:pPr>
        <w:ind w:left="140" w:right="60" w:firstLine="129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7" w:lineRule="exact"/>
        <w:rPr>
          <w:sz w:val="20"/>
          <w:szCs w:val="20"/>
          <w:color w:val="auto"/>
        </w:rPr>
      </w:pPr>
    </w:p>
    <w:p>
      <w:pPr>
        <w:ind w:left="140" w:right="18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Agreement and Plan of Merger and Reorganization to which this Exhibit A is attached, as it may be amended from time to time.</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Anticipated Closing Date</w:t>
      </w:r>
      <w:r>
        <w:rPr>
          <w:rFonts w:ascii="Arial" w:cs="Arial" w:eastAsia="Arial" w:hAnsi="Arial"/>
          <w:sz w:val="17"/>
          <w:szCs w:val="17"/>
          <w:color w:val="auto"/>
        </w:rPr>
        <w:t>” means the anticipated Closing Date (as mutually agreed in good faith by Parent and the Company).</w:t>
      </w: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393" w:name="page394"/>
    <w:bookmarkEnd w:id="39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26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other day on which banks in New York, New York are authorized or obligated by Law to be closed.</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 means all (a) cash and cash equivalents (excluding restricted cash) and (b) marketable securities.</w:t>
      </w:r>
    </w:p>
    <w:p>
      <w:pPr>
        <w:spacing w:after="0" w:line="2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4" w:lineRule="exact"/>
        <w:rPr>
          <w:sz w:val="20"/>
          <w:szCs w:val="20"/>
          <w:color w:val="auto"/>
        </w:rPr>
      </w:pPr>
    </w:p>
    <w:p>
      <w:pPr>
        <w:ind w:left="140" w:right="60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means any Person that is (or at any relevant time was) under common control with the Company within the meaning of Sections 414(b), (c), (m) and (o) of the Code, and the regulations issued thereunder.</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means any current or former employee, independent contractor, officer or director of the Company.</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means the board of directors of the Company.</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 Stock</w:t>
      </w:r>
      <w:r>
        <w:rPr>
          <w:rFonts w:ascii="Arial" w:cs="Arial" w:eastAsia="Arial" w:hAnsi="Arial"/>
          <w:sz w:val="18"/>
          <w:szCs w:val="18"/>
          <w:color w:val="auto"/>
        </w:rPr>
        <w:t>” means the Company Common Stock and the Company Preferred Stock.</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Capitalization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Sections 2.6(a)</w:t>
      </w:r>
      <w:r>
        <w:rPr>
          <w:rFonts w:ascii="Arial" w:cs="Arial" w:eastAsia="Arial" w:hAnsi="Arial"/>
          <w:sz w:val="16"/>
          <w:szCs w:val="16"/>
          <w:color w:val="auto"/>
        </w:rPr>
        <w:t xml:space="preserve"> and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209" w:lineRule="exact"/>
        <w:rPr>
          <w:sz w:val="20"/>
          <w:szCs w:val="20"/>
          <w:color w:val="auto"/>
        </w:rPr>
      </w:pPr>
    </w:p>
    <w:p>
      <w:pPr>
        <w:ind w:left="140" w:right="62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Cash</w:t>
      </w:r>
      <w:r>
        <w:rPr>
          <w:rFonts w:ascii="Arial" w:cs="Arial" w:eastAsia="Arial" w:hAnsi="Arial"/>
          <w:sz w:val="18"/>
          <w:szCs w:val="18"/>
          <w:color w:val="auto"/>
        </w:rPr>
        <w:t>” means the Company’s Cash and Cash Equivalents as of the Anticipated Closing Date, determined in a manner consistent with the manner in which such items were determined for the Company Financials.</w:t>
      </w:r>
    </w:p>
    <w:p>
      <w:pPr>
        <w:spacing w:after="0" w:line="170" w:lineRule="exact"/>
        <w:rPr>
          <w:sz w:val="20"/>
          <w:szCs w:val="20"/>
          <w:color w:val="auto"/>
        </w:rPr>
      </w:pPr>
    </w:p>
    <w:p>
      <w:pPr>
        <w:ind w:left="140" w:right="18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Cash Schedule</w:t>
      </w:r>
      <w:r>
        <w:rPr>
          <w:rFonts w:ascii="Arial" w:cs="Arial" w:eastAsia="Arial" w:hAnsi="Arial"/>
          <w:sz w:val="18"/>
          <w:szCs w:val="18"/>
          <w:color w:val="auto"/>
        </w:rPr>
        <w:t xml:space="preserve">” means a written schedule prepared in accordance with </w:t>
      </w:r>
      <w:r>
        <w:rPr>
          <w:rFonts w:ascii="Arial" w:cs="Arial" w:eastAsia="Arial" w:hAnsi="Arial"/>
          <w:sz w:val="18"/>
          <w:szCs w:val="18"/>
          <w:u w:val="single" w:color="auto"/>
          <w:color w:val="auto"/>
        </w:rPr>
        <w:t>Section 5.22(a)</w:t>
      </w:r>
      <w:r>
        <w:rPr>
          <w:rFonts w:ascii="Arial" w:cs="Arial" w:eastAsia="Arial" w:hAnsi="Arial"/>
          <w:sz w:val="18"/>
          <w:szCs w:val="18"/>
          <w:color w:val="auto"/>
        </w:rPr>
        <w:t xml:space="preserve"> and certified by the Chief Financial Officer of the Company, on behalf of the Company and not in his or her personal capacity, setting forth, in reasonable detail, the Company’s good faith estimate of Company Cash as of the Anticipated Closing Date.</w:t>
      </w:r>
    </w:p>
    <w:p>
      <w:pPr>
        <w:spacing w:after="0" w:line="183" w:lineRule="exact"/>
        <w:rPr>
          <w:sz w:val="20"/>
          <w:szCs w:val="20"/>
          <w:color w:val="auto"/>
        </w:rPr>
      </w:pPr>
    </w:p>
    <w:p>
      <w:pPr>
        <w:ind w:left="140" w:firstLine="12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Collar Range</w:t>
      </w:r>
      <w:r>
        <w:rPr>
          <w:rFonts w:ascii="Arial" w:cs="Arial" w:eastAsia="Arial" w:hAnsi="Arial"/>
          <w:sz w:val="18"/>
          <w:szCs w:val="18"/>
          <w:color w:val="auto"/>
        </w:rPr>
        <w:t>” means a range between (and inclusive of) $1,300,000 and $3,300,000; provided that on the first day of each calendar month after December 31, 2017, to the extent the Closing has not occurred on such date, the limits of such range shall be automatically reduced to numbers not less than zero by $900,000 per month, half of which shall reduce the previous limit on the 1st day of the succeeding calendar month and the other half shall reduce the previous limit on the 15th day of the applicable month (for example, if the Closing occurs on January 2, 2018, the limits of the Company Collar Range would be $850,000 and $2,850,000 and if the Closing occurs on January 16, 2018, the limits of the Company Collar Range would be $400,000 and $2,400,000).</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means the Common Stock, $0.00001 par value per share, of the Company.</w:t>
      </w:r>
    </w:p>
    <w:p>
      <w:pPr>
        <w:spacing w:after="0" w:line="224" w:lineRule="exact"/>
        <w:rPr>
          <w:sz w:val="20"/>
          <w:szCs w:val="20"/>
          <w:color w:val="auto"/>
        </w:rPr>
      </w:pPr>
    </w:p>
    <w:p>
      <w:pPr>
        <w:ind w:left="140" w:firstLine="129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means any Contract: (a) to which the Company or any of its Subsidiaries is a Party; (b) by which the Company or any of its Subsidiaries or any Company IP Rights owned by the Company or any of its Subsidiaries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94" w:name="page395"/>
    <w:bookmarkEnd w:id="39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22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Deficiency Amount</w:t>
      </w:r>
      <w:r>
        <w:rPr>
          <w:rFonts w:ascii="Arial" w:cs="Arial" w:eastAsia="Arial" w:hAnsi="Arial"/>
          <w:sz w:val="18"/>
          <w:szCs w:val="18"/>
          <w:color w:val="auto"/>
        </w:rPr>
        <w:t xml:space="preserve">” means the amount equal to the minimum amount of the Company Collar Range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final Company Cash, as determined in accordance with </w:t>
      </w:r>
      <w:r>
        <w:rPr>
          <w:rFonts w:ascii="Arial" w:cs="Arial" w:eastAsia="Arial" w:hAnsi="Arial"/>
          <w:sz w:val="18"/>
          <w:szCs w:val="18"/>
          <w:u w:val="single" w:color="auto"/>
          <w:color w:val="auto"/>
        </w:rPr>
        <w:t>Section 5.22</w:t>
      </w:r>
      <w:r>
        <w:rPr>
          <w:rFonts w:ascii="Arial" w:cs="Arial" w:eastAsia="Arial" w:hAnsi="Arial"/>
          <w:sz w:val="18"/>
          <w:szCs w:val="18"/>
          <w:color w:val="auto"/>
        </w:rPr>
        <w:t>, but only to the extent such final Company Cash is less than the minimum amount of the Company Collar Range.</w:t>
      </w:r>
    </w:p>
    <w:p>
      <w:pPr>
        <w:spacing w:after="0" w:line="183" w:lineRule="exact"/>
        <w:rPr>
          <w:sz w:val="20"/>
          <w:szCs w:val="20"/>
          <w:color w:val="auto"/>
        </w:rPr>
      </w:pPr>
    </w:p>
    <w:p>
      <w:pPr>
        <w:ind w:left="140" w:right="66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ERISA Affiliate</w:t>
      </w:r>
      <w:r>
        <w:rPr>
          <w:rFonts w:ascii="Arial" w:cs="Arial" w:eastAsia="Arial" w:hAnsi="Arial"/>
          <w:sz w:val="18"/>
          <w:szCs w:val="18"/>
          <w:color w:val="auto"/>
        </w:rPr>
        <w:t>” means any corporation or trade or business (whether or not incorporated) which is treated with the Company or any of its Subsidiaries as a single employer within the meaning of Section 414 of the Code.</w:t>
      </w:r>
    </w:p>
    <w:p>
      <w:pPr>
        <w:spacing w:after="0" w:line="170" w:lineRule="exact"/>
        <w:rPr>
          <w:sz w:val="20"/>
          <w:szCs w:val="20"/>
          <w:color w:val="auto"/>
        </w:rPr>
      </w:pPr>
    </w:p>
    <w:p>
      <w:pPr>
        <w:jc w:val="both"/>
        <w:ind w:left="140" w:right="8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Excess Amount</w:t>
      </w:r>
      <w:r>
        <w:rPr>
          <w:rFonts w:ascii="Arial" w:cs="Arial" w:eastAsia="Arial" w:hAnsi="Arial"/>
          <w:sz w:val="18"/>
          <w:szCs w:val="18"/>
          <w:color w:val="auto"/>
        </w:rPr>
        <w:t xml:space="preserve">” means the amount equal to the final Company Cash, as determined in accordance with </w:t>
      </w:r>
      <w:r>
        <w:rPr>
          <w:rFonts w:ascii="Arial" w:cs="Arial" w:eastAsia="Arial" w:hAnsi="Arial"/>
          <w:sz w:val="18"/>
          <w:szCs w:val="18"/>
          <w:u w:val="single" w:color="auto"/>
          <w:color w:val="auto"/>
        </w:rPr>
        <w:t>Section 5.22</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maximum amount of the Company Collar Range, but only to the extent such final Company Cash is more than the maximum amount of the Company Collar Range.</w:t>
      </w:r>
    </w:p>
    <w:p>
      <w:pPr>
        <w:spacing w:after="0" w:line="183" w:lineRule="exact"/>
        <w:rPr>
          <w:sz w:val="20"/>
          <w:szCs w:val="20"/>
          <w:color w:val="auto"/>
        </w:rPr>
      </w:pPr>
    </w:p>
    <w:p>
      <w:pPr>
        <w:ind w:left="140" w:right="160" w:firstLine="1292"/>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Fundamental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(Due Organization; Subsidiaries),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(Authority; Binding Nature of Agreement),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(Vote Required),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(Title to Assets)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(No Financial Advisors).</w:t>
      </w:r>
    </w:p>
    <w:p>
      <w:pPr>
        <w:spacing w:after="0" w:line="125" w:lineRule="exact"/>
        <w:rPr>
          <w:sz w:val="20"/>
          <w:szCs w:val="20"/>
          <w:color w:val="auto"/>
        </w:rPr>
      </w:pPr>
    </w:p>
    <w:p>
      <w:pPr>
        <w:ind w:left="140" w:right="22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means all Intellectual Property owned by or licensed to the Company or its Subsidiaries that is necessary for or used in, the business of the Company and its Subsidiaries as presently conducted.</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Lock-Up Signatories</w:t>
      </w:r>
      <w:r>
        <w:rPr>
          <w:rFonts w:ascii="Arial" w:cs="Arial" w:eastAsia="Arial" w:hAnsi="Arial"/>
          <w:sz w:val="18"/>
          <w:szCs w:val="18"/>
          <w:color w:val="auto"/>
        </w:rPr>
        <w:t>” means those Persons set forth on Section A of the Company Disclosure Schedule.</w:t>
      </w:r>
    </w:p>
    <w:p>
      <w:pPr>
        <w:spacing w:after="0" w:line="224" w:lineRule="exact"/>
        <w:rPr>
          <w:sz w:val="20"/>
          <w:szCs w:val="20"/>
          <w:color w:val="auto"/>
        </w:rPr>
      </w:pPr>
    </w:p>
    <w:p>
      <w:pPr>
        <w:ind w:left="140" w:firstLine="1292"/>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Material Adverse Effect</w:t>
      </w:r>
      <w:r>
        <w:rPr>
          <w:rFonts w:ascii="Arial" w:cs="Arial" w:eastAsia="Arial" w:hAnsi="Arial"/>
          <w:sz w:val="16"/>
          <w:szCs w:val="16"/>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condition (financial or otherwise), assets, liabilities or results of operations of the Company or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Effects arising or resulting from the following shall not be taken into account in determining whether there has been a Company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Effect: (a) general business or economic conditions affecting the industry in which the Company and its Subsidiaries operate, (b) acts of war, armed hostilities or terrorism, (c) changes in financial, banking or securities markets or (d) the taking of any action required to be taken by this Agreement; except in each case with respect to clauses (a) through (c), to the extent disproportionately affecting the Company and its Subsidiaries, taken as a whole, relative to other similarly situated companies in the industries in which the Company and its Subsidiaries operate.</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means options or other rights to purchase shares of Company Capital Stock issued by the Company.</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395" w:name="page396"/>
    <w:bookmarkEnd w:id="39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 means the Company’s Series A Preferred Stock, $0.00001 par value per share; the Company’s Series B Preferred Stock, $0.00001 par value per share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the Company’s Series C Preferred Stock $0.00001 par value per share (the “</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w:t>
      </w:r>
    </w:p>
    <w:p>
      <w:pPr>
        <w:spacing w:after="0" w:line="183" w:lineRule="exact"/>
        <w:rPr>
          <w:sz w:val="20"/>
          <w:szCs w:val="20"/>
          <w:color w:val="auto"/>
        </w:rPr>
      </w:pPr>
    </w:p>
    <w:p>
      <w:pPr>
        <w:jc w:val="both"/>
        <w:ind w:left="140" w:right="340" w:firstLine="129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Registered IP</w:t>
      </w:r>
      <w:r>
        <w:rPr>
          <w:rFonts w:ascii="Arial" w:cs="Arial" w:eastAsia="Arial" w:hAnsi="Arial"/>
          <w:sz w:val="16"/>
          <w:szCs w:val="16"/>
          <w:color w:val="auto"/>
        </w:rPr>
        <w:t>” means all Company IP Rights that are owned or purported to be owned by, and, in the case of Copyright, exclusively licensed to, the Company or any of its Subsidiaries that are registered, filed or issued under the authority of, with or by any Governmental Body, including all Patents, registered Copyrights, and registered Trademarks (including domain names) and all applications for any of the foregoing.</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Support Agreements</w:t>
      </w:r>
      <w:r>
        <w:rPr>
          <w:rFonts w:ascii="Arial" w:cs="Arial" w:eastAsia="Arial" w:hAnsi="Arial"/>
          <w:sz w:val="18"/>
          <w:szCs w:val="18"/>
          <w:color w:val="auto"/>
        </w:rPr>
        <w:t>” shall have the meaning set forth in the recitals.</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Written Consent</w:t>
      </w:r>
      <w:r>
        <w:rPr>
          <w:rFonts w:ascii="Arial" w:cs="Arial" w:eastAsia="Arial" w:hAnsi="Arial"/>
          <w:sz w:val="18"/>
          <w:szCs w:val="18"/>
          <w:color w:val="auto"/>
        </w:rPr>
        <w:t>” shall have the meaning set forth in the recitals.</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Transaction Expenses</w:t>
      </w:r>
      <w:r>
        <w:rPr>
          <w:rFonts w:ascii="Arial" w:cs="Arial" w:eastAsia="Arial" w:hAnsi="Arial"/>
          <w:sz w:val="18"/>
          <w:szCs w:val="18"/>
          <w:color w:val="auto"/>
        </w:rPr>
        <w:t>” means Transaction Expenses of the Company or any of its Subsidiaries.</w:t>
      </w:r>
    </w:p>
    <w:p>
      <w:pPr>
        <w:spacing w:after="0" w:line="224" w:lineRule="exact"/>
        <w:rPr>
          <w:sz w:val="20"/>
          <w:szCs w:val="20"/>
          <w:color w:val="auto"/>
        </w:rPr>
      </w:pPr>
    </w:p>
    <w:p>
      <w:pPr>
        <w:ind w:left="140" w:right="28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means the unaudited consolidated balance sheet of the Company and its consolidated Subsidiaries as of August 31, 2017 provided to Parent prior to the date of this Agreement.</w:t>
      </w:r>
    </w:p>
    <w:p>
      <w:pPr>
        <w:spacing w:after="0" w:line="170" w:lineRule="exact"/>
        <w:rPr>
          <w:sz w:val="20"/>
          <w:szCs w:val="20"/>
          <w:color w:val="auto"/>
        </w:rPr>
      </w:pPr>
    </w:p>
    <w:p>
      <w:pPr>
        <w:ind w:left="140" w:right="120" w:firstLine="1292"/>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means the Mutual Exchange Confidential Disclosure Agreement, dated as of April 21, 2017, between the Company and Parent, as supplemented by the letter agreement, dated as of July 31, 2017, between the Company and Parent.</w:t>
      </w:r>
    </w:p>
    <w:p>
      <w:pPr>
        <w:spacing w:after="0" w:line="14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47"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Contemplated Transactions</w:t>
      </w:r>
      <w:r>
        <w:rPr>
          <w:rFonts w:ascii="Arial" w:cs="Arial" w:eastAsia="Arial" w:hAnsi="Arial"/>
          <w:sz w:val="17"/>
          <w:szCs w:val="17"/>
          <w:color w:val="auto"/>
        </w:rPr>
        <w:t>” means the Merger, the Reverse Split and the other transactions contemplated by this Agreement.</w:t>
      </w:r>
    </w:p>
    <w:p>
      <w:pPr>
        <w:spacing w:after="0" w:line="235" w:lineRule="exact"/>
        <w:rPr>
          <w:sz w:val="20"/>
          <w:szCs w:val="20"/>
          <w:color w:val="auto"/>
        </w:rPr>
      </w:pPr>
    </w:p>
    <w:p>
      <w:pPr>
        <w:ind w:left="140" w:right="16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agreement, contract, subcontract, lease (whether for real or personal property), mortgage, license, sublicense or other legally binding commitment or undertaking of any nature to which such Person is a party or by which such Person or any of its assets are bound or affected under applicable Law.</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means the date that is ten calendar days prior to the Anticipated Closing Date.</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96" w:name="page397"/>
    <w:bookmarkEnd w:id="39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firstLine="129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4" w:lineRule="exact"/>
        <w:rPr>
          <w:sz w:val="20"/>
          <w:szCs w:val="20"/>
          <w:color w:val="auto"/>
        </w:rPr>
      </w:pPr>
    </w:p>
    <w:p>
      <w:pPr>
        <w:ind w:left="140" w:right="80" w:firstLine="1292"/>
        <w:spacing w:after="0" w:line="28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 Laws of general application relating to bankruptcy, insolvency and the relief of debtors;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(b) rules of law governing specific performance, injunctive relief and other equitable remedies.</w:t>
      </w:r>
    </w:p>
    <w:p>
      <w:pPr>
        <w:spacing w:after="0" w:line="167" w:lineRule="exact"/>
        <w:rPr>
          <w:sz w:val="20"/>
          <w:szCs w:val="20"/>
          <w:color w:val="auto"/>
        </w:rPr>
      </w:pPr>
    </w:p>
    <w:p>
      <w:pPr>
        <w:ind w:left="140" w:right="24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83" w:lineRule="exact"/>
        <w:rPr>
          <w:sz w:val="20"/>
          <w:szCs w:val="20"/>
          <w:color w:val="auto"/>
        </w:rPr>
      </w:pPr>
    </w:p>
    <w:p>
      <w:pPr>
        <w:ind w:left="140" w:right="60" w:firstLine="129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w:t>
      </w:r>
    </w:p>
    <w:p>
      <w:pPr>
        <w:spacing w:after="0" w:line="224" w:lineRule="exact"/>
        <w:rPr>
          <w:sz w:val="20"/>
          <w:szCs w:val="20"/>
          <w:color w:val="auto"/>
        </w:rPr>
      </w:pPr>
    </w:p>
    <w:p>
      <w:pPr>
        <w:ind w:left="140" w:right="52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1.5(f)</w:t>
      </w:r>
      <w:r>
        <w:rPr>
          <w:rFonts w:ascii="Arial" w:cs="Arial" w:eastAsia="Arial" w:hAnsi="Arial"/>
          <w:sz w:val="18"/>
          <w:szCs w:val="18"/>
          <w:color w:val="auto"/>
        </w:rPr>
        <w:t>, the following ratio (rounded to four decimal places): the quotient obtained by dividing (a) the Company Merger Shares by (b) the Company Outstanding Shares, in which:</w:t>
      </w:r>
    </w:p>
    <w:p>
      <w:pPr>
        <w:spacing w:after="0" w:line="170" w:lineRule="exact"/>
        <w:rPr>
          <w:sz w:val="20"/>
          <w:szCs w:val="20"/>
          <w:color w:val="auto"/>
        </w:rPr>
      </w:pPr>
    </w:p>
    <w:p>
      <w:pPr>
        <w:ind w:left="3120" w:hanging="448"/>
        <w:spacing w:after="0"/>
        <w:tabs>
          <w:tab w:leader="none" w:pos="31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Valuation</w:t>
      </w:r>
      <w:r>
        <w:rPr>
          <w:rFonts w:ascii="Arial" w:cs="Arial" w:eastAsia="Arial" w:hAnsi="Arial"/>
          <w:sz w:val="18"/>
          <w:szCs w:val="18"/>
          <w:color w:val="auto"/>
        </w:rPr>
        <w:t>” means the sum of (a) the Company Valuation, plus (b) the Parent Valuation.</w:t>
      </w:r>
    </w:p>
    <w:p>
      <w:pPr>
        <w:spacing w:after="0" w:line="223" w:lineRule="exact"/>
        <w:rPr>
          <w:rFonts w:ascii="Arial" w:cs="Arial" w:eastAsia="Arial" w:hAnsi="Arial"/>
          <w:sz w:val="18"/>
          <w:szCs w:val="18"/>
          <w:color w:val="auto"/>
        </w:rPr>
      </w:pPr>
    </w:p>
    <w:p>
      <w:pPr>
        <w:ind w:left="3120" w:right="520" w:hanging="448"/>
        <w:spacing w:after="0" w:line="276" w:lineRule="auto"/>
        <w:tabs>
          <w:tab w:leader="none" w:pos="312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Valuation</w:t>
      </w:r>
      <w:r>
        <w:rPr>
          <w:rFonts w:ascii="Arial" w:cs="Arial" w:eastAsia="Arial" w:hAnsi="Arial"/>
          <w:sz w:val="18"/>
          <w:szCs w:val="18"/>
          <w:color w:val="auto"/>
        </w:rPr>
        <w:t xml:space="preserve">” means, subject to any adjustments pursuant to </w:t>
      </w:r>
      <w:r>
        <w:rPr>
          <w:rFonts w:ascii="Arial" w:cs="Arial" w:eastAsia="Arial" w:hAnsi="Arial"/>
          <w:sz w:val="18"/>
          <w:szCs w:val="18"/>
          <w:u w:val="single" w:color="auto"/>
          <w:color w:val="auto"/>
        </w:rPr>
        <w:t>Section 4.2(b)(ii)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5.22(e)</w:t>
      </w:r>
      <w:r>
        <w:rPr>
          <w:rFonts w:ascii="Arial" w:cs="Arial" w:eastAsia="Arial" w:hAnsi="Arial"/>
          <w:sz w:val="18"/>
          <w:szCs w:val="18"/>
          <w:color w:val="auto"/>
        </w:rPr>
        <w:t>, $90,000,000, a component of which is Company Cash.</w:t>
      </w:r>
    </w:p>
    <w:p>
      <w:pPr>
        <w:spacing w:after="0" w:line="169" w:lineRule="exact"/>
        <w:rPr>
          <w:rFonts w:ascii="Arial" w:cs="Arial" w:eastAsia="Arial" w:hAnsi="Arial"/>
          <w:sz w:val="18"/>
          <w:szCs w:val="18"/>
          <w:color w:val="auto"/>
        </w:rPr>
      </w:pPr>
    </w:p>
    <w:p>
      <w:pPr>
        <w:ind w:left="3120" w:right="140" w:hanging="448"/>
        <w:spacing w:after="0" w:line="300" w:lineRule="auto"/>
        <w:tabs>
          <w:tab w:leader="none" w:pos="312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Allocation Percentage</w:t>
      </w:r>
      <w:r>
        <w:rPr>
          <w:rFonts w:ascii="Arial" w:cs="Arial" w:eastAsia="Arial" w:hAnsi="Arial"/>
          <w:sz w:val="16"/>
          <w:szCs w:val="16"/>
          <w:color w:val="auto"/>
        </w:rPr>
        <w:t xml:space="preserve">” the quotient (rounded to two decimal places) determined by dividing (i) the Company Valuation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Aggregate Valuation (it being understood and agreed that to the extent any adjustment to the Company Valuation is made pursuant to </w:t>
      </w:r>
      <w:r>
        <w:rPr>
          <w:rFonts w:ascii="Arial" w:cs="Arial" w:eastAsia="Arial" w:hAnsi="Arial"/>
          <w:sz w:val="16"/>
          <w:szCs w:val="16"/>
          <w:u w:val="single" w:color="auto"/>
          <w:color w:val="auto"/>
        </w:rPr>
        <w:t>Section 5.22(e)</w:t>
      </w:r>
      <w:r>
        <w:rPr>
          <w:rFonts w:ascii="Arial" w:cs="Arial" w:eastAsia="Arial" w:hAnsi="Arial"/>
          <w:sz w:val="16"/>
          <w:szCs w:val="16"/>
          <w:color w:val="auto"/>
        </w:rPr>
        <w:t>, the Company Allocation Percentage shall thereafter be adjusted accordingly to reflect such adjustment to the Company Valuation).</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97" w:name="page398"/>
    <w:bookmarkEnd w:id="39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120" w:right="20" w:hanging="448"/>
        <w:spacing w:after="0" w:line="276" w:lineRule="auto"/>
        <w:tabs>
          <w:tab w:leader="none" w:pos="31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Merger Shares</w:t>
      </w:r>
      <w:r>
        <w:rPr>
          <w:rFonts w:ascii="Arial" w:cs="Arial" w:eastAsia="Arial" w:hAnsi="Arial"/>
          <w:sz w:val="18"/>
          <w:szCs w:val="18"/>
          <w:color w:val="auto"/>
        </w:rPr>
        <w:t xml:space="preserve">” means the product determined by multiplying (i) the Post-Closing Parent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Company Allocation Percentage.</w:t>
      </w:r>
    </w:p>
    <w:p>
      <w:pPr>
        <w:spacing w:after="0" w:line="169" w:lineRule="exact"/>
        <w:rPr>
          <w:rFonts w:ascii="Arial" w:cs="Arial" w:eastAsia="Arial" w:hAnsi="Arial"/>
          <w:sz w:val="18"/>
          <w:szCs w:val="18"/>
          <w:color w:val="auto"/>
        </w:rPr>
      </w:pPr>
    </w:p>
    <w:p>
      <w:pPr>
        <w:ind w:left="3120" w:right="40" w:hanging="448"/>
        <w:spacing w:after="0" w:line="267" w:lineRule="auto"/>
        <w:tabs>
          <w:tab w:leader="none" w:pos="31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Outstanding Shares</w:t>
      </w:r>
      <w:r>
        <w:rPr>
          <w:rFonts w:ascii="Arial" w:cs="Arial" w:eastAsia="Arial" w:hAnsi="Arial"/>
          <w:sz w:val="17"/>
          <w:szCs w:val="17"/>
          <w:color w:val="auto"/>
        </w:rPr>
        <w:t>” means the total number of shares of Company Capital Stock outstanding immediately prior to the Effective Time expressed on a fully-diluted and as-converted to Company Common Stock basis and assuming, without limitation or duplication, (i) the cashless exercise of all Company Options outstanding as of immediately prior to the Effective Time with an exercise price less than the Parent Closing Price (on a converted to Company Common Stock basis) and (ii) the issuance of shares of Company Capital Stock in respect of all other outstanding options, warrants or rights to receive such shares (assuming cashless exercise using the Parent Closing Price (on a converted to Company Common Stock basis) in the case of options, warrants and other similar rights), whether conditional or unconditional and including any outstanding options, warrants or rights (including any convertible notes and accrued interest in connection therewith and any accrued dividends on Company Capital Stock) triggered by or associated with the consummation of the Merger (but excluding any shares of Company Common Stock reserved for issuance). For the avoidance of doubt, no out-of-the-money Company Options shall be included in the total number of shares of Company Capital Stock outstanding for purposes of determining the Company Outstanding Shares.</w:t>
      </w:r>
    </w:p>
    <w:p>
      <w:pPr>
        <w:spacing w:after="0" w:line="187" w:lineRule="exact"/>
        <w:rPr>
          <w:rFonts w:ascii="Arial" w:cs="Arial" w:eastAsia="Arial" w:hAnsi="Arial"/>
          <w:sz w:val="17"/>
          <w:szCs w:val="17"/>
          <w:color w:val="auto"/>
        </w:rPr>
      </w:pPr>
    </w:p>
    <w:p>
      <w:pPr>
        <w:ind w:left="3120" w:hanging="448"/>
        <w:spacing w:after="0" w:line="278" w:lineRule="auto"/>
        <w:tabs>
          <w:tab w:leader="none" w:pos="312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Allocation Percentage</w:t>
      </w:r>
      <w:r>
        <w:rPr>
          <w:rFonts w:ascii="Arial" w:cs="Arial" w:eastAsia="Arial" w:hAnsi="Arial"/>
          <w:sz w:val="17"/>
          <w:szCs w:val="17"/>
          <w:color w:val="auto"/>
        </w:rPr>
        <w:t xml:space="preserve">” means the quotient (rounded to two decimal places) determined by dividing (i) the Parent Valuation </w:t>
      </w:r>
      <w:r>
        <w:rPr>
          <w:rFonts w:ascii="Arial" w:cs="Arial" w:eastAsia="Arial" w:hAnsi="Arial"/>
          <w:sz w:val="17"/>
          <w:szCs w:val="17"/>
          <w:i w:val="1"/>
          <w:iCs w:val="1"/>
          <w:color w:val="auto"/>
        </w:rPr>
        <w:t>by</w:t>
      </w:r>
      <w:r>
        <w:rPr>
          <w:rFonts w:ascii="Arial" w:cs="Arial" w:eastAsia="Arial" w:hAnsi="Arial"/>
          <w:sz w:val="17"/>
          <w:szCs w:val="17"/>
          <w:color w:val="auto"/>
        </w:rPr>
        <w:t xml:space="preserve"> (ii) the Aggregate Valuation (it being understood and agreed that to the extent any adjustment to the Parent Valuation is made pursuant to </w:t>
      </w:r>
      <w:r>
        <w:rPr>
          <w:rFonts w:ascii="Arial" w:cs="Arial" w:eastAsia="Arial" w:hAnsi="Arial"/>
          <w:sz w:val="17"/>
          <w:szCs w:val="17"/>
          <w:u w:val="single" w:color="auto"/>
          <w:color w:val="auto"/>
        </w:rPr>
        <w:t>Section 5.22(f)</w:t>
      </w:r>
      <w:r>
        <w:rPr>
          <w:rFonts w:ascii="Arial" w:cs="Arial" w:eastAsia="Arial" w:hAnsi="Arial"/>
          <w:sz w:val="17"/>
          <w:szCs w:val="17"/>
          <w:color w:val="auto"/>
        </w:rPr>
        <w:t>, the Parent Allocation Percentage shall thereafter be adjusted accordingly to reflect such adjustment to the Parent Valuation).</w:t>
      </w:r>
    </w:p>
    <w:p>
      <w:pPr>
        <w:spacing w:after="0" w:line="170" w:lineRule="exact"/>
        <w:rPr>
          <w:rFonts w:ascii="Arial" w:cs="Arial" w:eastAsia="Arial" w:hAnsi="Arial"/>
          <w:sz w:val="17"/>
          <w:szCs w:val="17"/>
          <w:color w:val="auto"/>
        </w:rPr>
      </w:pPr>
    </w:p>
    <w:p>
      <w:pPr>
        <w:ind w:left="3120" w:right="40" w:hanging="448"/>
        <w:spacing w:after="0" w:line="286" w:lineRule="auto"/>
        <w:tabs>
          <w:tab w:leader="none" w:pos="31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Outstanding Shares</w:t>
      </w:r>
      <w:r>
        <w:rPr>
          <w:rFonts w:ascii="Arial" w:cs="Arial" w:eastAsia="Arial" w:hAnsi="Arial"/>
          <w:sz w:val="16"/>
          <w:szCs w:val="16"/>
          <w:color w:val="auto"/>
        </w:rPr>
        <w:t>” means the total number of shares of Parent Common Stock outstanding immediately prior to the Effective Time expressed on a fully-diluted basis, but assuming, without limitation or duplication, (i) with respect to Parent Options, the cashless exercise solely of those Parent Options outstanding as of immediately prior to the Effective Time with an exercise price less than the Parent Closing Price (and otherwise disregarding any other Parent Options) and (ii) the issuance of shares of Parent Common Stock in respect of all other outstanding options, warrants or rights to receive such shares (assuming cashless exercise using the Parent Closing Price in the case of options, warrants and other similar rights), whether conditional or unconditional and including any outstanding options, warrants or rights triggered by or associated with the consummation of the Merger (but excluding any shares of Parent Common Stock reserved for issuance). For the avoidance of doubt, no out-of-the-money Parent Options shall be included in the total number of shares of Parent Common Stock outstanding for purposes of determining the Parent Outstanding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8" w:name="page399"/>
    <w:bookmarkEnd w:id="39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3120" w:right="820" w:hanging="448"/>
        <w:spacing w:after="0" w:line="276" w:lineRule="auto"/>
        <w:tabs>
          <w:tab w:leader="none" w:pos="31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Valuation</w:t>
      </w:r>
      <w:r>
        <w:rPr>
          <w:rFonts w:ascii="Arial" w:cs="Arial" w:eastAsia="Arial" w:hAnsi="Arial"/>
          <w:sz w:val="18"/>
          <w:szCs w:val="18"/>
          <w:color w:val="auto"/>
        </w:rPr>
        <w:t xml:space="preserve">” means, subject to any adjustments pursuant to </w:t>
      </w:r>
      <w:r>
        <w:rPr>
          <w:rFonts w:ascii="Arial" w:cs="Arial" w:eastAsia="Arial" w:hAnsi="Arial"/>
          <w:sz w:val="18"/>
          <w:szCs w:val="18"/>
          <w:u w:val="single" w:color="auto"/>
          <w:color w:val="auto"/>
        </w:rPr>
        <w:t>Section 4.2(b)(ii)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5.22(f)</w:t>
      </w:r>
      <w:r>
        <w:rPr>
          <w:rFonts w:ascii="Arial" w:cs="Arial" w:eastAsia="Arial" w:hAnsi="Arial"/>
          <w:sz w:val="18"/>
          <w:szCs w:val="18"/>
          <w:color w:val="auto"/>
        </w:rPr>
        <w:t>, $60,000,000, a component of which is Parent Cash.</w:t>
      </w:r>
    </w:p>
    <w:p>
      <w:pPr>
        <w:spacing w:after="0" w:line="169" w:lineRule="exact"/>
        <w:rPr>
          <w:rFonts w:ascii="Arial" w:cs="Arial" w:eastAsia="Arial" w:hAnsi="Arial"/>
          <w:sz w:val="18"/>
          <w:szCs w:val="18"/>
          <w:color w:val="auto"/>
        </w:rPr>
      </w:pPr>
    </w:p>
    <w:p>
      <w:pPr>
        <w:ind w:left="3120" w:hanging="448"/>
        <w:spacing w:after="0" w:line="276" w:lineRule="auto"/>
        <w:tabs>
          <w:tab w:leader="none" w:pos="31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Parent Shares</w:t>
      </w:r>
      <w:r>
        <w:rPr>
          <w:rFonts w:ascii="Arial" w:cs="Arial" w:eastAsia="Arial" w:hAnsi="Arial"/>
          <w:sz w:val="18"/>
          <w:szCs w:val="18"/>
          <w:color w:val="auto"/>
        </w:rPr>
        <w:t xml:space="preserve">” means the quotient determined by dividing (i) the Parent Outstanding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Allocation Percentage.</w:t>
      </w:r>
    </w:p>
    <w:p>
      <w:pPr>
        <w:spacing w:after="0" w:line="170" w:lineRule="exact"/>
        <w:rPr>
          <w:sz w:val="20"/>
          <w:szCs w:val="20"/>
          <w:color w:val="auto"/>
        </w:rPr>
      </w:pPr>
    </w:p>
    <w:p>
      <w:pPr>
        <w:ind w:left="140" w:right="52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and practices in effect from time to time within the United States applied consistently throughout the period involved.</w:t>
      </w:r>
    </w:p>
    <w:p>
      <w:pPr>
        <w:spacing w:after="0" w:line="170" w:lineRule="exact"/>
        <w:rPr>
          <w:sz w:val="20"/>
          <w:szCs w:val="20"/>
          <w:color w:val="auto"/>
        </w:rPr>
      </w:pPr>
    </w:p>
    <w:p>
      <w:pPr>
        <w:ind w:left="140" w:right="24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Body or pursuant to any Law; or (b) right under any Contract with any Governmental Body.</w:t>
      </w:r>
    </w:p>
    <w:p>
      <w:pPr>
        <w:spacing w:after="0" w:line="183" w:lineRule="exact"/>
        <w:rPr>
          <w:sz w:val="20"/>
          <w:szCs w:val="20"/>
          <w:color w:val="auto"/>
        </w:rPr>
      </w:pPr>
    </w:p>
    <w:p>
      <w:pPr>
        <w:ind w:left="140" w:right="60" w:firstLine="1292"/>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57" w:lineRule="exact"/>
        <w:rPr>
          <w:sz w:val="20"/>
          <w:szCs w:val="20"/>
          <w:color w:val="auto"/>
        </w:rPr>
      </w:pPr>
    </w:p>
    <w:p>
      <w:pPr>
        <w:ind w:left="140" w:right="60" w:firstLine="1292"/>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399" w:name="page400"/>
    <w:bookmarkEnd w:id="39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any and all intellectual and industrial property rights and other similar proprietary rights, in any</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jurisdiction throughout the world, whether registered or unregistered, including all rights pertaining to or deriving from: (a) patents and patent applications,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(including any and all provisionals, continuations, continuations-in-part, continued prosecution, divisionals and patents of addition; requests for, and grants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of, continued examination, extensions, supplemental protection certificates, re-examinations, post-grant confirmations or amendments, counterparts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claiming priority from, or reissues of, any of the foregoing; and any patents or patent applications that claim priority to or from any of the foregoing)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all rights to claim priority arising from or related to any of the foregoing (collectively, “</w:t>
      </w:r>
      <w:r>
        <w:rPr>
          <w:rFonts w:ascii="Arial" w:cs="Arial" w:eastAsia="Arial" w:hAnsi="Arial"/>
          <w:sz w:val="17"/>
          <w:szCs w:val="17"/>
          <w:b w:val="1"/>
          <w:bCs w:val="1"/>
          <w:i w:val="1"/>
          <w:iCs w:val="1"/>
          <w:color w:val="auto"/>
        </w:rPr>
        <w:t>Patents</w:t>
      </w:r>
      <w:r>
        <w:rPr>
          <w:rFonts w:ascii="Arial" w:cs="Arial" w:eastAsia="Arial" w:hAnsi="Arial"/>
          <w:sz w:val="17"/>
          <w:szCs w:val="17"/>
          <w:color w:val="auto"/>
        </w:rPr>
        <w:t>”); (b) inventions, invention disclosures, discoveries and</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improvements, whether or not patentable; (c) copyrights and works of authorship, whether or not copyrightable (“</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(d) computer software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firmware, including data files, source code, object code and software-related specifications and documentation; (e) trademarks, trade names, service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marks, certification marks, service names, brands, trade dress and logos, applications therefore, and the goodwill associated therewith (collectively,</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(f) trade secrets (including those trade secrets defined in the Uniform Trade Secrets Act and under corresponding foreign statutory Law</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and common law), non-public information, and confidential information, know-how, business and technical information, and rights to limit the use or</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disclosure thereof by any Person (collectively “</w:t>
      </w:r>
      <w:r>
        <w:rPr>
          <w:rFonts w:ascii="Arial" w:cs="Arial" w:eastAsia="Arial" w:hAnsi="Arial"/>
          <w:sz w:val="16"/>
          <w:szCs w:val="16"/>
          <w:b w:val="1"/>
          <w:bCs w:val="1"/>
          <w:i w:val="1"/>
          <w:iCs w:val="1"/>
          <w:color w:val="auto"/>
        </w:rPr>
        <w:t>Trade Secrets</w:t>
      </w:r>
      <w:r>
        <w:rPr>
          <w:rFonts w:ascii="Arial" w:cs="Arial" w:eastAsia="Arial" w:hAnsi="Arial"/>
          <w:sz w:val="16"/>
          <w:szCs w:val="16"/>
          <w:color w:val="auto"/>
        </w:rPr>
        <w:t>”); (g) mask works; (h) domain names; (i) proprietary databases and data compilations and all</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documentation relating to the foregoing; and, including in each case any and all (1) rights under which an employee, inventor, author or other person is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obligated to assign ownership any of the foregoing; (2) registrations of, applications to register, and renewals of, any of the foregoing with or by any</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Governmental Body in any jurisdiction throughout the world, (3) rights of action arising from the foregoing, including all claims for damages by reason of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present, past and future infringement, misappropriation, violation misuse or breach of contract in respect of the foregoing, and present, past and future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rights to sue and collect damages or seek injunctive relief for any such infringement, misappropriation, violation, misuse or breach; and (4) income,</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royalties and any other payments now and hereafter due and/or payable in respect of the foregoing.</w:t>
      </w:r>
    </w:p>
    <w:p>
      <w:pPr>
        <w:spacing w:after="0" w:line="20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4" w:lineRule="exact"/>
        <w:rPr>
          <w:sz w:val="20"/>
          <w:szCs w:val="20"/>
          <w:color w:val="auto"/>
        </w:rPr>
      </w:pPr>
    </w:p>
    <w:p>
      <w:pPr>
        <w:ind w:left="140" w:right="240" w:firstLine="1292"/>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Key Employee</w:t>
      </w:r>
      <w:r>
        <w:rPr>
          <w:rFonts w:ascii="Arial" w:cs="Arial" w:eastAsia="Arial" w:hAnsi="Arial"/>
          <w:sz w:val="17"/>
          <w:szCs w:val="17"/>
          <w:color w:val="auto"/>
        </w:rPr>
        <w:t>” means, with respect to the Company or Parent, an executive officer of such Party or any employee of such Party that reports directly to the board of directors of such Party or to the Chief Executive Officer or Chief Operating Officer of such Party.</w:t>
      </w:r>
    </w:p>
    <w:p>
      <w:pPr>
        <w:spacing w:after="0" w:line="148" w:lineRule="exact"/>
        <w:rPr>
          <w:sz w:val="20"/>
          <w:szCs w:val="20"/>
          <w:color w:val="auto"/>
        </w:rPr>
      </w:pPr>
    </w:p>
    <w:p>
      <w:pPr>
        <w:ind w:left="140" w:right="10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actual knowledge of the Key Employees after reasonable inquiry of such Key Employee’s personal files and of the direct reports of such Key Employee charged with administrative or operational responsibility for such matters.</w:t>
      </w:r>
    </w:p>
    <w:p>
      <w:pPr>
        <w:spacing w:after="0" w:line="170" w:lineRule="exact"/>
        <w:rPr>
          <w:sz w:val="20"/>
          <w:szCs w:val="20"/>
          <w:color w:val="auto"/>
        </w:rPr>
      </w:pPr>
    </w:p>
    <w:p>
      <w:pPr>
        <w:ind w:left="140" w:right="40" w:firstLine="129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(including under the authority of NASDAQ or the Financial Industry Regulatory Authority).</w:t>
      </w:r>
    </w:p>
    <w:p>
      <w:pPr>
        <w:spacing w:after="0" w:line="187" w:lineRule="exact"/>
        <w:rPr>
          <w:sz w:val="20"/>
          <w:szCs w:val="20"/>
          <w:color w:val="auto"/>
        </w:rPr>
      </w:pPr>
    </w:p>
    <w:p>
      <w:pPr>
        <w:ind w:left="140" w:right="2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Board</w:t>
      </w:r>
      <w:r>
        <w:rPr>
          <w:rFonts w:ascii="Arial" w:cs="Arial" w:eastAsia="Arial" w:hAnsi="Arial"/>
          <w:sz w:val="18"/>
          <w:szCs w:val="18"/>
          <w:color w:val="auto"/>
        </w:rPr>
        <w:t>” means the board of directors of Merger Sub.</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00" w:name="page401"/>
    <w:bookmarkEnd w:id="40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34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including the Nasdaq Capital Market or such other Nasdaq market on which shares of Parent Common Stock are then listed.</w:t>
      </w:r>
    </w:p>
    <w:p>
      <w:pPr>
        <w:spacing w:after="0" w:line="170" w:lineRule="exact"/>
        <w:rPr>
          <w:sz w:val="20"/>
          <w:szCs w:val="20"/>
          <w:color w:val="auto"/>
        </w:rPr>
      </w:pPr>
    </w:p>
    <w:p>
      <w:pPr>
        <w:ind w:left="140" w:right="16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the case of each of the Company and Parent, such actions taken in the ordinary course of its normal operations and consistent with its past practices.</w:t>
      </w:r>
    </w:p>
    <w:p>
      <w:pPr>
        <w:spacing w:after="0" w:line="170" w:lineRule="exact"/>
        <w:rPr>
          <w:sz w:val="20"/>
          <w:szCs w:val="20"/>
          <w:color w:val="auto"/>
        </w:rPr>
      </w:pPr>
    </w:p>
    <w:p>
      <w:pPr>
        <w:ind w:left="140" w:firstLine="1292"/>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Organizational Documents</w:t>
      </w:r>
      <w:r>
        <w:rPr>
          <w:rFonts w:ascii="Arial" w:cs="Arial" w:eastAsia="Arial" w:hAnsi="Arial"/>
          <w:sz w:val="16"/>
          <w:szCs w:val="16"/>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57" w:lineRule="exact"/>
        <w:rPr>
          <w:sz w:val="20"/>
          <w:szCs w:val="20"/>
          <w:color w:val="auto"/>
        </w:rPr>
      </w:pPr>
    </w:p>
    <w:p>
      <w:pPr>
        <w:ind w:left="140" w:right="42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Affiliate</w:t>
      </w:r>
      <w:r>
        <w:rPr>
          <w:rFonts w:ascii="Arial" w:cs="Arial" w:eastAsia="Arial" w:hAnsi="Arial"/>
          <w:sz w:val="18"/>
          <w:szCs w:val="18"/>
          <w:color w:val="auto"/>
        </w:rPr>
        <w:t>” means any Person that is (or at any relevant time was) under common control with Parent within the meaning of Sections 414(b), (c), (m) and (o) of the Code, and the regulations issued thereunder.</w:t>
      </w:r>
    </w:p>
    <w:p>
      <w:pPr>
        <w:spacing w:after="0" w:line="170" w:lineRule="exact"/>
        <w:rPr>
          <w:sz w:val="20"/>
          <w:szCs w:val="20"/>
          <w:color w:val="auto"/>
        </w:rPr>
      </w:pPr>
    </w:p>
    <w:p>
      <w:pPr>
        <w:ind w:left="140" w:right="10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Balance Sheet</w:t>
      </w:r>
      <w:r>
        <w:rPr>
          <w:rFonts w:ascii="Arial" w:cs="Arial" w:eastAsia="Arial" w:hAnsi="Arial"/>
          <w:sz w:val="18"/>
          <w:szCs w:val="18"/>
          <w:color w:val="auto"/>
        </w:rPr>
        <w:t>” means the audited balance sheet of Parent as of June 30, 2017 (the “</w:t>
      </w:r>
      <w:r>
        <w:rPr>
          <w:rFonts w:ascii="Arial" w:cs="Arial" w:eastAsia="Arial" w:hAnsi="Arial"/>
          <w:sz w:val="18"/>
          <w:szCs w:val="18"/>
          <w:b w:val="1"/>
          <w:bCs w:val="1"/>
          <w:i w:val="1"/>
          <w:iCs w:val="1"/>
          <w:color w:val="auto"/>
        </w:rPr>
        <w:t>Parent Balance Sheet Date</w:t>
      </w:r>
      <w:r>
        <w:rPr>
          <w:rFonts w:ascii="Arial" w:cs="Arial" w:eastAsia="Arial" w:hAnsi="Arial"/>
          <w:sz w:val="18"/>
          <w:szCs w:val="18"/>
          <w:color w:val="auto"/>
        </w:rPr>
        <w:t>”), included in Parent’s Report on Form 10-K for the fiscal year ended June 30, 2017, as filed with the SEC.</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Board</w:t>
      </w:r>
      <w:r>
        <w:rPr>
          <w:rFonts w:ascii="Arial" w:cs="Arial" w:eastAsia="Arial" w:hAnsi="Arial"/>
          <w:sz w:val="18"/>
          <w:szCs w:val="18"/>
          <w:color w:val="auto"/>
        </w:rPr>
        <w:t>” means the board of directors of Parent.</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401" w:name="page402"/>
    <w:bookmarkEnd w:id="40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40" w:firstLine="1292"/>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Cash</w:t>
      </w:r>
      <w:r>
        <w:rPr>
          <w:rFonts w:ascii="Arial" w:cs="Arial" w:eastAsia="Arial" w:hAnsi="Arial"/>
          <w:sz w:val="17"/>
          <w:szCs w:val="17"/>
          <w:color w:val="auto"/>
        </w:rPr>
        <w:t>” means Parent’s Cash and Cash Equivalents as of the Anticipated Closing Date, determined in a manner consistent with the manner in which such items were determined in the Parent SEC Documents. Notwithstanding the foregoing, Parent Cash shall be increased by (a) an amount equal to any severance paid prior to the Closing to any Parent employee, as provided for in each employee severance agreement, all of which have been provided to the Company, and which shall not in the aggregate exceed $4.1 million; (b) any amount paid prior to Closing, in whole or part, of the following estimated transaction-related costs: the Stifel fees and expenses, up to $1.3 million; retention expenses, up to $0.4 million; professional fees, up to $0.3 million; Directors and Officers insurance tail, up to $0.6 million; and miscellaneous, $0.3 million and (c) an amount equal to 50% of the aggregate amount of any costs or expenses, including settlement costs and/or reasonable attorney’s fees, incurred in connection with any threatened or actual stockholder litigation arising or resulting from this Agreement or the Contemplated Transactions and that may be brought in connection with or on behalf of any Parent stockholder’s interest in Parent Common Stock (including all amounts paid or payable up to the retention amount of any insurance policy that is or may cover such costs or expenses and amounts not covered by any such insurance policy), to the extent that such costs or expenses have otherwise reduced Parent Cash.</w:t>
      </w:r>
    </w:p>
    <w:p>
      <w:pPr>
        <w:spacing w:after="0" w:line="183" w:lineRule="exact"/>
        <w:rPr>
          <w:sz w:val="20"/>
          <w:szCs w:val="20"/>
          <w:color w:val="auto"/>
        </w:rPr>
      </w:pPr>
    </w:p>
    <w:p>
      <w:pPr>
        <w:ind w:left="140" w:right="6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Cash Schedule</w:t>
      </w:r>
      <w:r>
        <w:rPr>
          <w:rFonts w:ascii="Arial" w:cs="Arial" w:eastAsia="Arial" w:hAnsi="Arial"/>
          <w:sz w:val="18"/>
          <w:szCs w:val="18"/>
          <w:color w:val="auto"/>
        </w:rPr>
        <w:t xml:space="preserve">” means a written schedule prepared in accordance with </w:t>
      </w:r>
      <w:r>
        <w:rPr>
          <w:rFonts w:ascii="Arial" w:cs="Arial" w:eastAsia="Arial" w:hAnsi="Arial"/>
          <w:sz w:val="18"/>
          <w:szCs w:val="18"/>
          <w:u w:val="single" w:color="auto"/>
          <w:color w:val="auto"/>
        </w:rPr>
        <w:t>Section 5.22(c)</w:t>
      </w:r>
      <w:r>
        <w:rPr>
          <w:rFonts w:ascii="Arial" w:cs="Arial" w:eastAsia="Arial" w:hAnsi="Arial"/>
          <w:sz w:val="18"/>
          <w:szCs w:val="18"/>
          <w:color w:val="auto"/>
        </w:rPr>
        <w:t xml:space="preserve"> and certified by the Chief Financial Officer of Parent, on behalf of Parent and not in his or her personal capacity, setting forth, in reasonable detail, Parent’s good faith estimate of Parent Cash as of the Anticipated Closing Date.</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Capitalization Representations</w:t>
      </w:r>
      <w:r>
        <w:rPr>
          <w:rFonts w:ascii="Arial" w:cs="Arial" w:eastAsia="Arial" w:hAnsi="Arial"/>
          <w:sz w:val="17"/>
          <w:szCs w:val="17"/>
          <w:color w:val="auto"/>
        </w:rPr>
        <w:t xml:space="preserve">” means the representations and warranties of Parent set forth in </w:t>
      </w:r>
      <w:r>
        <w:rPr>
          <w:rFonts w:ascii="Arial" w:cs="Arial" w:eastAsia="Arial" w:hAnsi="Arial"/>
          <w:sz w:val="17"/>
          <w:szCs w:val="17"/>
          <w:u w:val="single" w:color="auto"/>
          <w:color w:val="auto"/>
        </w:rPr>
        <w:t>Sections 3.6(a)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w:t>
      </w:r>
    </w:p>
    <w:p>
      <w:pPr>
        <w:spacing w:after="0" w:line="235" w:lineRule="exact"/>
        <w:rPr>
          <w:sz w:val="20"/>
          <w:szCs w:val="20"/>
          <w:color w:val="auto"/>
        </w:rPr>
      </w:pPr>
    </w:p>
    <w:p>
      <w:pPr>
        <w:ind w:left="140" w:right="20" w:firstLine="129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Change in Circumstance</w:t>
      </w:r>
      <w:r>
        <w:rPr>
          <w:rFonts w:ascii="Arial" w:cs="Arial" w:eastAsia="Arial" w:hAnsi="Arial"/>
          <w:sz w:val="18"/>
          <w:szCs w:val="18"/>
          <w:color w:val="auto"/>
        </w:rPr>
        <w:t>” means any material event or development or material change in circumstances with respect to Parent that was neither known to the Parent Board nor reasonably likely to occur, as of the date of this Agreement (or the consequences of which were not known to the Parent Board, in their reasonable estimation, or reasonably foreseeable based on facts known to the Parent Board as of the date of this Agreement); provided, that “Parent Change in Circumstance” shall not include any such event, development or change to the extent related to any Acquisition Proposal, Acquisition Inquiry or the consequences thereof.</w:t>
      </w:r>
    </w:p>
    <w:p>
      <w:pPr>
        <w:spacing w:after="0" w:line="188" w:lineRule="exact"/>
        <w:rPr>
          <w:sz w:val="20"/>
          <w:szCs w:val="20"/>
          <w:color w:val="auto"/>
        </w:rPr>
      </w:pPr>
    </w:p>
    <w:p>
      <w:pPr>
        <w:ind w:left="140" w:right="100" w:firstLine="1292"/>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Closing Price</w:t>
      </w:r>
      <w:r>
        <w:rPr>
          <w:rFonts w:ascii="Arial" w:cs="Arial" w:eastAsia="Arial" w:hAnsi="Arial"/>
          <w:sz w:val="17"/>
          <w:szCs w:val="17"/>
          <w:color w:val="auto"/>
        </w:rPr>
        <w:t>” means the volume weighted average closing trading price of a share of Parent Common Stock on NASDAQ for the five consecutive trading days ending five trading days immediately prior to the date upon which the Merger becomes effective.</w:t>
      </w:r>
    </w:p>
    <w:p>
      <w:pPr>
        <w:spacing w:after="0" w:line="148" w:lineRule="exact"/>
        <w:rPr>
          <w:sz w:val="20"/>
          <w:szCs w:val="20"/>
          <w:color w:val="auto"/>
        </w:rPr>
      </w:pPr>
    </w:p>
    <w:p>
      <w:pPr>
        <w:ind w:left="140" w:firstLine="12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Collar Range</w:t>
      </w:r>
      <w:r>
        <w:rPr>
          <w:rFonts w:ascii="Arial" w:cs="Arial" w:eastAsia="Arial" w:hAnsi="Arial"/>
          <w:sz w:val="18"/>
          <w:szCs w:val="18"/>
          <w:color w:val="auto"/>
        </w:rPr>
        <w:t>” means a range between (and inclusive of) $28,000,000 and $31,000,000; provided that on the first day of each calendar month after December 31, 2017, to the extent the Closing has not occurred on such date, the limits of such range shall be automatically reduced to numbers not less than zero by $1,250,000 per month, half of which shall reduce the previous limit on the 1st day of the succeeding calendar month and the other half shall reduce the previous limit on the 15th day of the applicable month (for example, if the Closing occurs on January 2, 2018, the limits of the Parent Collar Range would be $27,375,000 and $30,375,000 and if the Closing occurs on January 16, 2018, the limits of the Parent Collar Range would be $26,750,000 and $29,750,000).</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means the Common Stock, $0.10 par value per share, of Parent.</w:t>
      </w:r>
    </w:p>
    <w:p>
      <w:pPr>
        <w:spacing w:after="0" w:line="224" w:lineRule="exact"/>
        <w:rPr>
          <w:sz w:val="20"/>
          <w:szCs w:val="20"/>
          <w:color w:val="auto"/>
        </w:rPr>
      </w:pPr>
    </w:p>
    <w:p>
      <w:pPr>
        <w:ind w:left="14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Contract</w:t>
      </w:r>
      <w:r>
        <w:rPr>
          <w:rFonts w:ascii="Arial" w:cs="Arial" w:eastAsia="Arial" w:hAnsi="Arial"/>
          <w:sz w:val="18"/>
          <w:szCs w:val="18"/>
          <w:color w:val="auto"/>
        </w:rPr>
        <w:t>” means any Contract: (a) to which Parent is a party; (b) by which Parent or any Parent IP Rights owned by the Parent or any other asset of Parent is or may become bound or under which Parent has, or may become subject to, any obligation; or (c) under which Parent has or may acquire any right or interest.</w:t>
      </w:r>
    </w:p>
    <w:p>
      <w:pPr>
        <w:spacing w:after="0" w:line="183" w:lineRule="exact"/>
        <w:rPr>
          <w:sz w:val="20"/>
          <w:szCs w:val="20"/>
          <w:color w:val="auto"/>
        </w:rPr>
      </w:pPr>
    </w:p>
    <w:p>
      <w:pPr>
        <w:jc w:val="both"/>
        <w:ind w:left="140" w:right="100" w:firstLine="1292"/>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Deficiency Amount</w:t>
      </w:r>
      <w:r>
        <w:rPr>
          <w:rFonts w:ascii="Arial" w:cs="Arial" w:eastAsia="Arial" w:hAnsi="Arial"/>
          <w:sz w:val="16"/>
          <w:szCs w:val="16"/>
          <w:color w:val="auto"/>
        </w:rPr>
        <w:t xml:space="preserve">” means the amount equal to the minimum amount of the Parent Collar Range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final Parent Cash, as determined in accordance with </w:t>
      </w:r>
      <w:r>
        <w:rPr>
          <w:rFonts w:ascii="Arial" w:cs="Arial" w:eastAsia="Arial" w:hAnsi="Arial"/>
          <w:sz w:val="16"/>
          <w:szCs w:val="16"/>
          <w:u w:val="single" w:color="auto"/>
          <w:color w:val="auto"/>
        </w:rPr>
        <w:t>Section 5.22</w:t>
      </w:r>
      <w:r>
        <w:rPr>
          <w:rFonts w:ascii="Arial" w:cs="Arial" w:eastAsia="Arial" w:hAnsi="Arial"/>
          <w:sz w:val="16"/>
          <w:szCs w:val="16"/>
          <w:color w:val="auto"/>
        </w:rPr>
        <w:t>, but only to the extent such final Parent Cash is less than the minimum amount of the Parent Collar Range.</w:t>
      </w:r>
    </w:p>
    <w:p>
      <w:pPr>
        <w:spacing w:after="0" w:line="125" w:lineRule="exact"/>
        <w:rPr>
          <w:sz w:val="20"/>
          <w:szCs w:val="20"/>
          <w:color w:val="auto"/>
        </w:rPr>
      </w:pPr>
    </w:p>
    <w:p>
      <w:pPr>
        <w:ind w:left="140" w:right="14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ERISA Affiliate</w:t>
      </w:r>
      <w:r>
        <w:rPr>
          <w:rFonts w:ascii="Arial" w:cs="Arial" w:eastAsia="Arial" w:hAnsi="Arial"/>
          <w:sz w:val="18"/>
          <w:szCs w:val="18"/>
          <w:color w:val="auto"/>
        </w:rPr>
        <w:t>” means any corporation or trade or business (whether or not incorporated) which is treated with Parent or any of its Subsidiaries as a single employer within the meaning of Section 414 of the Code.</w:t>
      </w:r>
    </w:p>
    <w:p>
      <w:pPr>
        <w:spacing w:after="0" w:line="170" w:lineRule="exact"/>
        <w:rPr>
          <w:sz w:val="20"/>
          <w:szCs w:val="20"/>
          <w:color w:val="auto"/>
        </w:rPr>
      </w:pPr>
    </w:p>
    <w:p>
      <w:pPr>
        <w:ind w:left="140" w:right="40" w:firstLine="1292"/>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Excess Amount</w:t>
      </w:r>
      <w:r>
        <w:rPr>
          <w:rFonts w:ascii="Arial" w:cs="Arial" w:eastAsia="Arial" w:hAnsi="Arial"/>
          <w:sz w:val="16"/>
          <w:szCs w:val="16"/>
          <w:color w:val="auto"/>
        </w:rPr>
        <w:t xml:space="preserve">” means the amount equal to the final Parent Cash, as determined in accordance with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maximum amount of the Parent Collar Range, but only to the extent such final Parent Cash is more than the maximum amount of the Parent Collar Range.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02" w:name="page403"/>
    <w:bookmarkEnd w:id="40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40" w:firstLine="1292"/>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Fundamental Representations</w:t>
      </w:r>
      <w:r>
        <w:rPr>
          <w:rFonts w:ascii="Arial" w:cs="Arial" w:eastAsia="Arial" w:hAnsi="Arial"/>
          <w:sz w:val="16"/>
          <w:szCs w:val="16"/>
          <w:color w:val="auto"/>
        </w:rPr>
        <w:t xml:space="preserve">” means the representations and warranties of Parent and Merger Sub set forth in </w:t>
      </w:r>
      <w:r>
        <w:rPr>
          <w:rFonts w:ascii="Arial" w:cs="Arial" w:eastAsia="Arial" w:hAnsi="Arial"/>
          <w:sz w:val="16"/>
          <w:szCs w:val="16"/>
          <w:u w:val="single" w:color="auto"/>
          <w:color w:val="auto"/>
        </w:rPr>
        <w:t>Sections 3.1(a)</w:t>
      </w:r>
      <w:r>
        <w:rPr>
          <w:rFonts w:ascii="Arial" w:cs="Arial" w:eastAsia="Arial" w:hAnsi="Arial"/>
          <w:sz w:val="16"/>
          <w:szCs w:val="16"/>
          <w:color w:val="auto"/>
        </w:rPr>
        <w:t xml:space="preserve"> (Due Organization; Subsidiaries),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(Authority; Binding Nature of Agreement),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(Vote Required) and </w:t>
      </w:r>
      <w:r>
        <w:rPr>
          <w:rFonts w:ascii="Arial" w:cs="Arial" w:eastAsia="Arial" w:hAnsi="Arial"/>
          <w:sz w:val="16"/>
          <w:szCs w:val="16"/>
          <w:u w:val="single" w:color="auto"/>
          <w:color w:val="auto"/>
        </w:rPr>
        <w:t>3.21</w:t>
      </w:r>
      <w:r>
        <w:rPr>
          <w:rFonts w:ascii="Arial" w:cs="Arial" w:eastAsia="Arial" w:hAnsi="Arial"/>
          <w:sz w:val="16"/>
          <w:szCs w:val="16"/>
          <w:color w:val="auto"/>
        </w:rPr>
        <w:t xml:space="preserve"> (No Financial Advisors).</w:t>
      </w:r>
    </w:p>
    <w:p>
      <w:pPr>
        <w:spacing w:after="0" w:line="125" w:lineRule="exact"/>
        <w:rPr>
          <w:sz w:val="20"/>
          <w:szCs w:val="20"/>
          <w:color w:val="auto"/>
        </w:rPr>
      </w:pPr>
    </w:p>
    <w:p>
      <w:pPr>
        <w:ind w:left="140" w:right="20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IP Rights</w:t>
      </w:r>
      <w:r>
        <w:rPr>
          <w:rFonts w:ascii="Arial" w:cs="Arial" w:eastAsia="Arial" w:hAnsi="Arial"/>
          <w:sz w:val="18"/>
          <w:szCs w:val="18"/>
          <w:color w:val="auto"/>
        </w:rPr>
        <w:t>” means all Intellectual Property owned by or licensed to Parent that is necessary for or used in, and material to, the business of Parent as presently conducted.</w:t>
      </w:r>
    </w:p>
    <w:p>
      <w:pPr>
        <w:spacing w:after="0" w:line="170" w:lineRule="exact"/>
        <w:rPr>
          <w:sz w:val="20"/>
          <w:szCs w:val="20"/>
          <w:color w:val="auto"/>
        </w:rPr>
      </w:pPr>
    </w:p>
    <w:p>
      <w:pPr>
        <w:ind w:left="140" w:right="20" w:firstLine="1292"/>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Material Adverse Effect</w:t>
      </w:r>
      <w:r>
        <w:rPr>
          <w:rFonts w:ascii="Arial" w:cs="Arial" w:eastAsia="Arial" w:hAnsi="Arial"/>
          <w:sz w:val="16"/>
          <w:szCs w:val="16"/>
          <w:color w:val="auto"/>
        </w:rPr>
        <w:t xml:space="preserve">” means any Effect that, considered together with all other Effects that have occurred prior to the date of determination of the occurrence of a Parent Material Adverse Effect, has or would reasonably be expected to have a material adverse effect on the business, condition (financial or otherwise), assets, liabilities or results of operations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Effects arising or resulting from the following shall not be taken into account in determining whether there has been a Parent Material Adverse Effect: (a) general business or economic conditions affecting the industry in which Parent operates, (b) acts of war, armed hostilities or terrorism, (c) changes in financial, banking or securities markets, (d) the taking of any action required to be taken by this Agreement, (e)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w:t>
      </w:r>
    </w:p>
    <w:p>
      <w:pPr>
        <w:spacing w:after="0" w:line="2" w:lineRule="exact"/>
        <w:rPr>
          <w:sz w:val="20"/>
          <w:szCs w:val="20"/>
          <w:color w:val="auto"/>
        </w:rPr>
      </w:pPr>
    </w:p>
    <w:p>
      <w:pPr>
        <w:ind w:left="140" w:right="140" w:firstLine="2"/>
        <w:spacing w:after="0" w:line="301" w:lineRule="auto"/>
        <w:tabs>
          <w:tab w:leader="none" w:pos="36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clinical trial programs or studies, including any adverse data, event or outcome arising out of or related to any such programs or studies or (g) the announcement of this Agreement or the pendency of the Contemplated Transactions except in each case with respect to clauses (a) through (c), to the extent disproportionately affecting Parent relative to other similarly situated companies in the industries in which Parent operates.</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Options</w:t>
      </w:r>
      <w:r>
        <w:rPr>
          <w:rFonts w:ascii="Arial" w:cs="Arial" w:eastAsia="Arial" w:hAnsi="Arial"/>
          <w:sz w:val="18"/>
          <w:szCs w:val="18"/>
          <w:color w:val="auto"/>
        </w:rPr>
        <w:t>” means options or other rights to purchase shares of Parent Common Stock issued by Parent.</w:t>
      </w:r>
    </w:p>
    <w:p>
      <w:pPr>
        <w:spacing w:after="0" w:line="224" w:lineRule="exact"/>
        <w:rPr>
          <w:sz w:val="20"/>
          <w:szCs w:val="20"/>
          <w:color w:val="auto"/>
        </w:rPr>
      </w:pPr>
    </w:p>
    <w:p>
      <w:pPr>
        <w:ind w:left="140"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Registered IP</w:t>
      </w:r>
      <w:r>
        <w:rPr>
          <w:rFonts w:ascii="Arial" w:cs="Arial" w:eastAsia="Arial" w:hAnsi="Arial"/>
          <w:sz w:val="18"/>
          <w:szCs w:val="18"/>
          <w:color w:val="auto"/>
        </w:rPr>
        <w:t>” means all Parent IP Rights that are owned by Parent that are registered, filed or issued under the authority of, with or by any Governmental Body, including all Patents, registered Copyrights, and registered Trademarks (including domain names) and all applications for any of the foregoing.</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RSUs</w:t>
      </w:r>
      <w:r>
        <w:rPr>
          <w:rFonts w:ascii="Arial" w:cs="Arial" w:eastAsia="Arial" w:hAnsi="Arial"/>
          <w:sz w:val="18"/>
          <w:szCs w:val="18"/>
          <w:color w:val="auto"/>
        </w:rPr>
        <w:t>” means restricted stock units issued by Parent.</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Stockholder Support Agreements</w:t>
      </w:r>
      <w:r>
        <w:rPr>
          <w:rFonts w:ascii="Arial" w:cs="Arial" w:eastAsia="Arial" w:hAnsi="Arial"/>
          <w:sz w:val="18"/>
          <w:szCs w:val="18"/>
          <w:color w:val="auto"/>
        </w:rPr>
        <w:t>” shall have the meaning set forth in the recitals.</w:t>
      </w:r>
    </w:p>
    <w:p>
      <w:pPr>
        <w:spacing w:after="0" w:line="224" w:lineRule="exact"/>
        <w:rPr>
          <w:sz w:val="20"/>
          <w:szCs w:val="20"/>
          <w:color w:val="auto"/>
        </w:rPr>
      </w:pPr>
    </w:p>
    <w:p>
      <w:pPr>
        <w:ind w:left="140" w:right="20" w:firstLine="129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Triggering Event</w:t>
      </w:r>
      <w:r>
        <w:rPr>
          <w:rFonts w:ascii="Arial" w:cs="Arial" w:eastAsia="Arial" w:hAnsi="Arial"/>
          <w:sz w:val="17"/>
          <w:szCs w:val="17"/>
          <w:color w:val="auto"/>
        </w:rPr>
        <w:t xml:space="preserve">” shall be deemed to have occurred if: (a) Parent shall have failed to include in the Proxy Statement the Parent Board Recommendation or shall have made a Parent Board Adverse Recommendation Change; (b) the Parent Board or any committee thereof shall have publicly approved, endorsed or recommended any Acquisition Proposal; or (c) Parent shall have entered into any letter of intent or similar document or any Contract relating to any Acquisition Proposal (other than a confidentiality agreement permitted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403" w:name="page404"/>
    <w:bookmarkEnd w:id="40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the Company, Merger Sub and Parent.</w:t>
      </w:r>
    </w:p>
    <w:p>
      <w:pPr>
        <w:spacing w:after="0" w:line="224" w:lineRule="exact"/>
        <w:rPr>
          <w:sz w:val="20"/>
          <w:szCs w:val="20"/>
          <w:color w:val="auto"/>
        </w:rPr>
      </w:pPr>
    </w:p>
    <w:p>
      <w:pPr>
        <w:ind w:left="140" w:right="18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Alternative Agreement</w:t>
      </w:r>
      <w:r>
        <w:rPr>
          <w:rFonts w:ascii="Arial" w:cs="Arial" w:eastAsia="Arial" w:hAnsi="Arial"/>
          <w:sz w:val="18"/>
          <w:szCs w:val="18"/>
          <w:color w:val="auto"/>
        </w:rPr>
        <w:t>” means a definitive agreement that contemplates or otherwise relates to an Acquisition Transaction that constitutes a Superior Offer.</w:t>
      </w:r>
    </w:p>
    <w:p>
      <w:pPr>
        <w:spacing w:after="0" w:line="170" w:lineRule="exact"/>
        <w:rPr>
          <w:sz w:val="20"/>
          <w:szCs w:val="20"/>
          <w:color w:val="auto"/>
        </w:rPr>
      </w:pPr>
    </w:p>
    <w:p>
      <w:pPr>
        <w:ind w:left="140" w:right="40" w:firstLine="129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Encumbrance</w:t>
      </w:r>
      <w:r>
        <w:rPr>
          <w:rFonts w:ascii="Arial" w:cs="Arial" w:eastAsia="Arial" w:hAnsi="Arial"/>
          <w:sz w:val="17"/>
          <w:szCs w:val="17"/>
          <w:color w:val="auto"/>
        </w:rPr>
        <w:t>” means: (a) any liens for current Taxes not yet due and payable or for Taxes that are being contested in good faith and for which adequate reserves have been made on the Company Unaudited Interim Balance Sheet or the Parent Balance Sheet, as applicable; (b) minor liens that have arisen in the Ordinary Course of Business and that do not (in any case or in the aggregate) materially detract from the value of the assets or properties subject thereto or materially impair the operations of the Company or any of its Subsidiaries or Parent, as applicable;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granted by the Company or any of its Subsidiaries or Parent, as applicable, in the Ordinary Course of Business and that do not (in any case or in the aggregate) materially detract from the value of the Intellectual Property subject thereto; and (f) statutory liens in favor of carriers, warehousemen, mechanics and materialmen, to secure claims for labor, materials or supplies.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Body.</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means the proxy statement to be sent to Parent’s stockholders in connection with the Parent Stockholders’ Meeting.</w:t>
      </w:r>
    </w:p>
    <w:p>
      <w:pPr>
        <w:spacing w:after="0" w:line="247" w:lineRule="exact"/>
        <w:rPr>
          <w:sz w:val="20"/>
          <w:szCs w:val="20"/>
          <w:color w:val="auto"/>
        </w:rPr>
      </w:pPr>
    </w:p>
    <w:p>
      <w:pPr>
        <w:ind w:left="140" w:firstLine="129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means the registration statement on Form S-4 (or any other applicable form under the Securities Act to register Parent Common Stock) to be filed with the SEC by Parent registering the public offering and sale of Parent Common Stock to some or all holders of Company Common Stock in the Merger, including all shares of Parent Common Stock to be issued in exchange for all other shares of Company Common Stock in the Merger, as said registration statement may be amended prior to the time it is declared effective by the SEC.</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means directors, officers, employees, agents, attorneys, accountants, investment bankers, advisors and representatives.</w:t>
      </w:r>
    </w:p>
    <w:p>
      <w:pPr>
        <w:spacing w:after="0" w:line="2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4" w:lineRule="exact"/>
        <w:rPr>
          <w:sz w:val="20"/>
          <w:szCs w:val="20"/>
          <w:color w:val="auto"/>
        </w:rPr>
      </w:pPr>
    </w:p>
    <w:p>
      <w:pPr>
        <w:ind w:left="140" w:right="180"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170" w:lineRule="exact"/>
        <w:rPr>
          <w:sz w:val="20"/>
          <w:szCs w:val="20"/>
          <w:color w:val="auto"/>
        </w:rPr>
      </w:pPr>
    </w:p>
    <w:p>
      <w:pPr>
        <w:ind w:left="140" w:right="100" w:firstLine="1292"/>
        <w:spacing w:after="0" w:line="258"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04" w:name="page405"/>
    <w:bookmarkEnd w:id="40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0" w:right="100" w:firstLine="12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greater than 50% for these purposes) that: (a) was not obtained or made as a direct or indirect result of a breach of (or in violation of) this Agreement; and (b) is on terms and conditions that the Parent Board or the Company Board, as applicable, determines in good faith, based on such matters that it deems relevant (including the likelihood of consummation thereof), as well as any written offer by the other Party to this Agreement to amend the terms of this Agreement, and following consultation with its outside legal counsel and outside financial advisors, if any, are more favorable, from a financial point of view, to Parent’s stockholders or the Company’s stockholders, as applicable, than the terms of the Contemplated Transactions.</w:t>
      </w:r>
    </w:p>
    <w:p>
      <w:pPr>
        <w:spacing w:after="0" w:line="18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Takeover Statute</w:t>
      </w:r>
      <w:r>
        <w:rPr>
          <w:rFonts w:ascii="Arial" w:cs="Arial" w:eastAsia="Arial" w:hAnsi="Arial"/>
          <w:sz w:val="18"/>
          <w:szCs w:val="18"/>
          <w:color w:val="auto"/>
        </w:rPr>
        <w:t>” means any “fair price,” “moratorium,” “control share acquisition” or other similar anti-takeover Law.</w:t>
      </w:r>
    </w:p>
    <w:p>
      <w:pPr>
        <w:spacing w:after="0" w:line="224" w:lineRule="exact"/>
        <w:rPr>
          <w:sz w:val="20"/>
          <w:szCs w:val="20"/>
          <w:color w:val="auto"/>
        </w:rPr>
      </w:pPr>
    </w:p>
    <w:p>
      <w:pPr>
        <w:ind w:left="140" w:right="420" w:firstLine="1292"/>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federal, state, local, foreign or other tax, including any income, capital gain, gross receipts, capital stock, profits, transfer, estimated, registration, stamp, premium, escheat, unclaimed property, customs duty, ad valorem, occupancy, occupation, alternative, add-on, windfall profits, value added, severance, property, business, production, sales, use, license, excise, franchise, employment, payroll, social security, disability, unemployment, workers’ compensation, national health insurance, withholding or other taxes, duties, fees, assessments or governmental charges, surtaxes or deficiencies in the nature of a tax, however denominated, and including any fine, penalty, addition to tax or interest imposed by a Governmental Body with respect thereto.</w:t>
      </w:r>
    </w:p>
    <w:p>
      <w:pPr>
        <w:spacing w:after="0" w:line="193" w:lineRule="exact"/>
        <w:rPr>
          <w:sz w:val="20"/>
          <w:szCs w:val="20"/>
          <w:color w:val="auto"/>
        </w:rPr>
      </w:pPr>
    </w:p>
    <w:p>
      <w:pPr>
        <w:ind w:left="140" w:firstLine="1292"/>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(including any information return), report, statement, declaration, estimate, schedule, notice, notification, form, election, certificate or other document,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Law relating to any Tax.</w:t>
      </w:r>
    </w:p>
    <w:p>
      <w:pPr>
        <w:spacing w:after="0" w:line="171" w:lineRule="exact"/>
        <w:rPr>
          <w:sz w:val="20"/>
          <w:szCs w:val="20"/>
          <w:color w:val="auto"/>
        </w:rPr>
      </w:pPr>
    </w:p>
    <w:p>
      <w:pPr>
        <w:ind w:left="140" w:right="20" w:firstLine="129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Expenses</w:t>
      </w:r>
      <w:r>
        <w:rPr>
          <w:rFonts w:ascii="Arial" w:cs="Arial" w:eastAsia="Arial" w:hAnsi="Arial"/>
          <w:sz w:val="16"/>
          <w:szCs w:val="16"/>
          <w:color w:val="auto"/>
        </w:rPr>
        <w:t>” means, with respect to any Person, the sum of (a) the cash cost of any change of control payments, retention payments, transaction payments, similar payments or severance payments that are or become due to any current or former employee, officer, director or independent contractor of such Person or its Subsidiaries in connection with the consummation of the Contemplated Transactions and that are unpaid as of the Closing (plus the employer portion of all employment, unemployment, payroll and similar Taxes payable thereon), (b) any costs, fees and expenses incurred by such Person or its Subsidiaries, or for which such Person or its Subsidiaries is liable, in connection with the negotiation, preparation and execution of this Agreement and the consummation of the Contemplated Transactions and that are unpaid as of the Closing, including brokerage fees and commissions, finders’ fees or financial advisory fees, or any fees and expenses of counsel, accountants or other advisors payable by such Person or its Subsidiaries, and (c) in the case of the Company, any costs, fees and expenses for which the Company or its Subsidiaries are liable pursuant to the terms of this Agreement and which were paid by Parent at or prior to Closing on behalf of the Company and not reimbursed by the Company at or prior to Closing.</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405" w:name="page406"/>
    <w:bookmarkEnd w:id="40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4" w:lineRule="exact"/>
        <w:rPr>
          <w:sz w:val="20"/>
          <w:szCs w:val="20"/>
          <w:color w:val="auto"/>
        </w:rPr>
      </w:pPr>
    </w:p>
    <w:p>
      <w:pPr>
        <w:ind w:left="1480" w:hanging="692"/>
        <w:spacing w:after="0"/>
        <w:tabs>
          <w:tab w:leader="none" w:pos="14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ind w:left="940"/>
              <w:spacing w:after="0"/>
              <w:rPr>
                <w:sz w:val="20"/>
                <w:szCs w:val="20"/>
                <w:color w:val="auto"/>
              </w:rPr>
            </w:pPr>
            <w:r>
              <w:rPr>
                <w:rFonts w:ascii="Arial" w:cs="Arial" w:eastAsia="Arial" w:hAnsi="Arial"/>
                <w:sz w:val="18"/>
                <w:szCs w:val="18"/>
                <w:b w:val="1"/>
                <w:bCs w:val="1"/>
                <w:color w:val="auto"/>
              </w:rPr>
              <w:t>Term</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20" w:type="dxa"/>
            <w:vAlign w:val="bottom"/>
          </w:tcPr>
          <w:p>
            <w:pPr>
              <w:ind w:left="1420"/>
              <w:spacing w:after="0"/>
              <w:rPr>
                <w:sz w:val="20"/>
                <w:szCs w:val="20"/>
                <w:color w:val="auto"/>
              </w:rPr>
            </w:pPr>
            <w:r>
              <w:rPr>
                <w:rFonts w:ascii="Arial" w:cs="Arial" w:eastAsia="Arial" w:hAnsi="Arial"/>
                <w:sz w:val="18"/>
                <w:szCs w:val="18"/>
                <w:b w:val="1"/>
                <w:bCs w:val="1"/>
                <w:color w:val="auto"/>
              </w:rPr>
              <w:t>Section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vMerge w:val="restart"/>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280G Approval</w:t>
            </w:r>
          </w:p>
        </w:tc>
        <w:tc>
          <w:tcPr>
            <w:tcW w:w="53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Allocation Certificate</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5.18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Anti-Bribery Laws</w:t>
            </w:r>
          </w:p>
        </w:tc>
        <w:tc>
          <w:tcPr>
            <w:tcW w:w="53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2.23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Antitrust Division</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5.4(b)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Assumed Option</w:t>
            </w:r>
          </w:p>
        </w:tc>
        <w:tc>
          <w:tcPr>
            <w:tcW w:w="53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Benefit Plan</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2.17(a)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Date</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3.6(a)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Certificate of Merger</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Certification</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Closing</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53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Audited Financial Statements</w:t>
            </w:r>
          </w:p>
        </w:tc>
        <w:tc>
          <w:tcPr>
            <w:tcW w:w="530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5.19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5.2(c)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Budget</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4.2(b)(v)</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Financials</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2.7(a)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Interim Financial Statements</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5.19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Material Contract</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2.13(a)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Plan</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2.6(c)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Permits</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2.14(b)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2.6(a)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Products</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2.14(d)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Real Estate Leases</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2.11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Regulatory Permits</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2.14(d)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Stock Certificate</w:t>
            </w:r>
          </w:p>
        </w:tc>
        <w:tc>
          <w:tcPr>
            <w:tcW w:w="5300" w:type="dxa"/>
            <w:vAlign w:val="bottom"/>
            <w:gridSpan w:val="3"/>
          </w:tcPr>
          <w:p>
            <w:pPr>
              <w:ind w:left="188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Stockholder Support Agreement</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Recitals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Company Stockholder Written Consent</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Recitals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Termination Fee</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9.3(b)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Continuing Employees</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5.7(a)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Cooley</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Corporate Name Change</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1.4(b)</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5.8(a)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D&amp;O Indemnified Parties</w:t>
            </w:r>
          </w:p>
        </w:tc>
        <w:tc>
          <w:tcPr>
            <w:tcW w:w="158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5.8(a)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Dechert</w:t>
            </w:r>
          </w:p>
        </w:tc>
        <w:tc>
          <w:tcPr>
            <w:tcW w:w="15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5.1(a)</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Dissenting Shares</w:t>
            </w:r>
          </w:p>
        </w:tc>
        <w:tc>
          <w:tcPr>
            <w:tcW w:w="1580" w:type="dxa"/>
            <w:vAlign w:val="bottom"/>
          </w:tcPr>
          <w:p>
            <w:pPr>
              <w:spacing w:after="0"/>
              <w:rPr>
                <w:sz w:val="19"/>
                <w:szCs w:val="19"/>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1.8(a)</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9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300" w:type="dxa"/>
            <w:vAlign w:val="bottom"/>
            <w:gridSpan w:val="3"/>
          </w:tcPr>
          <w:p>
            <w:pPr>
              <w:ind w:left="760"/>
              <w:spacing w:after="0"/>
              <w:rPr>
                <w:sz w:val="20"/>
                <w:szCs w:val="20"/>
                <w:color w:val="auto"/>
              </w:rPr>
            </w:pPr>
            <w:r>
              <w:rPr>
                <w:rFonts w:ascii="Arial" w:cs="Arial" w:eastAsia="Arial" w:hAnsi="Arial"/>
                <w:sz w:val="18"/>
                <w:szCs w:val="18"/>
                <w:color w:val="auto"/>
              </w:rPr>
              <w:t>A-14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06" w:name="page407"/>
    <w:bookmarkEnd w:id="40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Drug Regulatory Agency</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2.14(a)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Effective Time</w:t>
            </w:r>
          </w:p>
        </w:tc>
        <w:tc>
          <w:tcPr>
            <w:tcW w:w="5080" w:type="dxa"/>
            <w:vAlign w:val="bottom"/>
          </w:tcPr>
          <w:p>
            <w:pPr>
              <w:ind w:left="1660"/>
              <w:spacing w:after="0"/>
              <w:rPr>
                <w:sz w:val="20"/>
                <w:szCs w:val="20"/>
                <w:color w:val="auto"/>
              </w:rPr>
            </w:pPr>
            <w:r>
              <w:rPr>
                <w:rFonts w:ascii="Arial" w:cs="Arial" w:eastAsia="Arial" w:hAnsi="Arial"/>
                <w:sz w:val="18"/>
                <w:szCs w:val="18"/>
                <w:color w:val="auto"/>
              </w:rPr>
              <w:t>1.3</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End Date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9.1(b)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Exchange Agent</w:t>
            </w:r>
          </w:p>
        </w:tc>
        <w:tc>
          <w:tcPr>
            <w:tcW w:w="5080" w:type="dxa"/>
            <w:vAlign w:val="bottom"/>
          </w:tcPr>
          <w:p>
            <w:pPr>
              <w:ind w:left="1660"/>
              <w:spacing w:after="0"/>
              <w:rPr>
                <w:sz w:val="20"/>
                <w:szCs w:val="20"/>
                <w:color w:val="auto"/>
              </w:rPr>
            </w:pPr>
            <w:r>
              <w:rPr>
                <w:rFonts w:ascii="Arial" w:cs="Arial" w:eastAsia="Arial" w:hAnsi="Arial"/>
                <w:sz w:val="18"/>
                <w:szCs w:val="18"/>
                <w:color w:val="auto"/>
              </w:rPr>
              <w:t>1.7(a)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Exchange Fund</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1.7(a)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FDA</w:t>
            </w:r>
          </w:p>
        </w:tc>
        <w:tc>
          <w:tcPr>
            <w:tcW w:w="5080" w:type="dxa"/>
            <w:vAlign w:val="bottom"/>
          </w:tcPr>
          <w:p>
            <w:pPr>
              <w:ind w:left="1660"/>
              <w:spacing w:after="0"/>
              <w:rPr>
                <w:sz w:val="20"/>
                <w:szCs w:val="20"/>
                <w:color w:val="auto"/>
              </w:rPr>
            </w:pPr>
            <w:r>
              <w:rPr>
                <w:rFonts w:ascii="Arial" w:cs="Arial" w:eastAsia="Arial" w:hAnsi="Arial"/>
                <w:sz w:val="18"/>
                <w:szCs w:val="18"/>
                <w:color w:val="auto"/>
              </w:rPr>
              <w:t>2.14(a)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FDCA</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2.14(a)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Filing Determination Date</w:t>
            </w:r>
          </w:p>
        </w:tc>
        <w:tc>
          <w:tcPr>
            <w:tcW w:w="5080" w:type="dxa"/>
            <w:vAlign w:val="bottom"/>
          </w:tcPr>
          <w:p>
            <w:pPr>
              <w:ind w:left="1660"/>
              <w:spacing w:after="0"/>
              <w:rPr>
                <w:sz w:val="20"/>
                <w:szCs w:val="20"/>
                <w:color w:val="auto"/>
              </w:rPr>
            </w:pPr>
            <w:r>
              <w:rPr>
                <w:rFonts w:ascii="Arial" w:cs="Arial" w:eastAsia="Arial" w:hAnsi="Arial"/>
                <w:sz w:val="18"/>
                <w:szCs w:val="18"/>
                <w:color w:val="auto"/>
              </w:rPr>
              <w:t>5.4(b)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Plans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2.17(m)</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FTC</w:t>
            </w:r>
          </w:p>
        </w:tc>
        <w:tc>
          <w:tcPr>
            <w:tcW w:w="5080" w:type="dxa"/>
            <w:vAlign w:val="bottom"/>
          </w:tcPr>
          <w:p>
            <w:pPr>
              <w:ind w:left="1660"/>
              <w:spacing w:after="0"/>
              <w:rPr>
                <w:sz w:val="20"/>
                <w:szCs w:val="20"/>
                <w:color w:val="auto"/>
              </w:rPr>
            </w:pPr>
            <w:r>
              <w:rPr>
                <w:rFonts w:ascii="Arial" w:cs="Arial" w:eastAsia="Arial" w:hAnsi="Arial"/>
                <w:sz w:val="18"/>
                <w:szCs w:val="18"/>
                <w:color w:val="auto"/>
              </w:rPr>
              <w:t>5.4(b)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HIPAA</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2.14(g)</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Intended Tax Treatment</w:t>
            </w:r>
          </w:p>
        </w:tc>
        <w:tc>
          <w:tcPr>
            <w:tcW w:w="5080" w:type="dxa"/>
            <w:vAlign w:val="bottom"/>
          </w:tcPr>
          <w:p>
            <w:pPr>
              <w:ind w:left="1660"/>
              <w:spacing w:after="0"/>
              <w:rPr>
                <w:sz w:val="20"/>
                <w:szCs w:val="20"/>
                <w:color w:val="auto"/>
              </w:rPr>
            </w:pPr>
            <w:r>
              <w:rPr>
                <w:rFonts w:ascii="Arial" w:cs="Arial" w:eastAsia="Arial" w:hAnsi="Arial"/>
                <w:sz w:val="18"/>
                <w:szCs w:val="18"/>
                <w:color w:val="auto"/>
              </w:rPr>
              <w:t>5.12(a)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Investor Agreements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2.22(b)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Liability</w:t>
            </w:r>
          </w:p>
        </w:tc>
        <w:tc>
          <w:tcPr>
            <w:tcW w:w="5080" w:type="dxa"/>
            <w:vAlign w:val="bottom"/>
          </w:tcPr>
          <w:p>
            <w:pPr>
              <w:ind w:left="166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Lock-Up Agreement</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7.7</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Merger</w:t>
            </w:r>
          </w:p>
        </w:tc>
        <w:tc>
          <w:tcPr>
            <w:tcW w:w="5080" w:type="dxa"/>
            <w:vAlign w:val="bottom"/>
          </w:tcPr>
          <w:p>
            <w:pPr>
              <w:ind w:left="1660"/>
              <w:spacing w:after="0"/>
              <w:rPr>
                <w:sz w:val="20"/>
                <w:szCs w:val="20"/>
                <w:color w:val="auto"/>
              </w:rPr>
            </w:pPr>
            <w:r>
              <w:rPr>
                <w:rFonts w:ascii="Arial" w:cs="Arial" w:eastAsia="Arial" w:hAnsi="Arial"/>
                <w:sz w:val="18"/>
                <w:szCs w:val="18"/>
                <w:color w:val="auto"/>
              </w:rPr>
              <w:t>Recitals</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Merger Approval Date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5.24(a)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Merger Consideration</w:t>
            </w:r>
          </w:p>
        </w:tc>
        <w:tc>
          <w:tcPr>
            <w:tcW w:w="5080" w:type="dxa"/>
            <w:vAlign w:val="bottom"/>
          </w:tcPr>
          <w:p>
            <w:pPr>
              <w:ind w:left="1660"/>
              <w:spacing w:after="0"/>
              <w:rPr>
                <w:sz w:val="20"/>
                <w:szCs w:val="20"/>
                <w:color w:val="auto"/>
              </w:rPr>
            </w:pPr>
            <w:r>
              <w:rPr>
                <w:rFonts w:ascii="Arial" w:cs="Arial" w:eastAsia="Arial" w:hAnsi="Arial"/>
                <w:sz w:val="18"/>
                <w:szCs w:val="18"/>
                <w:color w:val="auto"/>
              </w:rPr>
              <w:t>1.5(a)(ii)</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NASDAQ Listing Application</w:t>
            </w:r>
          </w:p>
        </w:tc>
        <w:tc>
          <w:tcPr>
            <w:tcW w:w="5080" w:type="dxa"/>
            <w:vAlign w:val="bottom"/>
          </w:tcPr>
          <w:p>
            <w:pPr>
              <w:ind w:left="1660"/>
              <w:spacing w:after="0"/>
              <w:rPr>
                <w:sz w:val="20"/>
                <w:szCs w:val="20"/>
                <w:color w:val="auto"/>
              </w:rPr>
            </w:pPr>
            <w:r>
              <w:rPr>
                <w:rFonts w:ascii="Arial" w:cs="Arial" w:eastAsia="Arial" w:hAnsi="Arial"/>
                <w:sz w:val="18"/>
                <w:szCs w:val="18"/>
                <w:color w:val="auto"/>
              </w:rPr>
              <w:t>5.11</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Preamble</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Benefit Plan</w:t>
            </w:r>
          </w:p>
        </w:tc>
        <w:tc>
          <w:tcPr>
            <w:tcW w:w="5080" w:type="dxa"/>
            <w:vAlign w:val="bottom"/>
          </w:tcPr>
          <w:p>
            <w:pPr>
              <w:ind w:left="1660"/>
              <w:spacing w:after="0"/>
              <w:rPr>
                <w:sz w:val="20"/>
                <w:szCs w:val="20"/>
                <w:color w:val="auto"/>
              </w:rPr>
            </w:pPr>
            <w:r>
              <w:rPr>
                <w:rFonts w:ascii="Arial" w:cs="Arial" w:eastAsia="Arial" w:hAnsi="Arial"/>
                <w:sz w:val="18"/>
                <w:szCs w:val="18"/>
                <w:color w:val="auto"/>
              </w:rPr>
              <w:t>3.17(a)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Board Adverse Recommendation Change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5.3(b)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Board Recommendation</w:t>
            </w:r>
          </w:p>
        </w:tc>
        <w:tc>
          <w:tcPr>
            <w:tcW w:w="5080" w:type="dxa"/>
            <w:vAlign w:val="bottom"/>
          </w:tcPr>
          <w:p>
            <w:pPr>
              <w:ind w:left="1660"/>
              <w:spacing w:after="0"/>
              <w:rPr>
                <w:sz w:val="20"/>
                <w:szCs w:val="20"/>
                <w:color w:val="auto"/>
              </w:rPr>
            </w:pPr>
            <w:r>
              <w:rPr>
                <w:rFonts w:ascii="Arial" w:cs="Arial" w:eastAsia="Arial" w:hAnsi="Arial"/>
                <w:sz w:val="18"/>
                <w:szCs w:val="18"/>
                <w:color w:val="auto"/>
              </w:rPr>
              <w:t>5.3(b)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Budget</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4.1(b)(v)</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Change in Circumstance Notice</w:t>
            </w:r>
          </w:p>
        </w:tc>
        <w:tc>
          <w:tcPr>
            <w:tcW w:w="5080" w:type="dxa"/>
            <w:vAlign w:val="bottom"/>
          </w:tcPr>
          <w:p>
            <w:pPr>
              <w:ind w:left="1660"/>
              <w:spacing w:after="0"/>
              <w:rPr>
                <w:sz w:val="20"/>
                <w:szCs w:val="20"/>
                <w:color w:val="auto"/>
              </w:rPr>
            </w:pPr>
            <w:r>
              <w:rPr>
                <w:rFonts w:ascii="Arial" w:cs="Arial" w:eastAsia="Arial" w:hAnsi="Arial"/>
                <w:sz w:val="18"/>
                <w:szCs w:val="18"/>
                <w:color w:val="auto"/>
              </w:rPr>
              <w:t>5.3(d)</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Designees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5.14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Disclosure Schedule</w:t>
            </w:r>
          </w:p>
        </w:tc>
        <w:tc>
          <w:tcPr>
            <w:tcW w:w="5080" w:type="dxa"/>
            <w:vAlign w:val="bottom"/>
          </w:tcPr>
          <w:p>
            <w:pPr>
              <w:ind w:left="1660"/>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IP Agreements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3.12</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Material Contract</w:t>
            </w:r>
          </w:p>
        </w:tc>
        <w:tc>
          <w:tcPr>
            <w:tcW w:w="5080" w:type="dxa"/>
            <w:vAlign w:val="bottom"/>
          </w:tcPr>
          <w:p>
            <w:pPr>
              <w:ind w:left="1660"/>
              <w:spacing w:after="0"/>
              <w:rPr>
                <w:sz w:val="20"/>
                <w:szCs w:val="20"/>
                <w:color w:val="auto"/>
              </w:rPr>
            </w:pPr>
            <w:r>
              <w:rPr>
                <w:rFonts w:ascii="Arial" w:cs="Arial" w:eastAsia="Arial" w:hAnsi="Arial"/>
                <w:sz w:val="18"/>
                <w:szCs w:val="18"/>
                <w:color w:val="auto"/>
              </w:rPr>
              <w:t>3.13</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Notice Period</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5.3(c)</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Permits</w:t>
            </w:r>
          </w:p>
        </w:tc>
        <w:tc>
          <w:tcPr>
            <w:tcW w:w="5080" w:type="dxa"/>
            <w:vAlign w:val="bottom"/>
          </w:tcPr>
          <w:p>
            <w:pPr>
              <w:ind w:left="1660"/>
              <w:spacing w:after="0"/>
              <w:rPr>
                <w:sz w:val="20"/>
                <w:szCs w:val="20"/>
                <w:color w:val="auto"/>
              </w:rPr>
            </w:pPr>
            <w:r>
              <w:rPr>
                <w:rFonts w:ascii="Arial" w:cs="Arial" w:eastAsia="Arial" w:hAnsi="Arial"/>
                <w:sz w:val="18"/>
                <w:szCs w:val="18"/>
                <w:color w:val="auto"/>
              </w:rPr>
              <w:t>3.14(b)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Products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3.14(d)</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Real Estate Leases</w:t>
            </w:r>
          </w:p>
        </w:tc>
        <w:tc>
          <w:tcPr>
            <w:tcW w:w="5080" w:type="dxa"/>
            <w:vAlign w:val="bottom"/>
          </w:tcPr>
          <w:p>
            <w:pPr>
              <w:ind w:left="1660"/>
              <w:spacing w:after="0"/>
              <w:rPr>
                <w:sz w:val="20"/>
                <w:szCs w:val="20"/>
                <w:color w:val="auto"/>
              </w:rPr>
            </w:pPr>
            <w:r>
              <w:rPr>
                <w:rFonts w:ascii="Arial" w:cs="Arial" w:eastAsia="Arial" w:hAnsi="Arial"/>
                <w:sz w:val="18"/>
                <w:szCs w:val="18"/>
                <w:color w:val="auto"/>
              </w:rPr>
              <w:t>3.10</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Regulatory Permits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3.14(d)</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SEC Documents</w:t>
            </w:r>
          </w:p>
        </w:tc>
        <w:tc>
          <w:tcPr>
            <w:tcW w:w="5080" w:type="dxa"/>
            <w:vAlign w:val="bottom"/>
          </w:tcPr>
          <w:p>
            <w:pPr>
              <w:ind w:left="1660"/>
              <w:spacing w:after="0"/>
              <w:rPr>
                <w:sz w:val="20"/>
                <w:szCs w:val="20"/>
                <w:color w:val="auto"/>
              </w:rPr>
            </w:pPr>
            <w:r>
              <w:rPr>
                <w:rFonts w:ascii="Arial" w:cs="Arial" w:eastAsia="Arial" w:hAnsi="Arial"/>
                <w:sz w:val="18"/>
                <w:szCs w:val="18"/>
                <w:color w:val="auto"/>
              </w:rPr>
              <w:t>3.7(a)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Stock Plans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3.6(c)</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Stockholder Matters</w:t>
            </w:r>
          </w:p>
        </w:tc>
        <w:tc>
          <w:tcPr>
            <w:tcW w:w="5080" w:type="dxa"/>
            <w:vAlign w:val="bottom"/>
          </w:tcPr>
          <w:p>
            <w:pPr>
              <w:ind w:left="1660"/>
              <w:spacing w:after="0"/>
              <w:rPr>
                <w:sz w:val="20"/>
                <w:szCs w:val="20"/>
                <w:color w:val="auto"/>
              </w:rPr>
            </w:pPr>
            <w:r>
              <w:rPr>
                <w:rFonts w:ascii="Arial" w:cs="Arial" w:eastAsia="Arial" w:hAnsi="Arial"/>
                <w:sz w:val="18"/>
                <w:szCs w:val="18"/>
                <w:color w:val="auto"/>
              </w:rPr>
              <w:t>5.3(a)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Parent Stockholder Support Agreement</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Recitals</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Parent Stockholders’ Meeting</w:t>
            </w:r>
          </w:p>
        </w:tc>
        <w:tc>
          <w:tcPr>
            <w:tcW w:w="5080" w:type="dxa"/>
            <w:vAlign w:val="bottom"/>
          </w:tcPr>
          <w:p>
            <w:pPr>
              <w:ind w:left="1660"/>
              <w:spacing w:after="0"/>
              <w:rPr>
                <w:sz w:val="20"/>
                <w:szCs w:val="20"/>
                <w:color w:val="auto"/>
              </w:rPr>
            </w:pPr>
            <w:r>
              <w:rPr>
                <w:rFonts w:ascii="Arial" w:cs="Arial" w:eastAsia="Arial" w:hAnsi="Arial"/>
                <w:sz w:val="18"/>
                <w:szCs w:val="18"/>
                <w:color w:val="auto"/>
              </w:rPr>
              <w:t>5.3(a)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Post-Closing Plans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5.7(a)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Pre-Closing Period</w:t>
            </w:r>
          </w:p>
        </w:tc>
        <w:tc>
          <w:tcPr>
            <w:tcW w:w="5080" w:type="dxa"/>
            <w:vAlign w:val="bottom"/>
          </w:tcPr>
          <w:p>
            <w:pPr>
              <w:ind w:left="1660"/>
              <w:spacing w:after="0"/>
              <w:rPr>
                <w:sz w:val="20"/>
                <w:szCs w:val="20"/>
                <w:color w:val="auto"/>
              </w:rPr>
            </w:pPr>
            <w:r>
              <w:rPr>
                <w:rFonts w:ascii="Arial" w:cs="Arial" w:eastAsia="Arial" w:hAnsi="Arial"/>
                <w:sz w:val="18"/>
                <w:szCs w:val="18"/>
                <w:color w:val="auto"/>
              </w:rPr>
              <w:t>4.1(a)</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Required Company Stockholder Vote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2.4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Required Parent Stockholder Merger Vote</w:t>
            </w:r>
          </w:p>
        </w:tc>
        <w:tc>
          <w:tcPr>
            <w:tcW w:w="5080" w:type="dxa"/>
            <w:vAlign w:val="bottom"/>
          </w:tcPr>
          <w:p>
            <w:pPr>
              <w:ind w:left="166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Required Parent Stockholder Reverse Split Vote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Required Parent Stockholder Vote</w:t>
            </w:r>
          </w:p>
        </w:tc>
        <w:tc>
          <w:tcPr>
            <w:tcW w:w="5080" w:type="dxa"/>
            <w:vAlign w:val="bottom"/>
          </w:tcPr>
          <w:p>
            <w:pPr>
              <w:ind w:left="1660"/>
              <w:spacing w:after="0"/>
              <w:rPr>
                <w:sz w:val="20"/>
                <w:szCs w:val="20"/>
                <w:color w:val="auto"/>
              </w:rPr>
            </w:pPr>
            <w:r>
              <w:rPr>
                <w:rFonts w:ascii="Arial" w:cs="Arial" w:eastAsia="Arial" w:hAnsi="Arial"/>
                <w:sz w:val="18"/>
                <w:szCs w:val="18"/>
                <w:color w:val="auto"/>
              </w:rPr>
              <w:t>3.4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Reverse Split</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5.24</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Shareholder HSR Filing</w:t>
            </w:r>
          </w:p>
        </w:tc>
        <w:tc>
          <w:tcPr>
            <w:tcW w:w="5080" w:type="dxa"/>
            <w:vAlign w:val="bottom"/>
          </w:tcPr>
          <w:p>
            <w:pPr>
              <w:ind w:left="1660"/>
              <w:spacing w:after="0"/>
              <w:rPr>
                <w:sz w:val="20"/>
                <w:szCs w:val="20"/>
                <w:color w:val="auto"/>
              </w:rPr>
            </w:pPr>
            <w:r>
              <w:rPr>
                <w:rFonts w:ascii="Arial" w:cs="Arial" w:eastAsia="Arial" w:hAnsi="Arial"/>
                <w:sz w:val="18"/>
                <w:szCs w:val="18"/>
                <w:color w:val="auto"/>
              </w:rPr>
              <w:t>5.4(b)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Stockholder Notice</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5.2(b)</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Surviving Corporation</w:t>
            </w:r>
          </w:p>
        </w:tc>
        <w:tc>
          <w:tcPr>
            <w:tcW w:w="5080" w:type="dxa"/>
            <w:vAlign w:val="bottom"/>
          </w:tcPr>
          <w:p>
            <w:pPr>
              <w:ind w:left="1660"/>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r>
      <w:tr>
        <w:trPr>
          <w:trHeight w:val="215"/>
        </w:trPr>
        <w:tc>
          <w:tcPr>
            <w:tcW w:w="9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Waived 280G Benefits</w:t>
            </w:r>
          </w:p>
        </w:tc>
        <w:tc>
          <w:tcPr>
            <w:tcW w:w="50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4.7</w:t>
            </w:r>
          </w:p>
        </w:tc>
        <w:tc>
          <w:tcPr>
            <w:tcW w:w="1360" w:type="dxa"/>
            <w:vAlign w:val="bottom"/>
          </w:tcPr>
          <w:p>
            <w:pPr>
              <w:spacing w:after="0"/>
              <w:rPr>
                <w:sz w:val="18"/>
                <w:szCs w:val="18"/>
                <w:color w:val="auto"/>
              </w:rPr>
            </w:pPr>
          </w:p>
        </w:tc>
      </w:tr>
      <w:tr>
        <w:trPr>
          <w:trHeight w:val="431"/>
        </w:trPr>
        <w:tc>
          <w:tcPr>
            <w:tcW w:w="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080" w:type="dxa"/>
            <w:vAlign w:val="bottom"/>
          </w:tcPr>
          <w:p>
            <w:pPr>
              <w:ind w:left="540"/>
              <w:spacing w:after="0"/>
              <w:rPr>
                <w:sz w:val="20"/>
                <w:szCs w:val="20"/>
                <w:color w:val="auto"/>
              </w:rPr>
            </w:pPr>
            <w:r>
              <w:rPr>
                <w:rFonts w:ascii="Arial" w:cs="Arial" w:eastAsia="Arial" w:hAnsi="Arial"/>
                <w:sz w:val="18"/>
                <w:szCs w:val="18"/>
                <w:color w:val="auto"/>
              </w:rPr>
              <w:t>A-15</w:t>
            </w:r>
          </w:p>
        </w:tc>
        <w:tc>
          <w:tcPr>
            <w:tcW w:w="1360" w:type="dxa"/>
            <w:vAlign w:val="bottom"/>
          </w:tcPr>
          <w:p>
            <w:pPr>
              <w:spacing w:after="0"/>
              <w:rPr>
                <w:sz w:val="24"/>
                <w:szCs w:val="24"/>
                <w:color w:val="auto"/>
              </w:rPr>
            </w:pPr>
          </w:p>
        </w:tc>
      </w:tr>
      <w:tr>
        <w:trPr>
          <w:trHeight w:val="357"/>
        </w:trPr>
        <w:tc>
          <w:tcPr>
            <w:tcW w:w="9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07" w:name="page408"/>
    <w:bookmarkEnd w:id="40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Annex B</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CERTIFICATE OF AMENDMENT OF RESTATED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INCORPORATION OF AVIRAGEN THERAPEUTICS, INC.</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Aviragen Therapeutics, Inc., a corporation organized and existing under the General Corporation Law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DOES HEREBY CERTIFY: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The name of Corporation is Aviragen Therapeutics, Inc.</w:t>
      </w:r>
    </w:p>
    <w:p>
      <w:pPr>
        <w:spacing w:after="0" w:line="224" w:lineRule="exact"/>
        <w:rPr>
          <w:sz w:val="20"/>
          <w:szCs w:val="20"/>
          <w:color w:val="auto"/>
        </w:rPr>
      </w:pPr>
    </w:p>
    <w:p>
      <w:pPr>
        <w:ind w:right="60" w:firstLine="323"/>
        <w:spacing w:after="0" w:line="276" w:lineRule="auto"/>
        <w:rPr>
          <w:sz w:val="20"/>
          <w:szCs w:val="20"/>
          <w:color w:val="auto"/>
        </w:rPr>
      </w:pPr>
      <w:r>
        <w:rPr>
          <w:rFonts w:ascii="Arial" w:cs="Arial" w:eastAsia="Arial" w:hAnsi="Arial"/>
          <w:sz w:val="18"/>
          <w:szCs w:val="18"/>
          <w:color w:val="auto"/>
        </w:rPr>
        <w:t>SECOND: The Board of Directors of the Corporation, acting in accordance with the provisions of Sections 141 and 242 of the General Corporation Law of the State of Delaware, adopted resolutions amending its Restated Certificate of Incorporation as follows: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first two sentences in Article FOURTH shall be deleted and the following paragraphs shall be inserted in lieu thereof:</w:t>
      </w:r>
      <w:r>
        <w:rPr>
          <w:rFonts w:ascii="Arial" w:cs="Arial" w:eastAsia="Arial" w:hAnsi="Arial"/>
          <w:sz w:val="29"/>
          <w:szCs w:val="29"/>
          <w:u w:val="single" w:color="auto"/>
          <w:color w:val="auto"/>
          <w:vertAlign w:val="superscript"/>
        </w:rPr>
        <w:t>[1]</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“FOURTH: The total number of shares of all classes of stock which the Corporation shall have authority to issue is 205,000,000 shares consisting of</w:t>
      </w:r>
    </w:p>
    <w:p>
      <w:pPr>
        <w:spacing w:after="0" w:line="247" w:lineRule="exact"/>
        <w:rPr>
          <w:sz w:val="20"/>
          <w:szCs w:val="20"/>
          <w:color w:val="auto"/>
        </w:rPr>
      </w:pPr>
    </w:p>
    <w:p>
      <w:pPr>
        <w:ind w:left="1180" w:hanging="365"/>
        <w:spacing w:after="0"/>
        <w:tabs>
          <w:tab w:leader="none" w:pos="11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5,000,000 shares of Preferred Stock, par value $0.10 per share, and</w:t>
      </w:r>
    </w:p>
    <w:p>
      <w:pPr>
        <w:spacing w:after="0" w:line="223" w:lineRule="exact"/>
        <w:rPr>
          <w:rFonts w:ascii="Arial" w:cs="Arial" w:eastAsia="Arial" w:hAnsi="Arial"/>
          <w:sz w:val="18"/>
          <w:szCs w:val="18"/>
          <w:color w:val="auto"/>
        </w:rPr>
      </w:pPr>
    </w:p>
    <w:p>
      <w:pPr>
        <w:ind w:left="1180" w:hanging="365"/>
        <w:spacing w:after="0"/>
        <w:tabs>
          <w:tab w:leader="none" w:pos="11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200,000,000 shares of Common Stock, par value $0.10 per share.</w:t>
      </w:r>
    </w:p>
    <w:p>
      <w:pPr>
        <w:spacing w:after="0" w:line="224" w:lineRule="exact"/>
        <w:rPr>
          <w:sz w:val="20"/>
          <w:szCs w:val="20"/>
          <w:color w:val="auto"/>
        </w:rPr>
      </w:pPr>
    </w:p>
    <w:p>
      <w:pPr>
        <w:ind w:left="500" w:right="20"/>
        <w:spacing w:after="0" w:line="306" w:lineRule="auto"/>
        <w:rPr>
          <w:sz w:val="20"/>
          <w:szCs w:val="20"/>
          <w:color w:val="auto"/>
        </w:rPr>
      </w:pPr>
      <w:r>
        <w:rPr>
          <w:rFonts w:ascii="Arial" w:cs="Arial" w:eastAsia="Arial" w:hAnsi="Arial"/>
          <w:sz w:val="17"/>
          <w:szCs w:val="17"/>
          <w:color w:val="auto"/>
        </w:rPr>
        <w:t>Except as otherwise provided by law, the shares of stock of the Corporation, regardless of class, may be issued by the Corporation from time to time in such amounts, for such consideration and for such corporate purposes as the Board of Directors may from time to time determine.</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Contingent and effective upon the filing of this Certificate of Amendment to the Restated Certificate of Incorporation (the “</w:t>
      </w:r>
      <w:r>
        <w:rPr>
          <w:rFonts w:ascii="Arial" w:cs="Arial" w:eastAsia="Arial" w:hAnsi="Arial"/>
          <w:sz w:val="18"/>
          <w:szCs w:val="18"/>
          <w:b w:val="1"/>
          <w:bCs w:val="1"/>
          <w:color w:val="auto"/>
        </w:rPr>
        <w:t>Certificate of</w:t>
      </w:r>
    </w:p>
    <w:p>
      <w:pPr>
        <w:spacing w:after="0" w:line="27" w:lineRule="exact"/>
        <w:rPr>
          <w:sz w:val="20"/>
          <w:szCs w:val="20"/>
          <w:color w:val="auto"/>
        </w:rPr>
      </w:pPr>
    </w:p>
    <w:p>
      <w:pPr>
        <w:ind w:left="500"/>
        <w:spacing w:after="0" w:line="269" w:lineRule="auto"/>
        <w:rPr>
          <w:sz w:val="20"/>
          <w:szCs w:val="20"/>
          <w:color w:val="auto"/>
        </w:rPr>
      </w:pPr>
      <w:r>
        <w:rPr>
          <w:rFonts w:ascii="Arial" w:cs="Arial" w:eastAsia="Arial" w:hAnsi="Arial"/>
          <w:sz w:val="17"/>
          <w:szCs w:val="17"/>
          <w:b w:val="1"/>
          <w:bCs w:val="1"/>
          <w:color w:val="auto"/>
        </w:rPr>
        <w:t>Amendment</w:t>
      </w:r>
      <w:r>
        <w:rPr>
          <w:rFonts w:ascii="Arial" w:cs="Arial" w:eastAsia="Arial" w:hAnsi="Arial"/>
          <w:sz w:val="17"/>
          <w:szCs w:val="17"/>
          <w:color w:val="auto"/>
        </w:rPr>
        <w:t>”) with the Secretary of State of the State of Delaware (the “</w:t>
      </w:r>
      <w:r>
        <w:rPr>
          <w:rFonts w:ascii="Arial" w:cs="Arial" w:eastAsia="Arial" w:hAnsi="Arial"/>
          <w:sz w:val="17"/>
          <w:szCs w:val="17"/>
          <w:b w:val="1"/>
          <w:bCs w:val="1"/>
          <w:color w:val="auto"/>
        </w:rPr>
        <w:t>Effective Time</w:t>
      </w:r>
      <w:r>
        <w:rPr>
          <w:rFonts w:ascii="Arial" w:cs="Arial" w:eastAsia="Arial" w:hAnsi="Arial"/>
          <w:sz w:val="17"/>
          <w:szCs w:val="17"/>
          <w:color w:val="auto"/>
        </w:rPr>
        <w:t>”), each [ ] ([ ]) shares of the Corporation’s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par value $0.10 per share, issued and outstanding prior to the Effective Time shall, automatically and without any action on the part of the respective holders thereof, be combined and converted into one (1) share of Common Stock, par value $0.10 per share, of the Corporation (the “</w:t>
      </w:r>
      <w:r>
        <w:rPr>
          <w:rFonts w:ascii="Arial" w:cs="Arial" w:eastAsia="Arial" w:hAnsi="Arial"/>
          <w:sz w:val="17"/>
          <w:szCs w:val="17"/>
          <w:b w:val="1"/>
          <w:bCs w:val="1"/>
          <w:color w:val="auto"/>
        </w:rPr>
        <w:t>Reverse Split</w:t>
      </w:r>
      <w:r>
        <w:rPr>
          <w:rFonts w:ascii="Arial" w:cs="Arial" w:eastAsia="Arial" w:hAnsi="Arial"/>
          <w:sz w:val="17"/>
          <w:szCs w:val="17"/>
          <w:color w:val="auto"/>
        </w:rPr>
        <w:t>”). No fractional share shall be issued in connection with the foregoing combination of the shares pursuant to the Reverse Split. The Corporation will pay in cash the fair value of such fractional shares, without interest and as determined in good faith by the Board of Directors of the Corporation when those entitled to receive such fractional shares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644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60" w:right="140" w:hanging="452"/>
        <w:spacing w:after="0" w:line="228" w:lineRule="auto"/>
        <w:tabs>
          <w:tab w:leader="none" w:pos="460" w:val="left"/>
        </w:tabs>
        <w:numPr>
          <w:ilvl w:val="0"/>
          <w:numId w:val="348"/>
        </w:numPr>
        <w:rPr>
          <w:rFonts w:ascii="Arial" w:cs="Arial" w:eastAsia="Arial" w:hAnsi="Arial"/>
          <w:sz w:val="29"/>
          <w:szCs w:val="29"/>
          <w:color w:val="auto"/>
          <w:vertAlign w:val="superscript"/>
        </w:rPr>
      </w:pPr>
      <w:r>
        <w:rPr>
          <w:rFonts w:ascii="Arial" w:cs="Arial" w:eastAsia="Arial" w:hAnsi="Arial"/>
          <w:sz w:val="17"/>
          <w:szCs w:val="17"/>
          <w:color w:val="auto"/>
        </w:rPr>
        <w:t>This amendment approves the reverse stock split of the Corporation’s common stock, at a ratio in the range of 10 and 20-for-1. By approving this amendment, the stockholders of the Corporation would be deemed to approve any ratios within the range referred to above, as mutually agreed by the Corporation and Vaxart. If the stock issuance proposal is not approved by the Corporation’s stockholders, the Aviragen board of directors may solely determine the reverse stock split ratio, within the range of 10 and 20-for-1, following the special meeting.</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08" w:name="page409"/>
    <w:bookmarkEnd w:id="408"/>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 xml:space="preserve">The Reverse Split shall occur automatically without any further action by the holders of Common Stock, and whether or not the certificates representing such shares of Common Stock have been surrendered to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shall not be obligated to issue certificates evidencing the shares of Common Stock issuable as a result of the Reverse Split unless the existing certificates evidencing the applicable shares of Common Stock prior to the Reverse Split are either delivered to the Corporation, or the holder notifies the Corporation that such certificates have been lost, stolen or destroyed, and executes an agreement satisfactory to the Corporation to indemnify the Corporation from any loss incurred by it in connection with such certificates.”</w:t>
      </w:r>
    </w:p>
    <w:p>
      <w:pPr>
        <w:spacing w:after="0" w:line="193" w:lineRule="exact"/>
        <w:rPr>
          <w:sz w:val="20"/>
          <w:szCs w:val="20"/>
          <w:color w:val="auto"/>
        </w:rPr>
      </w:pPr>
    </w:p>
    <w:p>
      <w:pPr>
        <w:ind w:right="420" w:firstLine="485"/>
        <w:spacing w:after="0" w:line="262" w:lineRule="auto"/>
        <w:rPr>
          <w:sz w:val="20"/>
          <w:szCs w:val="20"/>
          <w:color w:val="auto"/>
        </w:rPr>
      </w:pPr>
      <w:r>
        <w:rPr>
          <w:rFonts w:ascii="Arial" w:cs="Arial" w:eastAsia="Arial" w:hAnsi="Arial"/>
          <w:sz w:val="18"/>
          <w:szCs w:val="18"/>
          <w:color w:val="auto"/>
        </w:rPr>
        <w:t>THIRD: Thereafter pursuant to a resolution of the Board of Directors, this Certificate of Amendment was submitted to the stockholders of the Corporation for their approval, and was duly adopted at a Special Meeting of Stockholders held on [______], 2018, in accordance with the provisions of Section 242 of the General Corporation Law of the State of Delaware.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the Page Intentionally Left Blank]</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09" w:name="page410"/>
    <w:bookmarkEnd w:id="409"/>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620" w:firstLine="323"/>
        <w:spacing w:after="0" w:line="276" w:lineRule="auto"/>
        <w:rPr>
          <w:sz w:val="20"/>
          <w:szCs w:val="20"/>
          <w:color w:val="auto"/>
        </w:rPr>
      </w:pPr>
      <w:r>
        <w:rPr>
          <w:rFonts w:ascii="Arial" w:cs="Arial" w:eastAsia="Arial" w:hAnsi="Arial"/>
          <w:sz w:val="18"/>
          <w:szCs w:val="18"/>
          <w:color w:val="auto"/>
        </w:rPr>
        <w:t>IN WITNESS WHEREOF, the Corporation has caused this Certificate to be signed by its Chief Executive Officer this [ ] day of [ ], 2018.</w:t>
      </w:r>
    </w:p>
    <w:p>
      <w:pPr>
        <w:spacing w:after="0" w:line="385"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AVIRAGEN THERAPEUTICS, INC.</w:t>
      </w:r>
    </w:p>
    <w:p>
      <w:pPr>
        <w:spacing w:after="0" w:line="23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5081270</wp:posOffset>
            </wp:positionH>
            <wp:positionV relativeFrom="paragraph">
              <wp:posOffset>14605</wp:posOffset>
            </wp:positionV>
            <wp:extent cx="217043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460"/>
          </w:cols>
          <w:pgMar w:left="240" w:top="118" w:right="1199" w:bottom="1440" w:gutter="0" w:footer="0" w:header="0"/>
        </w:sectPr>
      </w:pPr>
    </w:p>
    <w:bookmarkStart w:id="410" w:name="page411"/>
    <w:bookmarkEnd w:id="41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LETTER OF STIFEL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Stifel, Nicolaus &amp; Company, Incorporated (“Stifel” or “we”) has been advised that Aviragen Therapeutics, Inc. (the “Company”) is considering entering into an Agreement and Plan of Merger and Reorganization (the “Merger Agreement”) with Vaxart, Inc. (“Seller”) and AGORA Merger Sub, Inc., a wholly-owned subsidiary of the Company (“Merger Sub”), pursuant to which Merger Sub will be merged with and into Seller (the “Merger”), with Seller continuing as the surviving corporation, and each issued and outstanding share of the capital stock of Seller (excluding any shares that are held by Seller as treasury stock or that are held or owned by Seller, any subsidiary of Seller, or Merger Sub, and shares owned by stockholders who are entitled to and who properly exercise and perfect appraisal rights, the “Shares”) will be converted into the right to receive a number of shares of the Company’s common stock, $0.10 par value per share (the “Company Common Stock”), equal to the Exchange Ratio (as defined in the Merger Agreement), on terms and conditions more fully set forth in the Merger Agreement (the aggregate number of shares of Company Common Stock issuable in the Merger to holders of Shares, the “Merger Consideration”).</w:t>
      </w:r>
    </w:p>
    <w:p>
      <w:pPr>
        <w:spacing w:after="0" w:line="16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Board of Directors of the Company (the “Board”) has requested Stifel’s opinion, as investment bankers, as to the fairness, from a financial point of view, to the Company of the Merger Consideration to be paid by the Company to the holders of Shares in the Merger pursuant to the Merger Agreement (the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 rendering our Opinion, we have, among other things:</w:t>
      </w:r>
    </w:p>
    <w:p>
      <w:pPr>
        <w:spacing w:after="0" w:line="224" w:lineRule="exact"/>
        <w:rPr>
          <w:sz w:val="20"/>
          <w:szCs w:val="20"/>
          <w:color w:val="auto"/>
        </w:rPr>
      </w:pPr>
    </w:p>
    <w:p>
      <w:pPr>
        <w:ind w:left="980" w:hanging="649"/>
        <w:spacing w:after="0"/>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the financial terms contained in a draft dated October 26, 2017 of the Merger Agreement;</w:t>
      </w:r>
    </w:p>
    <w:p>
      <w:pPr>
        <w:spacing w:after="0" w:line="223" w:lineRule="exact"/>
        <w:rPr>
          <w:rFonts w:ascii="Arial" w:cs="Arial" w:eastAsia="Arial" w:hAnsi="Arial"/>
          <w:sz w:val="18"/>
          <w:szCs w:val="18"/>
          <w:color w:val="auto"/>
        </w:rPr>
      </w:pPr>
    </w:p>
    <w:p>
      <w:pPr>
        <w:ind w:left="980" w:right="2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for the Company and Seller, respectively, and certain other relevant financial and operating data furnished to Stifel by the management of the Company;</w:t>
      </w:r>
    </w:p>
    <w:p>
      <w:pPr>
        <w:spacing w:after="0" w:line="169" w:lineRule="exact"/>
        <w:rPr>
          <w:rFonts w:ascii="Arial" w:cs="Arial" w:eastAsia="Arial" w:hAnsi="Arial"/>
          <w:sz w:val="18"/>
          <w:szCs w:val="18"/>
          <w:color w:val="auto"/>
        </w:rPr>
      </w:pPr>
    </w:p>
    <w:p>
      <w:pPr>
        <w:ind w:left="98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and analyzed certain relevant historical financial and operating data concerning the Company and Seller furnished to us by the management of the Company;</w:t>
      </w:r>
    </w:p>
    <w:p>
      <w:pPr>
        <w:spacing w:after="0" w:line="169" w:lineRule="exact"/>
        <w:rPr>
          <w:rFonts w:ascii="Arial" w:cs="Arial" w:eastAsia="Arial" w:hAnsi="Arial"/>
          <w:sz w:val="18"/>
          <w:szCs w:val="18"/>
          <w:color w:val="auto"/>
        </w:rPr>
      </w:pPr>
    </w:p>
    <w:p>
      <w:pPr>
        <w:jc w:val="both"/>
        <w:ind w:left="980" w:hanging="649"/>
        <w:spacing w:after="0" w:line="258"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and analyzed certain internal financial analyses, financial projections, reports and other information concerning the Company and Seller prepared by the management of the Company, including projections for the Company and Seller provided by the management of the Company and reflecting the probabilities of technical success determined by the management of the Company (the “Company Projections” and the “Seller Projections,” respectively), and utilized per instruction of the Company;</w:t>
      </w:r>
    </w:p>
    <w:p>
      <w:pPr>
        <w:spacing w:after="0" w:line="186" w:lineRule="exact"/>
        <w:rPr>
          <w:rFonts w:ascii="Arial" w:cs="Arial" w:eastAsia="Arial" w:hAnsi="Arial"/>
          <w:sz w:val="18"/>
          <w:szCs w:val="18"/>
          <w:color w:val="auto"/>
        </w:rPr>
      </w:pPr>
    </w:p>
    <w:p>
      <w:pPr>
        <w:jc w:val="both"/>
        <w:ind w:left="980" w:hanging="649"/>
        <w:spacing w:after="0" w:line="262"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pro forma projections for the Company and Seller giving effect to the Merger (the “Pro Forma Projections”) and reflecting the probabilities of technical success determined by the management of the Company, provided to us by the management of the Company, and utilized per instruction of the Company;</w:t>
      </w:r>
    </w:p>
    <w:p>
      <w:pPr>
        <w:spacing w:after="0" w:line="183" w:lineRule="exact"/>
        <w:rPr>
          <w:rFonts w:ascii="Arial" w:cs="Arial" w:eastAsia="Arial" w:hAnsi="Arial"/>
          <w:sz w:val="18"/>
          <w:szCs w:val="18"/>
          <w:color w:val="auto"/>
        </w:rPr>
      </w:pPr>
    </w:p>
    <w:p>
      <w:pPr>
        <w:ind w:left="98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discussed with certain members of the management of the Company the historical and current business operations, financial condition and prospects of the Company and Seller and such other matters as Stifel deemed relevant;</w:t>
      </w:r>
    </w:p>
    <w:p>
      <w:pPr>
        <w:spacing w:after="0" w:line="169" w:lineRule="exact"/>
        <w:rPr>
          <w:rFonts w:ascii="Arial" w:cs="Arial" w:eastAsia="Arial" w:hAnsi="Arial"/>
          <w:sz w:val="18"/>
          <w:szCs w:val="18"/>
          <w:color w:val="auto"/>
        </w:rPr>
      </w:pPr>
    </w:p>
    <w:p>
      <w:pPr>
        <w:ind w:left="98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and analyzed certain operating results of the Company and Seller as compared to the operating results and the reported price and trading histories of certain publicly traded companies that Stifel deemed relevant;</w:t>
      </w:r>
    </w:p>
    <w:p>
      <w:pPr>
        <w:spacing w:after="0" w:line="169" w:lineRule="exact"/>
        <w:rPr>
          <w:rFonts w:ascii="Arial" w:cs="Arial" w:eastAsia="Arial" w:hAnsi="Arial"/>
          <w:sz w:val="18"/>
          <w:szCs w:val="18"/>
          <w:color w:val="auto"/>
        </w:rPr>
      </w:pPr>
    </w:p>
    <w:p>
      <w:pPr>
        <w:ind w:left="98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and analyzed certain financial terms of the Merger as compared to the financial terms of certain selected business combinations that Stifel deemed relevant for the Company and Seller;</w:t>
      </w:r>
    </w:p>
    <w:p>
      <w:pPr>
        <w:spacing w:after="0" w:line="169" w:lineRule="exact"/>
        <w:rPr>
          <w:rFonts w:ascii="Arial" w:cs="Arial" w:eastAsia="Arial" w:hAnsi="Arial"/>
          <w:sz w:val="18"/>
          <w:szCs w:val="18"/>
          <w:color w:val="auto"/>
        </w:rPr>
      </w:pPr>
    </w:p>
    <w:p>
      <w:pPr>
        <w:ind w:left="980" w:hanging="649"/>
        <w:spacing w:after="0" w:line="276" w:lineRule="auto"/>
        <w:tabs>
          <w:tab w:leader="none" w:pos="9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certain initial public offerings that certain companies completed that Stifel deemed relevant for Seller;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1" w:name="page412"/>
    <w:bookmarkEnd w:id="41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980" w:hanging="649"/>
        <w:spacing w:after="0" w:line="276" w:lineRule="auto"/>
        <w:tabs>
          <w:tab w:leader="none" w:pos="9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and analyzed, based on the Company Projections and the Seller Projections, the cash flows generated by the Company and Seller on stand-alone bases to determine the respective present values of those discounted cash flows;</w:t>
      </w:r>
    </w:p>
    <w:p>
      <w:pPr>
        <w:spacing w:after="0" w:line="169" w:lineRule="exact"/>
        <w:rPr>
          <w:rFonts w:ascii="Arial" w:cs="Arial" w:eastAsia="Arial" w:hAnsi="Arial"/>
          <w:sz w:val="18"/>
          <w:szCs w:val="18"/>
          <w:color w:val="auto"/>
        </w:rPr>
      </w:pPr>
    </w:p>
    <w:p>
      <w:pPr>
        <w:ind w:left="980" w:hanging="649"/>
        <w:spacing w:after="0"/>
        <w:tabs>
          <w:tab w:leader="none" w:pos="9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Merger;</w:t>
      </w:r>
    </w:p>
    <w:p>
      <w:pPr>
        <w:spacing w:after="0" w:line="223" w:lineRule="exact"/>
        <w:rPr>
          <w:rFonts w:ascii="Arial" w:cs="Arial" w:eastAsia="Arial" w:hAnsi="Arial"/>
          <w:sz w:val="18"/>
          <w:szCs w:val="18"/>
          <w:color w:val="auto"/>
        </w:rPr>
      </w:pPr>
    </w:p>
    <w:p>
      <w:pPr>
        <w:ind w:left="980" w:right="20" w:hanging="649"/>
        <w:spacing w:after="0" w:line="276" w:lineRule="auto"/>
        <w:tabs>
          <w:tab w:leader="none" w:pos="9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considered the results of the Company’s efforts and our efforts, at the direction of the Company, to solicit indications of interest from selected third parties with respect to a transaction involving the Company; and</w:t>
      </w:r>
    </w:p>
    <w:p>
      <w:pPr>
        <w:spacing w:after="0" w:line="169" w:lineRule="exact"/>
        <w:rPr>
          <w:rFonts w:ascii="Arial" w:cs="Arial" w:eastAsia="Arial" w:hAnsi="Arial"/>
          <w:sz w:val="18"/>
          <w:szCs w:val="18"/>
          <w:color w:val="auto"/>
        </w:rPr>
      </w:pPr>
    </w:p>
    <w:p>
      <w:pPr>
        <w:jc w:val="both"/>
        <w:ind w:left="980" w:hanging="649"/>
        <w:spacing w:after="0" w:line="258" w:lineRule="auto"/>
        <w:tabs>
          <w:tab w:leader="none" w:pos="9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reviewed and analyzed such other information and such other factors, and conducted such other financial studies, analyses and investigations, as we deemed relevant for purposes of our Opinion. In addition, we took into account our assessment of general economic, market and financial conditions and our experience in other transactions, as well as our experience in securities valuations and our general knowledge of the industry in which the Company and Seller operate.</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rendering our Opinion, we have relied upon and assumed, without independent verification, the accuracy and completeness of all of the financial and other information that was provided to Stifel by or on behalf of the Company or Seller, or that was otherwise reviewed by Stifel, and have not assumed any responsibility for independently verifying any of such information. With respect to the financial forecasts and projections supplied to us by the Company (including, without limitation, the Company Projections, the Seller Projections and the Pro Forma Projections), we have assumed, at the direction of the Company, that they were reasonably prepared on the basis reflecting the best currently available estimates and judgments of the management of the Company as to the future operating and financial performance of the Company and Seller, as applicable, and that they provided a reasonable basis upon which we could form our opinion. Such forecasts and projections were not prepared with the expectation of public disclosure. All such forecasted and projected financial information is based on numerous variables and assumptions that are inherently uncertain, including, without limitation, factors related to general economic and competitive conditions. Accordingly, actual results could vary significantly from those set forth in such forecasted and projected financial information. Stifel has relied on this forecasted and projected information without independent verification or analyses and does not in any respect assume any responsibility for the accuracy or completeness thereof. Stifel expresses no opinion as to the Company Projections, the Seller Projections and the Pro Forma Projections or any other estimates, forecasts or projections or the assumptions on which they were made.</w:t>
      </w:r>
    </w:p>
    <w:p>
      <w:pPr>
        <w:spacing w:after="0" w:line="168"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We also assumed that there were no material changes in the assets, liabilities, financial condition, results of operations, business or prospects of either the Company or Seller since the date of the last financial statements of each company made available to us. We did not make or obtain any independent evaluation, appraisal or physical inspection of either the Company’s or Seller’s assets or liabilities, nor have we been furnished with any such evaluation or appraisal. Estimates of values of companies and assets do not purport to be appraisals or necessarily reflect the prices at which companies or assets may actually be sold. Because such estimates are inherently subject to uncertainty, Stifel assumes no responsibility for their accuracy.</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assumed, with your consent, that there are no factors that would delay or subject to any adverse conditions any necessary regulatory or governmental approval and that all conditions to the Merger will be satisfied and not waived. In addition, we have assumed that the definitive Merger Agreement will not differ materially from the draft we reviewed. We have also assumed that the Merger will be consummated substantially on the terms and conditions described in the Merger Agreement and by the management of the Company, without any waiver of material terms or conditions by the Company or any other party and without any anti-dilution or other adjustment to the Merger Consideration, and that obtaining any necessary regulatory or other approvals or satisfying any other conditions for consummation of the Merger will not have an adverse effect on the Company, Seller or the Merger. We have assumed that the Merger will be consummated in a manner that complies with the applicable provisions of the Securities Act of 1933, as amended, the Securities Exchange Act of 1934, as amended, and all other applicable federal and state statutes, rules and regulations. We have further assumed that the Company has relied upon the advice of its counsel, independent accountants and other advisors (other than Stifel) as to all legal, financial reporting, tax, accounting and regulatory matters with respect to the Company, the Merger and the Merger Agreement.</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Opinion is limited to whether the Merger Consideration to be paid by the Company to the holders of Shares is fair to the Company, from a financial point of view, and does not address any other terms, aspects or implications of the Merger including, without limitation, the form or structure of the Merger, any consequences of the Merger on the Company, its stockholders, creditors or otherwise, or any terms, aspects or implications of any voting, support, stockholder or other agreements, arrangements or understandings contemplated or entered into in connection with the Merger or otherwise. Without limiting the generality of the foregoing, we have assumed that the Exchange Ratio will not be adjusted for Company Cash or Parent Cash or for equity financings by Seller. Our Opinion also does not consider, address or include: (i) any other strategic alternatives currently (or which have been or may be) contemplated by the Board or the Company; (ii) the legal, financial reporting, tax, accounting or regulatory consequences of the Merger on the Company or the holders of the Company’s Common Stock including, without limitation, whether or not the Merger will qualify as a tax-free reorganization pursuant to Section 368 of the Internal Revenue Code; (iii) the fairness of the amount or nature of any compensation to any of the Company’s officers, directors or employees, or class of such persons, relative to the compensation to the holders of the Company’s securities; or (iv) the effect of the Merger on, or the fairness of the consideration to be received by, holders of any class of securities of the Company, or any class of securities of any other party to any transaction contemplated by the Merger Agreement. Furthermore, we are not expressing any opinion herein as to the prices, trading range or volume at which the Company’s securities will trade following public announcement or consummation of the Merger.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2" w:name="page413"/>
    <w:bookmarkEnd w:id="41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Opinion is necessarily based on economic, market, financial and other conditions as they exist on, and on the information made available to us by or on behalf of the Company or its advisors, or information otherwise reviewed by Stifel, as of the date of this Opinion. It is understood that subsequent developments may affect the conclusion reached in this Opinion and that Stifel does not have any obligation to update, revise or reaffirm this Opinion. Our Opinion is for the information of, and directed to, the Board for its information and assistance in connection with its consideration of the financial terms of the Merger. Our Opinion does not constitute a recommendation to the Board or any other person as to how the Board or any other person should vote or otherwise act on the Merger or any other matter or to any shareholder of the Company or Seller as to how any such shareholder should vote or act with respect to the Merger or any other matter, or whether or not any shareholder of the Company or Seller should enter into a voting, shareholders’, or affiliates’ agreement with respect to the Merger or exercise any dissenters’ or appraisal rights that may be available to such shareholder. In addition, the Opinion does not compare the relative merits of the Merger with any other alternative transactions or business strategies which may have been available to the Company and does not address the underlying business decision of the Board or the Company to proceed with or effect the Merger.</w:t>
      </w:r>
    </w:p>
    <w:p>
      <w:pPr>
        <w:spacing w:after="0" w:line="16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are not legal, tax, regulatory or bankruptcy advisors. We have not considered any potential legislative or regulatory changes currently being considered or recently enacted by the United States Congress, the various federal banking agencies, the Securities and Exchange Commission (the “SEC”), or any other regulatory bodies, or any changes in accounting methods or generally accepted accounting principles that may be adopted by the SEC or the Financial Accounting Standards Board, or any changes in regulatory accounting principles that may be adopted by any or all of the federal banking agencies. Our Opinion is not a solvency opinion and does not in any way address the solvency or financial condition of the Company or Seller.</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Stifel, as part of its investment banking services, is regularly engaged in the independent valuation of businesses and securities in connection with mergers, acquisitions, underwritings, sales and distributions of listed and unlisted securities, private placements and valuations for estate, corporate and other purposes. We have acted as financial advisor to the Company in connection with the Merger and will receive a fee for our services, a significant portion of which is contingent upon the completion of the Merger (the “Advisory Fee”). We also will receive a fee upon the delivery of this Opinion that is not contingent upon consummation of the Merger (the “Opinion Fee”), provided that such Opinion Fee is creditable against any Advisory Fee. We will not receive any other significant payment or compensation contingent upon the successful consummation of the Merger. In addition, the Company has agreed to indemnify us for certain liabilities arising out of our engagement. There are no material relationships that existed during the two years prior to the date of this Opinion or that are mutually understood to be contemplated in which any compensation was received or is intended to be received as a result of the relationship between Stifel and any party to the Merger. Stifel may seek to provide investment banking services to the Company or its affiliates in the future, for which we would seek customary compensation. In the ordinary course of business, Stifel and our clients may transact in the equity securities of the Company and may at any time hold a long or short position in such securities.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Stifel’s Fairness Opinion Committee has approved the issuance of this Opinion. Our Opinion may not be published or otherwise used or referred to, nor shall any public reference to Stifel be made, without our prior written consent, except in accordance with the terms and conditions of Stifel’s engagement letter with the Company.</w:t>
      </w:r>
    </w:p>
    <w:p>
      <w:pPr>
        <w:spacing w:after="0" w:line="18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Based upon and subject to the foregoing, we are of the opinion that, as of the date hereof, the Merger Consideration to be paid by the Company to the holders of Shares in the Merger pursuant to the Merger Agreement is fair to the Company, from a financial point of 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Stifel, Nicolaus &amp; Company, Incorporated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13" w:name="page414"/>
    <w:bookmarkEnd w:id="41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§262 Appraisal rights.</w:t>
      </w:r>
    </w:p>
    <w:p>
      <w:pPr>
        <w:spacing w:after="0" w:line="228" w:lineRule="exact"/>
        <w:rPr>
          <w:sz w:val="20"/>
          <w:szCs w:val="20"/>
          <w:color w:val="auto"/>
        </w:rPr>
      </w:pPr>
    </w:p>
    <w:p>
      <w:pPr>
        <w:ind w:right="140" w:firstLine="8"/>
        <w:spacing w:after="0" w:line="290" w:lineRule="auto"/>
        <w:tabs>
          <w:tab w:leader="none" w:pos="244"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66" w:lineRule="exact"/>
        <w:rPr>
          <w:rFonts w:ascii="Arial" w:cs="Arial" w:eastAsia="Arial" w:hAnsi="Arial"/>
          <w:sz w:val="16"/>
          <w:szCs w:val="16"/>
          <w:color w:val="auto"/>
        </w:rPr>
      </w:pPr>
    </w:p>
    <w:p>
      <w:pPr>
        <w:ind w:right="100" w:firstLine="8"/>
        <w:spacing w:after="0" w:line="262" w:lineRule="auto"/>
        <w:tabs>
          <w:tab w:leader="none" w:pos="25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183" w:lineRule="exact"/>
        <w:rPr>
          <w:sz w:val="20"/>
          <w:szCs w:val="20"/>
          <w:color w:val="auto"/>
        </w:rPr>
      </w:pPr>
    </w:p>
    <w:p>
      <w:pPr>
        <w:ind w:firstLine="8"/>
        <w:spacing w:after="0" w:line="295" w:lineRule="auto"/>
        <w:tabs>
          <w:tab w:leader="none" w:pos="254" w:val="left"/>
        </w:tabs>
        <w:numPr>
          <w:ilvl w:val="0"/>
          <w:numId w:val="352"/>
        </w:numPr>
        <w:rPr>
          <w:rFonts w:ascii="Arial" w:cs="Arial" w:eastAsia="Arial" w:hAnsi="Arial"/>
          <w:sz w:val="16"/>
          <w:szCs w:val="16"/>
          <w:color w:val="auto"/>
        </w:rPr>
      </w:pPr>
      <w:r>
        <w:rPr>
          <w:rFonts w:ascii="Arial" w:cs="Arial" w:eastAsia="Arial" w:hAnsi="Arial"/>
          <w:sz w:val="16"/>
          <w:szCs w:val="16"/>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61" w:lineRule="exact"/>
        <w:rPr>
          <w:rFonts w:ascii="Arial" w:cs="Arial" w:eastAsia="Arial" w:hAnsi="Arial"/>
          <w:sz w:val="16"/>
          <w:szCs w:val="16"/>
          <w:color w:val="auto"/>
        </w:rPr>
      </w:pPr>
    </w:p>
    <w:p>
      <w:pPr>
        <w:jc w:val="both"/>
        <w:ind w:right="360" w:firstLine="8"/>
        <w:spacing w:after="0" w:line="262" w:lineRule="auto"/>
        <w:tabs>
          <w:tab w:leader="none" w:pos="25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83" w:lineRule="exact"/>
        <w:rPr>
          <w:rFonts w:ascii="Arial" w:cs="Arial" w:eastAsia="Arial" w:hAnsi="Arial"/>
          <w:sz w:val="18"/>
          <w:szCs w:val="18"/>
          <w:color w:val="auto"/>
        </w:rPr>
      </w:pPr>
    </w:p>
    <w:p>
      <w:pPr>
        <w:ind w:left="820" w:hanging="166"/>
        <w:spacing w:after="0"/>
        <w:tabs>
          <w:tab w:leader="none" w:pos="8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 respect thereof;</w:t>
      </w:r>
    </w:p>
    <w:p>
      <w:pPr>
        <w:spacing w:after="0" w:line="223" w:lineRule="exact"/>
        <w:rPr>
          <w:rFonts w:ascii="Arial" w:cs="Arial" w:eastAsia="Arial" w:hAnsi="Arial"/>
          <w:sz w:val="18"/>
          <w:szCs w:val="18"/>
          <w:color w:val="auto"/>
        </w:rPr>
      </w:pPr>
    </w:p>
    <w:p>
      <w:pPr>
        <w:ind w:left="660" w:right="120" w:hanging="6"/>
        <w:spacing w:after="0" w:line="262" w:lineRule="auto"/>
        <w:tabs>
          <w:tab w:leader="none" w:pos="83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83" w:lineRule="exact"/>
        <w:rPr>
          <w:rFonts w:ascii="Arial" w:cs="Arial" w:eastAsia="Arial" w:hAnsi="Arial"/>
          <w:sz w:val="18"/>
          <w:szCs w:val="18"/>
          <w:color w:val="auto"/>
        </w:rPr>
      </w:pPr>
    </w:p>
    <w:p>
      <w:pPr>
        <w:ind w:left="820" w:hanging="166"/>
        <w:spacing w:after="0"/>
        <w:tabs>
          <w:tab w:leader="none" w:pos="82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Cash in lieu of fractional shares or fractional depository receipts described in the foregoing paragraphs (b)(2)a. and b. of this section; or</w:t>
      </w:r>
    </w:p>
    <w:p>
      <w:pPr>
        <w:spacing w:after="0" w:line="235" w:lineRule="exact"/>
        <w:rPr>
          <w:rFonts w:ascii="Arial" w:cs="Arial" w:eastAsia="Arial" w:hAnsi="Arial"/>
          <w:sz w:val="17"/>
          <w:szCs w:val="17"/>
          <w:color w:val="auto"/>
        </w:rPr>
      </w:pPr>
    </w:p>
    <w:p>
      <w:pPr>
        <w:ind w:left="660" w:right="220" w:hanging="6"/>
        <w:spacing w:after="0" w:line="276" w:lineRule="auto"/>
        <w:tabs>
          <w:tab w:leader="none" w:pos="83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169" w:lineRule="exact"/>
        <w:rPr>
          <w:rFonts w:ascii="Arial" w:cs="Arial" w:eastAsia="Arial" w:hAnsi="Arial"/>
          <w:sz w:val="18"/>
          <w:szCs w:val="18"/>
          <w:color w:val="auto"/>
        </w:rPr>
      </w:pPr>
    </w:p>
    <w:p>
      <w:pPr>
        <w:ind w:right="100" w:firstLine="8"/>
        <w:spacing w:after="0" w:line="276" w:lineRule="auto"/>
        <w:tabs>
          <w:tab w:leader="none" w:pos="25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169" w:lineRule="exact"/>
        <w:rPr>
          <w:rFonts w:ascii="Arial" w:cs="Arial" w:eastAsia="Arial" w:hAnsi="Arial"/>
          <w:sz w:val="18"/>
          <w:szCs w:val="18"/>
          <w:color w:val="auto"/>
        </w:rPr>
      </w:pPr>
    </w:p>
    <w:p>
      <w:pPr>
        <w:ind w:right="200" w:firstLine="8"/>
        <w:spacing w:after="0" w:line="258" w:lineRule="auto"/>
        <w:tabs>
          <w:tab w:leader="none" w:pos="25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187" w:lineRule="exact"/>
        <w:rPr>
          <w:sz w:val="20"/>
          <w:szCs w:val="20"/>
          <w:color w:val="auto"/>
        </w:rPr>
      </w:pPr>
    </w:p>
    <w:p>
      <w:pPr>
        <w:jc w:val="both"/>
        <w:ind w:right="60" w:firstLine="8"/>
        <w:spacing w:after="0" w:line="278" w:lineRule="auto"/>
        <w:tabs>
          <w:tab w:leader="none" w:pos="24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4" w:name="page415"/>
    <w:bookmarkEnd w:id="41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 Appraisal rights shall be perfected as follows:</w:t>
      </w:r>
    </w:p>
    <w:p>
      <w:pPr>
        <w:spacing w:after="0" w:line="224" w:lineRule="exact"/>
        <w:rPr>
          <w:sz w:val="20"/>
          <w:szCs w:val="20"/>
          <w:color w:val="auto"/>
        </w:rPr>
      </w:pPr>
    </w:p>
    <w:p>
      <w:pPr>
        <w:ind w:firstLine="8"/>
        <w:spacing w:after="0" w:line="268" w:lineRule="auto"/>
        <w:tabs>
          <w:tab w:leader="none" w:pos="25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9" w:lineRule="exact"/>
        <w:rPr>
          <w:rFonts w:ascii="Arial" w:cs="Arial" w:eastAsia="Arial" w:hAnsi="Arial"/>
          <w:sz w:val="17"/>
          <w:szCs w:val="17"/>
          <w:color w:val="auto"/>
        </w:rPr>
      </w:pPr>
    </w:p>
    <w:p>
      <w:pPr>
        <w:ind w:right="20" w:firstLine="8"/>
        <w:spacing w:after="0" w:line="283" w:lineRule="auto"/>
        <w:tabs>
          <w:tab w:leader="none" w:pos="254"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397" w:lineRule="exact"/>
        <w:rPr>
          <w:sz w:val="20"/>
          <w:szCs w:val="20"/>
          <w:color w:val="auto"/>
        </w:rPr>
      </w:pPr>
    </w:p>
    <w:p>
      <w:pPr>
        <w:ind w:firstLine="8"/>
        <w:spacing w:after="0" w:line="285" w:lineRule="auto"/>
        <w:tabs>
          <w:tab w:leader="none" w:pos="28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4" w:lineRule="exact"/>
        <w:rPr>
          <w:rFonts w:ascii="Arial" w:cs="Arial" w:eastAsia="Arial" w:hAnsi="Arial"/>
          <w:sz w:val="16"/>
          <w:szCs w:val="16"/>
          <w:color w:val="auto"/>
        </w:rPr>
      </w:pPr>
    </w:p>
    <w:p>
      <w:pPr>
        <w:ind w:right="20" w:firstLine="8"/>
        <w:spacing w:after="0" w:line="269" w:lineRule="auto"/>
        <w:tabs>
          <w:tab w:leader="none" w:pos="269" w:val="left"/>
        </w:tabs>
        <w:numPr>
          <w:ilvl w:val="0"/>
          <w:numId w:val="355"/>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5" w:name="page416"/>
    <w:bookmarkEnd w:id="415"/>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firstLine="8"/>
        <w:spacing w:after="0" w:line="289" w:lineRule="auto"/>
        <w:tabs>
          <w:tab w:leader="none" w:pos="28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65" w:lineRule="exact"/>
        <w:rPr>
          <w:rFonts w:ascii="Arial" w:cs="Arial" w:eastAsia="Arial" w:hAnsi="Arial"/>
          <w:sz w:val="16"/>
          <w:szCs w:val="16"/>
          <w:color w:val="auto"/>
        </w:rPr>
      </w:pPr>
    </w:p>
    <w:p>
      <w:pPr>
        <w:ind w:firstLine="8"/>
        <w:spacing w:after="0" w:line="282" w:lineRule="auto"/>
        <w:tabs>
          <w:tab w:leader="none" w:pos="254"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w:t>
      </w:r>
    </w:p>
    <w:p>
      <w:pPr>
        <w:spacing w:after="0" w:line="4" w:lineRule="exact"/>
        <w:rPr>
          <w:rFonts w:ascii="Arial" w:cs="Arial" w:eastAsia="Arial" w:hAnsi="Arial"/>
          <w:sz w:val="16"/>
          <w:szCs w:val="16"/>
          <w:color w:val="auto"/>
        </w:rPr>
      </w:pPr>
    </w:p>
    <w:p>
      <w:pPr>
        <w:ind w:right="280" w:firstLine="8"/>
        <w:spacing w:after="0" w:line="259" w:lineRule="auto"/>
        <w:tabs>
          <w:tab w:leader="none" w:pos="22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84" w:lineRule="exact"/>
        <w:rPr>
          <w:rFonts w:ascii="Arial" w:cs="Arial" w:eastAsia="Arial" w:hAnsi="Arial"/>
          <w:sz w:val="18"/>
          <w:szCs w:val="18"/>
          <w:color w:val="auto"/>
        </w:rPr>
      </w:pPr>
    </w:p>
    <w:p>
      <w:pPr>
        <w:ind w:right="60" w:firstLine="8"/>
        <w:spacing w:after="0" w:line="300" w:lineRule="auto"/>
        <w:tabs>
          <w:tab w:leader="none" w:pos="214"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56" w:lineRule="exact"/>
        <w:rPr>
          <w:rFonts w:ascii="Arial" w:cs="Arial" w:eastAsia="Arial" w:hAnsi="Arial"/>
          <w:sz w:val="16"/>
          <w:szCs w:val="16"/>
          <w:color w:val="auto"/>
        </w:rPr>
      </w:pPr>
    </w:p>
    <w:p>
      <w:pPr>
        <w:ind w:right="100" w:firstLine="8"/>
        <w:spacing w:after="0" w:line="258" w:lineRule="auto"/>
        <w:tabs>
          <w:tab w:leader="none" w:pos="21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6" w:lineRule="exact"/>
        <w:rPr>
          <w:rFonts w:ascii="Arial" w:cs="Arial" w:eastAsia="Arial" w:hAnsi="Arial"/>
          <w:sz w:val="18"/>
          <w:szCs w:val="18"/>
          <w:color w:val="auto"/>
        </w:rPr>
      </w:pPr>
    </w:p>
    <w:p>
      <w:pPr>
        <w:ind w:right="20" w:firstLine="8"/>
        <w:spacing w:after="0" w:line="268" w:lineRule="auto"/>
        <w:tabs>
          <w:tab w:leader="none" w:pos="254" w:val="left"/>
        </w:tabs>
        <w:numPr>
          <w:ilvl w:val="0"/>
          <w:numId w:val="358"/>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82" w:lineRule="exact"/>
        <w:rPr>
          <w:rFonts w:ascii="Arial" w:cs="Arial" w:eastAsia="Arial" w:hAnsi="Arial"/>
          <w:sz w:val="17"/>
          <w:szCs w:val="17"/>
          <w:color w:val="auto"/>
        </w:rPr>
      </w:pPr>
    </w:p>
    <w:p>
      <w:pPr>
        <w:ind w:right="80" w:firstLine="8"/>
        <w:spacing w:after="0" w:line="276" w:lineRule="auto"/>
        <w:tabs>
          <w:tab w:leader="none" w:pos="21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6" w:name="page417"/>
    <w:bookmarkEnd w:id="416"/>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4"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INFORMATION NOT REQUIRED IN PROXY STATEMENT/PROSPECTUS/INFORMATION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p>
    <w:p>
      <w:pPr>
        <w:spacing w:after="0" w:line="228"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As permitted by the DGCL, Aviragen’s certificate of incorporation eliminates the liability of directors to Aviragen or its stockholders for monetary damages for breach of fiduciary duty as a director, except to the extent otherwise required by the DGCL.</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certificate of incorporation further provides that Aviragen will indemnify any person who is or was made a party to any proceeding by reason of the fact that such person is or was a director or officer of Aviragen against expenses, judgments, fines, penalties, and amounts paid in settlement incurred in connection therewith to the fullest extent authorized by the DGCL. Aviragen’s bylaws provide for a similar indemnity to directors and officers of Aviragen to the fullest extent authorized by the DGCL.</w:t>
      </w:r>
    </w:p>
    <w:p>
      <w:pPr>
        <w:spacing w:after="0" w:line="187"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Aviragen’s bylaws authorize the Aviragen board of directors to enter into indemnification contracts with each of its officers and directors. Aviragen has entered into indemnification contracts with each of its directors and executive officers. The indemnification contracts provide for the indemnification of directors and officers against all expenses, liability, and loss actually reasonably incurred to the fullest extent permitted by Aviragen’s certificate of incorporation, bylaws, and applicable law.</w:t>
      </w:r>
    </w:p>
    <w:p>
      <w:pPr>
        <w:spacing w:after="0" w:line="187"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Aviragen’s bylaws also authorize Aviragen to maintain insurance to protect any director or officer against any expense, liability, or loss, whether or not Aviragen would have the power to indemnify such person against such expense, liability, or loss under the DGCL.</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28" w:lineRule="exact"/>
        <w:rPr>
          <w:sz w:val="20"/>
          <w:szCs w:val="20"/>
          <w:color w:val="auto"/>
        </w:rPr>
      </w:pPr>
    </w:p>
    <w:p>
      <w:pPr>
        <w:ind w:left="440" w:hanging="432"/>
        <w:spacing w:after="0"/>
        <w:tabs>
          <w:tab w:leader="none" w:pos="4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S-4 is set forth on the Exhibit Index and is incorporated herein by reference.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5"/>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4440" w:type="dxa"/>
            <w:vAlign w:val="bottom"/>
            <w:tcBorders>
              <w:bottom w:val="single" w:sz="8" w:color="auto"/>
            </w:tcBorders>
            <w:gridSpan w:val="13"/>
          </w:tcPr>
          <w:p>
            <w:pPr>
              <w:ind w:left="176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09"/>
        </w:trPr>
        <w:tc>
          <w:tcPr>
            <w:tcW w:w="920" w:type="dxa"/>
            <w:vAlign w:val="bottom"/>
            <w:vMerge w:val="restart"/>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4140" w:type="dxa"/>
            <w:vAlign w:val="bottom"/>
            <w:gridSpan w:val="7"/>
            <w:vMerge w:val="restart"/>
          </w:tcPr>
          <w:p>
            <w:pPr>
              <w:spacing w:after="0"/>
              <w:rPr>
                <w:rFonts w:ascii="Arial" w:cs="Arial" w:eastAsia="Arial" w:hAnsi="Arial"/>
                <w:sz w:val="18"/>
                <w:szCs w:val="18"/>
                <w:color w:val="0000EE"/>
                <w:w w:val="89"/>
              </w:rPr>
            </w:pPr>
            <w:hyperlink w:anchor="page306">
              <w:r>
                <w:rPr>
                  <w:rFonts w:ascii="Arial" w:cs="Arial" w:eastAsia="Arial" w:hAnsi="Arial"/>
                  <w:sz w:val="18"/>
                  <w:szCs w:val="18"/>
                  <w:color w:val="0000EE"/>
                  <w:w w:val="89"/>
                </w:rPr>
                <w:t>Agreement and Plan of Merger and Reorganization, dated</w:t>
              </w:r>
            </w:hyperlink>
          </w:p>
        </w:tc>
        <w:tc>
          <w:tcPr>
            <w:tcW w:w="300" w:type="dxa"/>
            <w:vAlign w:val="bottom"/>
            <w:gridSpan w:val="6"/>
            <w:vMerge w:val="restart"/>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Pr>
          <w:p>
            <w:pPr>
              <w:spacing w:after="0"/>
              <w:rPr>
                <w:sz w:val="18"/>
                <w:szCs w:val="18"/>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File No.</w:t>
            </w:r>
          </w:p>
        </w:tc>
        <w:tc>
          <w:tcPr>
            <w:tcW w:w="560" w:type="dxa"/>
            <w:vAlign w:val="bottom"/>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tcBorders>
              <w:bottom w:val="single" w:sz="8" w:color="0000EE"/>
            </w:tcBorders>
            <w:gridSpan w:val="7"/>
            <w:vMerge w:val="continue"/>
          </w:tcPr>
          <w:p>
            <w:pPr>
              <w:spacing w:after="0"/>
              <w:rPr>
                <w:sz w:val="14"/>
                <w:szCs w:val="14"/>
                <w:color w:val="auto"/>
              </w:rPr>
            </w:pPr>
          </w:p>
        </w:tc>
        <w:tc>
          <w:tcPr>
            <w:tcW w:w="30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13"/>
          </w:tcPr>
          <w:p>
            <w:pPr>
              <w:spacing w:after="0" w:line="195" w:lineRule="exact"/>
              <w:rPr>
                <w:rFonts w:ascii="Arial" w:cs="Arial" w:eastAsia="Arial" w:hAnsi="Arial"/>
                <w:sz w:val="18"/>
                <w:szCs w:val="18"/>
                <w:color w:val="0000EE"/>
                <w:w w:val="89"/>
              </w:rPr>
            </w:pPr>
            <w:hyperlink w:anchor="page306">
              <w:r>
                <w:rPr>
                  <w:rFonts w:ascii="Arial" w:cs="Arial" w:eastAsia="Arial" w:hAnsi="Arial"/>
                  <w:sz w:val="18"/>
                  <w:szCs w:val="18"/>
                  <w:color w:val="0000EE"/>
                  <w:w w:val="89"/>
                </w:rPr>
                <w:t>October 27, 2017, by and among Aviragen Therapeutics, Inc.,</w:t>
              </w:r>
            </w:hyperlink>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20" w:type="dxa"/>
            <w:vAlign w:val="bottom"/>
            <w:tcBorders>
              <w:top w:val="single" w:sz="8" w:color="0000EE"/>
            </w:tcBorders>
            <w:gridSpan w:val="12"/>
          </w:tcPr>
          <w:p>
            <w:pPr>
              <w:spacing w:after="0" w:line="195" w:lineRule="exact"/>
              <w:rPr>
                <w:rFonts w:ascii="Arial" w:cs="Arial" w:eastAsia="Arial" w:hAnsi="Arial"/>
                <w:sz w:val="18"/>
                <w:szCs w:val="18"/>
                <w:color w:val="0000EE"/>
                <w:w w:val="92"/>
              </w:rPr>
            </w:pPr>
            <w:hyperlink w:anchor="page306">
              <w:r>
                <w:rPr>
                  <w:rFonts w:ascii="Arial" w:cs="Arial" w:eastAsia="Arial" w:hAnsi="Arial"/>
                  <w:sz w:val="18"/>
                  <w:szCs w:val="18"/>
                  <w:color w:val="0000EE"/>
                  <w:w w:val="92"/>
                </w:rPr>
                <w:t xml:space="preserve">Vaxart, Inc. and Agora Merger Sub, Inc. (included as </w:t>
              </w:r>
              <w:r>
                <w:rPr>
                  <w:rFonts w:ascii="Arial" w:cs="Arial" w:eastAsia="Arial" w:hAnsi="Arial"/>
                  <w:sz w:val="18"/>
                  <w:szCs w:val="18"/>
                  <w:i w:val="1"/>
                  <w:iCs w:val="1"/>
                  <w:color w:val="0000EE"/>
                  <w:w w:val="92"/>
                </w:rPr>
                <w:t>Annex</w:t>
              </w:r>
            </w:hyperlink>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i w:val="1"/>
                <w:iCs w:val="1"/>
                <w:color w:val="0000EE"/>
                <w:w w:val="89"/>
              </w:rPr>
            </w:pPr>
            <w:hyperlink w:anchor="page306">
              <w:r>
                <w:rPr>
                  <w:rFonts w:ascii="Arial" w:cs="Arial" w:eastAsia="Arial" w:hAnsi="Arial"/>
                  <w:sz w:val="18"/>
                  <w:szCs w:val="18"/>
                  <w:i w:val="1"/>
                  <w:iCs w:val="1"/>
                  <w:color w:val="0000EE"/>
                  <w:w w:val="89"/>
                </w:rPr>
                <w:t xml:space="preserve">A </w:t>
              </w:r>
              <w:r>
                <w:rPr>
                  <w:rFonts w:ascii="Arial" w:cs="Arial" w:eastAsia="Arial" w:hAnsi="Arial"/>
                  <w:sz w:val="18"/>
                  <w:szCs w:val="18"/>
                  <w:color w:val="0000EE"/>
                  <w:w w:val="89"/>
                </w:rPr>
                <w:t>to the proxy statement/prospectus/information statement</w:t>
              </w:r>
            </w:hyperlink>
          </w:p>
        </w:tc>
        <w:tc>
          <w:tcPr>
            <w:tcW w:w="80" w:type="dxa"/>
            <w:vAlign w:val="bottom"/>
            <w:tcBorders>
              <w:top w:val="single" w:sz="8" w:color="0000EE"/>
            </w:tcBorders>
            <w:gridSpan w:val="2"/>
          </w:tcPr>
          <w:p>
            <w:pPr>
              <w:spacing w:after="0"/>
              <w:rPr>
                <w:sz w:val="16"/>
                <w:szCs w:val="16"/>
                <w:color w:val="auto"/>
              </w:rPr>
            </w:pPr>
          </w:p>
        </w:tc>
        <w:tc>
          <w:tcPr>
            <w:tcW w:w="16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13"/>
          </w:tcPr>
          <w:p>
            <w:pPr>
              <w:spacing w:after="0" w:line="195" w:lineRule="exact"/>
              <w:rPr>
                <w:rFonts w:ascii="Arial" w:cs="Arial" w:eastAsia="Arial" w:hAnsi="Arial"/>
                <w:sz w:val="18"/>
                <w:szCs w:val="18"/>
                <w:color w:val="0000EE"/>
              </w:rPr>
            </w:pPr>
            <w:hyperlink w:anchor="page306">
              <w:r>
                <w:rPr>
                  <w:rFonts w:ascii="Arial" w:cs="Arial" w:eastAsia="Arial" w:hAnsi="Arial"/>
                  <w:sz w:val="18"/>
                  <w:szCs w:val="18"/>
                  <w:color w:val="0000EE"/>
                </w:rPr>
                <w:t>forming a part of this registration statement)</w:t>
              </w:r>
            </w:hyperlink>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4440" w:type="dxa"/>
            <w:vAlign w:val="bottom"/>
            <w:gridSpan w:val="13"/>
          </w:tcPr>
          <w:p>
            <w:pPr>
              <w:spacing w:after="0"/>
              <w:rPr>
                <w:rFonts w:ascii="Arial" w:cs="Arial" w:eastAsia="Arial" w:hAnsi="Arial"/>
                <w:sz w:val="18"/>
                <w:szCs w:val="18"/>
                <w:color w:val="0000EE"/>
              </w:rPr>
            </w:pPr>
            <w:hyperlink r:id="rId490">
              <w:r>
                <w:rPr>
                  <w:rFonts w:ascii="Arial" w:cs="Arial" w:eastAsia="Arial" w:hAnsi="Arial"/>
                  <w:sz w:val="18"/>
                  <w:szCs w:val="18"/>
                  <w:color w:val="0000EE"/>
                </w:rPr>
                <w:t>Form of Support Agreement, by and between Aviragen</w:t>
              </w:r>
            </w:hyperlink>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001-35285</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gridSpan w:val="13"/>
            <w:vMerge w:val="restart"/>
          </w:tcPr>
          <w:p>
            <w:pPr>
              <w:spacing w:after="0" w:line="195" w:lineRule="exact"/>
              <w:rPr>
                <w:rFonts w:ascii="Arial" w:cs="Arial" w:eastAsia="Arial" w:hAnsi="Arial"/>
                <w:sz w:val="18"/>
                <w:szCs w:val="18"/>
                <w:color w:val="0000EE"/>
                <w:w w:val="92"/>
              </w:rPr>
            </w:pPr>
            <w:hyperlink r:id="rId490">
              <w:r>
                <w:rPr>
                  <w:rFonts w:ascii="Arial" w:cs="Arial" w:eastAsia="Arial" w:hAnsi="Arial"/>
                  <w:sz w:val="18"/>
                  <w:szCs w:val="18"/>
                  <w:color w:val="0000EE"/>
                  <w:w w:val="92"/>
                </w:rPr>
                <w:t>Therapeutics, Inc., Agora Merger Sub, Inc., Vaxart, Inc. and</w:t>
              </w:r>
            </w:hyperlink>
          </w:p>
        </w:tc>
        <w:tc>
          <w:tcPr>
            <w:tcW w:w="220" w:type="dxa"/>
            <w:vAlign w:val="bottom"/>
          </w:tcPr>
          <w:p>
            <w:pPr>
              <w:spacing w:after="0"/>
              <w:rPr>
                <w:sz w:val="9"/>
                <w:szCs w:val="9"/>
                <w:color w:val="auto"/>
              </w:rPr>
            </w:pPr>
          </w:p>
        </w:tc>
        <w:tc>
          <w:tcPr>
            <w:tcW w:w="5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600" w:type="dxa"/>
            <w:vAlign w:val="bottom"/>
            <w:gridSpan w:val="2"/>
            <w:vMerge w:val="continue"/>
          </w:tcPr>
          <w:p>
            <w:pPr>
              <w:spacing w:after="0"/>
              <w:rPr>
                <w:sz w:val="9"/>
                <w:szCs w:val="9"/>
                <w:color w:val="auto"/>
              </w:rPr>
            </w:pPr>
          </w:p>
        </w:tc>
        <w:tc>
          <w:tcPr>
            <w:tcW w:w="1820" w:type="dxa"/>
            <w:vAlign w:val="bottom"/>
            <w:gridSpan w:val="2"/>
            <w:vMerge w:val="restart"/>
          </w:tcPr>
          <w:p>
            <w:pPr>
              <w:ind w:left="780"/>
              <w:spacing w:after="0" w:line="195" w:lineRule="exact"/>
              <w:rPr>
                <w:sz w:val="20"/>
                <w:szCs w:val="20"/>
                <w:color w:val="auto"/>
              </w:rPr>
            </w:pPr>
            <w:r>
              <w:rPr>
                <w:rFonts w:ascii="Arial" w:cs="Arial" w:eastAsia="Arial" w:hAnsi="Arial"/>
                <w:sz w:val="18"/>
                <w:szCs w:val="18"/>
                <w:color w:val="auto"/>
              </w:rPr>
              <w:t>10/31/2017</w:t>
            </w: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40" w:type="dxa"/>
            <w:vAlign w:val="bottom"/>
            <w:gridSpan w:val="1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88"/>
              </w:rPr>
              <w:t>171068617</w:t>
            </w:r>
          </w:p>
        </w:tc>
        <w:tc>
          <w:tcPr>
            <w:tcW w:w="1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40" w:type="dxa"/>
            <w:vAlign w:val="bottom"/>
            <w:tcBorders>
              <w:top w:val="single" w:sz="8" w:color="0000EE"/>
            </w:tcBorders>
            <w:gridSpan w:val="9"/>
            <w:vMerge w:val="restart"/>
          </w:tcPr>
          <w:p>
            <w:pPr>
              <w:spacing w:after="0" w:line="195" w:lineRule="exact"/>
              <w:rPr>
                <w:rFonts w:ascii="Arial" w:cs="Arial" w:eastAsia="Arial" w:hAnsi="Arial"/>
                <w:sz w:val="18"/>
                <w:szCs w:val="18"/>
                <w:color w:val="0000EE"/>
                <w:w w:val="90"/>
              </w:rPr>
            </w:pPr>
            <w:hyperlink r:id="rId490">
              <w:r>
                <w:rPr>
                  <w:rFonts w:ascii="Arial" w:cs="Arial" w:eastAsia="Arial" w:hAnsi="Arial"/>
                  <w:sz w:val="18"/>
                  <w:szCs w:val="18"/>
                  <w:color w:val="0000EE"/>
                  <w:w w:val="90"/>
                </w:rPr>
                <w:t>certain of Vaxart, Inc.’s directors, officers and stockholders</w:t>
              </w:r>
            </w:hyperlink>
          </w:p>
        </w:tc>
        <w:tc>
          <w:tcPr>
            <w:tcW w:w="60" w:type="dxa"/>
            <w:vAlign w:val="bottom"/>
            <w:tcBorders>
              <w:top w:val="single" w:sz="8" w:color="0000EE"/>
            </w:tcBorders>
            <w:gridSpan w:val="2"/>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40" w:type="dxa"/>
            <w:vAlign w:val="bottom"/>
            <w:tcBorders>
              <w:bottom w:val="single" w:sz="8" w:color="0000EE"/>
            </w:tcBorders>
            <w:gridSpan w:val="9"/>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4440" w:type="dxa"/>
            <w:vAlign w:val="bottom"/>
            <w:gridSpan w:val="13"/>
          </w:tcPr>
          <w:p>
            <w:pPr>
              <w:spacing w:after="0"/>
              <w:rPr>
                <w:rFonts w:ascii="Arial" w:cs="Arial" w:eastAsia="Arial" w:hAnsi="Arial"/>
                <w:sz w:val="18"/>
                <w:szCs w:val="18"/>
                <w:color w:val="0000EE"/>
              </w:rPr>
            </w:pPr>
            <w:hyperlink r:id="rId491">
              <w:r>
                <w:rPr>
                  <w:rFonts w:ascii="Arial" w:cs="Arial" w:eastAsia="Arial" w:hAnsi="Arial"/>
                  <w:sz w:val="18"/>
                  <w:szCs w:val="18"/>
                  <w:color w:val="0000EE"/>
                </w:rPr>
                <w:t>Form of Support Agreement, by and between Aviragen</w:t>
              </w:r>
            </w:hyperlink>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001-35285</w:t>
            </w: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gridSpan w:val="13"/>
            <w:vMerge w:val="restart"/>
          </w:tcPr>
          <w:p>
            <w:pPr>
              <w:spacing w:after="0" w:line="195" w:lineRule="exact"/>
              <w:rPr>
                <w:rFonts w:ascii="Arial" w:cs="Arial" w:eastAsia="Arial" w:hAnsi="Arial"/>
                <w:sz w:val="18"/>
                <w:szCs w:val="18"/>
                <w:color w:val="0000EE"/>
                <w:w w:val="92"/>
              </w:rPr>
            </w:pPr>
            <w:hyperlink r:id="rId491">
              <w:r>
                <w:rPr>
                  <w:rFonts w:ascii="Arial" w:cs="Arial" w:eastAsia="Arial" w:hAnsi="Arial"/>
                  <w:sz w:val="18"/>
                  <w:szCs w:val="18"/>
                  <w:color w:val="0000EE"/>
                  <w:w w:val="92"/>
                </w:rPr>
                <w:t>Therapeutics, Inc., Agora Merger Sub, Inc., Vaxart, Inc. and</w:t>
              </w:r>
            </w:hyperlink>
          </w:p>
        </w:tc>
        <w:tc>
          <w:tcPr>
            <w:tcW w:w="220" w:type="dxa"/>
            <w:vAlign w:val="bottom"/>
          </w:tcPr>
          <w:p>
            <w:pPr>
              <w:spacing w:after="0"/>
              <w:rPr>
                <w:sz w:val="9"/>
                <w:szCs w:val="9"/>
                <w:color w:val="auto"/>
              </w:rPr>
            </w:pPr>
          </w:p>
        </w:tc>
        <w:tc>
          <w:tcPr>
            <w:tcW w:w="58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600" w:type="dxa"/>
            <w:vAlign w:val="bottom"/>
            <w:gridSpan w:val="2"/>
            <w:vMerge w:val="continue"/>
          </w:tcPr>
          <w:p>
            <w:pPr>
              <w:spacing w:after="0"/>
              <w:rPr>
                <w:sz w:val="9"/>
                <w:szCs w:val="9"/>
                <w:color w:val="auto"/>
              </w:rPr>
            </w:pPr>
          </w:p>
        </w:tc>
        <w:tc>
          <w:tcPr>
            <w:tcW w:w="1820" w:type="dxa"/>
            <w:vAlign w:val="bottom"/>
            <w:gridSpan w:val="2"/>
            <w:vMerge w:val="restart"/>
          </w:tcPr>
          <w:p>
            <w:pPr>
              <w:ind w:left="780"/>
              <w:spacing w:after="0" w:line="195" w:lineRule="exact"/>
              <w:rPr>
                <w:sz w:val="20"/>
                <w:szCs w:val="20"/>
                <w:color w:val="auto"/>
              </w:rPr>
            </w:pPr>
            <w:r>
              <w:rPr>
                <w:rFonts w:ascii="Arial" w:cs="Arial" w:eastAsia="Arial" w:hAnsi="Arial"/>
                <w:sz w:val="18"/>
                <w:szCs w:val="18"/>
                <w:color w:val="auto"/>
              </w:rPr>
              <w:t>10/31/2017</w:t>
            </w: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40" w:type="dxa"/>
            <w:vAlign w:val="bottom"/>
            <w:gridSpan w:val="1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88"/>
              </w:rPr>
              <w:t>171068617</w:t>
            </w:r>
          </w:p>
        </w:tc>
        <w:tc>
          <w:tcPr>
            <w:tcW w:w="1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40" w:type="dxa"/>
            <w:vAlign w:val="bottom"/>
            <w:tcBorders>
              <w:top w:val="single" w:sz="8" w:color="0000EE"/>
            </w:tcBorders>
            <w:gridSpan w:val="3"/>
            <w:vMerge w:val="restart"/>
          </w:tcPr>
          <w:p>
            <w:pPr>
              <w:spacing w:after="0" w:line="195" w:lineRule="exact"/>
              <w:rPr>
                <w:rFonts w:ascii="Arial" w:cs="Arial" w:eastAsia="Arial" w:hAnsi="Arial"/>
                <w:sz w:val="18"/>
                <w:szCs w:val="18"/>
                <w:color w:val="0000EE"/>
                <w:w w:val="90"/>
              </w:rPr>
            </w:pPr>
            <w:hyperlink r:id="rId491">
              <w:r>
                <w:rPr>
                  <w:rFonts w:ascii="Arial" w:cs="Arial" w:eastAsia="Arial" w:hAnsi="Arial"/>
                  <w:sz w:val="18"/>
                  <w:szCs w:val="18"/>
                  <w:color w:val="0000EE"/>
                  <w:w w:val="90"/>
                </w:rPr>
                <w:t>certain of Vaxart, Inc.’s directors and officers</w:t>
              </w:r>
            </w:hyperlink>
          </w:p>
        </w:tc>
        <w:tc>
          <w:tcPr>
            <w:tcW w:w="1060" w:type="dxa"/>
            <w:vAlign w:val="bottom"/>
            <w:tcBorders>
              <w:top w:val="single" w:sz="8" w:color="0000EE"/>
            </w:tcBorders>
            <w:gridSpan w:val="8"/>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40" w:type="dxa"/>
            <w:vAlign w:val="bottom"/>
            <w:tcBorders>
              <w:bottom w:val="single" w:sz="8" w:color="0000EE"/>
            </w:tcBorders>
            <w:gridSpan w:val="3"/>
            <w:vMerge w:val="continue"/>
          </w:tcPr>
          <w:p>
            <w:pPr>
              <w:spacing w:after="0"/>
              <w:rPr>
                <w:sz w:val="5"/>
                <w:szCs w:val="5"/>
                <w:color w:val="auto"/>
              </w:rPr>
            </w:pPr>
          </w:p>
        </w:tc>
        <w:tc>
          <w:tcPr>
            <w:tcW w:w="1060" w:type="dxa"/>
            <w:vAlign w:val="bottom"/>
            <w:gridSpan w:val="8"/>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4440" w:type="dxa"/>
            <w:vAlign w:val="bottom"/>
            <w:gridSpan w:val="13"/>
          </w:tcPr>
          <w:p>
            <w:pPr>
              <w:spacing w:after="0"/>
              <w:rPr>
                <w:sz w:val="20"/>
                <w:szCs w:val="20"/>
                <w:color w:val="auto"/>
              </w:rPr>
            </w:pPr>
            <w:r>
              <w:rPr>
                <w:rFonts w:ascii="Arial" w:cs="Arial" w:eastAsia="Arial" w:hAnsi="Arial"/>
                <w:sz w:val="18"/>
                <w:szCs w:val="18"/>
                <w:color w:val="0000EE"/>
              </w:rPr>
              <w:t>Form of Lock-Up Agreement, by and between Aviragen</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20" w:type="dxa"/>
            <w:vAlign w:val="bottom"/>
            <w:tcBorders>
              <w:top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3"/>
              </w:rPr>
              <w:t>Therapeutics, Inc., Vaxart, Inc. and certain of Vaxart’s</w:t>
            </w:r>
          </w:p>
        </w:tc>
        <w:tc>
          <w:tcPr>
            <w:tcW w:w="420" w:type="dxa"/>
            <w:vAlign w:val="bottom"/>
            <w:gridSpan w:val="7"/>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60" w:type="dxa"/>
            <w:vAlign w:val="bottom"/>
            <w:tcBorders>
              <w:top w:val="single" w:sz="8" w:color="0000EE"/>
            </w:tcBorders>
            <w:gridSpan w:val="4"/>
          </w:tcPr>
          <w:p>
            <w:pPr>
              <w:spacing w:after="0" w:line="195" w:lineRule="exact"/>
              <w:rPr>
                <w:sz w:val="20"/>
                <w:szCs w:val="20"/>
                <w:color w:val="auto"/>
              </w:rPr>
            </w:pPr>
            <w:r>
              <w:rPr>
                <w:rFonts w:ascii="Arial" w:cs="Arial" w:eastAsia="Arial" w:hAnsi="Arial"/>
                <w:sz w:val="18"/>
                <w:szCs w:val="18"/>
                <w:color w:val="0000EE"/>
              </w:rPr>
              <w:t>directors, officers and stockholders</w:t>
            </w:r>
          </w:p>
        </w:tc>
        <w:tc>
          <w:tcPr>
            <w:tcW w:w="580" w:type="dxa"/>
            <w:vAlign w:val="bottom"/>
            <w:gridSpan w:val="9"/>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7" w:name="page418"/>
    <w:bookmarkEnd w:id="417"/>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r>
      <w:tr>
        <w:trPr>
          <w:trHeight w:val="215"/>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5400" w:type="dxa"/>
            <w:vAlign w:val="bottom"/>
            <w:gridSpan w:val="3"/>
          </w:tcPr>
          <w:p>
            <w:pPr>
              <w:ind w:left="1760"/>
              <w:spacing w:after="0"/>
              <w:rPr>
                <w:sz w:val="20"/>
                <w:szCs w:val="20"/>
                <w:color w:val="auto"/>
              </w:rPr>
            </w:pPr>
            <w:r>
              <w:rPr>
                <w:rFonts w:ascii="Arial" w:cs="Arial" w:eastAsia="Arial" w:hAnsi="Arial"/>
                <w:sz w:val="18"/>
                <w:szCs w:val="18"/>
                <w:b w:val="1"/>
                <w:bCs w:val="1"/>
                <w:color w:val="auto"/>
              </w:rPr>
              <w:t>Description</w:t>
            </w:r>
          </w:p>
        </w:tc>
        <w:tc>
          <w:tcPr>
            <w:tcW w:w="3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09"/>
        </w:trPr>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Form</w:t>
            </w:r>
          </w:p>
        </w:tc>
        <w:tc>
          <w:tcPr>
            <w:tcW w:w="164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File No.</w:t>
            </w:r>
          </w:p>
        </w:tc>
        <w:tc>
          <w:tcPr>
            <w:tcW w:w="162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Filing Date</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0</wp:posOffset>
            </wp:positionV>
            <wp:extent cx="20256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2025650" cy="825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tbl>
      <w:tblPr>
        <w:tblLayout w:type="fixed"/>
        <w:tblInd w:w="0" w:type="dxa"/>
        <w:tblCellMar>
          <w:top w:w="0" w:type="dxa"/>
          <w:left w:w="0" w:type="dxa"/>
          <w:bottom w:w="0" w:type="dxa"/>
          <w:right w:w="0" w:type="dxa"/>
        </w:tblCellMar>
      </w:tblPr>
      <w:tr>
        <w:trPr>
          <w:trHeight w:val="168"/>
        </w:trPr>
        <w:tc>
          <w:tcPr>
            <w:tcW w:w="1160" w:type="dxa"/>
            <w:vAlign w:val="bottom"/>
          </w:tcPr>
          <w:p>
            <w:pPr>
              <w:spacing w:after="0" w:line="169" w:lineRule="exact"/>
              <w:rPr>
                <w:sz w:val="20"/>
                <w:szCs w:val="20"/>
                <w:color w:val="auto"/>
              </w:rPr>
            </w:pPr>
            <w:r>
              <w:rPr>
                <w:rFonts w:ascii="Arial" w:cs="Arial" w:eastAsia="Arial" w:hAnsi="Arial"/>
                <w:sz w:val="18"/>
                <w:szCs w:val="18"/>
                <w:color w:val="auto"/>
              </w:rPr>
              <w:t>2.7</w:t>
            </w:r>
          </w:p>
        </w:tc>
        <w:tc>
          <w:tcPr>
            <w:tcW w:w="4360" w:type="dxa"/>
            <w:vAlign w:val="bottom"/>
            <w:tcBorders>
              <w:bottom w:val="single" w:sz="8" w:color="0000EE"/>
            </w:tcBorders>
            <w:gridSpan w:val="21"/>
          </w:tcPr>
          <w:p>
            <w:pPr>
              <w:spacing w:after="0" w:line="169" w:lineRule="exact"/>
              <w:rPr>
                <w:rFonts w:ascii="Arial" w:cs="Arial" w:eastAsia="Arial" w:hAnsi="Arial"/>
                <w:sz w:val="18"/>
                <w:szCs w:val="18"/>
                <w:color w:val="0000EE"/>
                <w:w w:val="88"/>
              </w:rPr>
            </w:pPr>
            <w:hyperlink r:id="rId494">
              <w:r>
                <w:rPr>
                  <w:rFonts w:ascii="Arial" w:cs="Arial" w:eastAsia="Arial" w:hAnsi="Arial"/>
                  <w:sz w:val="18"/>
                  <w:szCs w:val="18"/>
                  <w:color w:val="0000EE"/>
                  <w:w w:val="88"/>
                </w:rPr>
                <w:t>Stock Purchase Agreement, dated February 25, 2015, among</w:t>
              </w:r>
            </w:hyperlink>
          </w:p>
        </w:tc>
        <w:tc>
          <w:tcPr>
            <w:tcW w:w="300" w:type="dxa"/>
            <w:vAlign w:val="bottom"/>
            <w:gridSpan w:val="2"/>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rPr>
            </w:pPr>
            <w:hyperlink r:id="rId494">
              <w:r>
                <w:rPr>
                  <w:rFonts w:ascii="Arial" w:cs="Arial" w:eastAsia="Arial" w:hAnsi="Arial"/>
                  <w:sz w:val="18"/>
                  <w:szCs w:val="18"/>
                  <w:color w:val="0000EE"/>
                </w:rPr>
                <w:t>Biota Pharmaceuticals, Inc., each of the shareholders of</w:t>
              </w:r>
            </w:hyperlink>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3440" w:type="dxa"/>
            <w:vAlign w:val="bottom"/>
            <w:tcBorders>
              <w:top w:val="single" w:sz="8" w:color="0000EE"/>
            </w:tcBorders>
            <w:gridSpan w:val="8"/>
            <w:vMerge w:val="restart"/>
          </w:tcPr>
          <w:p>
            <w:pPr>
              <w:spacing w:after="0" w:line="195" w:lineRule="exact"/>
              <w:rPr>
                <w:rFonts w:ascii="Arial" w:cs="Arial" w:eastAsia="Arial" w:hAnsi="Arial"/>
                <w:sz w:val="18"/>
                <w:szCs w:val="18"/>
                <w:color w:val="0000EE"/>
                <w:w w:val="89"/>
              </w:rPr>
            </w:pPr>
            <w:hyperlink r:id="rId494">
              <w:r>
                <w:rPr>
                  <w:rFonts w:ascii="Arial" w:cs="Arial" w:eastAsia="Arial" w:hAnsi="Arial"/>
                  <w:sz w:val="18"/>
                  <w:szCs w:val="18"/>
                  <w:color w:val="0000EE"/>
                  <w:w w:val="89"/>
                </w:rPr>
                <w:t>Anaconda Pharma party thereto and the Holder</w:t>
              </w:r>
            </w:hyperlink>
          </w:p>
        </w:tc>
        <w:tc>
          <w:tcPr>
            <w:tcW w:w="600" w:type="dxa"/>
            <w:vAlign w:val="bottom"/>
            <w:tcBorders>
              <w:top w:val="single" w:sz="8" w:color="0000EE"/>
            </w:tcBorders>
            <w:gridSpan w:val="6"/>
            <w:vMerge w:val="restart"/>
          </w:tcPr>
          <w:p>
            <w:pPr>
              <w:spacing w:after="0"/>
              <w:rPr>
                <w:sz w:val="11"/>
                <w:szCs w:val="11"/>
                <w:color w:val="auto"/>
              </w:rPr>
            </w:pPr>
          </w:p>
        </w:tc>
        <w:tc>
          <w:tcPr>
            <w:tcW w:w="620" w:type="dxa"/>
            <w:vAlign w:val="bottom"/>
            <w:gridSpan w:val="9"/>
            <w:vMerge w:val="restart"/>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60" w:type="dxa"/>
            <w:vAlign w:val="bottom"/>
          </w:tcPr>
          <w:p>
            <w:pPr>
              <w:spacing w:after="0"/>
              <w:rPr>
                <w:sz w:val="5"/>
                <w:szCs w:val="5"/>
                <w:color w:val="auto"/>
              </w:rPr>
            </w:pPr>
          </w:p>
        </w:tc>
        <w:tc>
          <w:tcPr>
            <w:tcW w:w="3440" w:type="dxa"/>
            <w:vAlign w:val="bottom"/>
            <w:tcBorders>
              <w:bottom w:val="single" w:sz="8" w:color="0000EE"/>
            </w:tcBorders>
            <w:gridSpan w:val="8"/>
            <w:vMerge w:val="continue"/>
          </w:tcPr>
          <w:p>
            <w:pPr>
              <w:spacing w:after="0"/>
              <w:rPr>
                <w:sz w:val="5"/>
                <w:szCs w:val="5"/>
                <w:color w:val="auto"/>
              </w:rPr>
            </w:pPr>
          </w:p>
        </w:tc>
        <w:tc>
          <w:tcPr>
            <w:tcW w:w="600" w:type="dxa"/>
            <w:vAlign w:val="bottom"/>
            <w:gridSpan w:val="6"/>
            <w:vMerge w:val="continue"/>
          </w:tcPr>
          <w:p>
            <w:pPr>
              <w:spacing w:after="0"/>
              <w:rPr>
                <w:sz w:val="5"/>
                <w:szCs w:val="5"/>
                <w:color w:val="auto"/>
              </w:rPr>
            </w:pPr>
          </w:p>
        </w:tc>
        <w:tc>
          <w:tcPr>
            <w:tcW w:w="620" w:type="dxa"/>
            <w:vAlign w:val="bottom"/>
            <w:gridSpan w:val="9"/>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rPr>
            </w:pPr>
            <w:hyperlink r:id="rId494">
              <w:r>
                <w:rPr>
                  <w:rFonts w:ascii="Arial" w:cs="Arial" w:eastAsia="Arial" w:hAnsi="Arial"/>
                  <w:sz w:val="18"/>
                  <w:szCs w:val="18"/>
                  <w:color w:val="0000EE"/>
                </w:rPr>
                <w:t>Representative thereunder</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520" w:type="dxa"/>
            <w:vAlign w:val="bottom"/>
            <w:tcBorders>
              <w:bottom w:val="single" w:sz="8" w:color="0000EE"/>
            </w:tcBorders>
            <w:gridSpan w:val="10"/>
          </w:tcPr>
          <w:p>
            <w:pPr>
              <w:spacing w:after="0"/>
              <w:rPr>
                <w:rFonts w:ascii="Arial" w:cs="Arial" w:eastAsia="Arial" w:hAnsi="Arial"/>
                <w:sz w:val="18"/>
                <w:szCs w:val="18"/>
                <w:color w:val="0000EE"/>
                <w:w w:val="91"/>
              </w:rPr>
            </w:pPr>
            <w:hyperlink r:id="rId495">
              <w:r>
                <w:rPr>
                  <w:rFonts w:ascii="Arial" w:cs="Arial" w:eastAsia="Arial" w:hAnsi="Arial"/>
                  <w:sz w:val="18"/>
                  <w:szCs w:val="18"/>
                  <w:color w:val="0000EE"/>
                  <w:w w:val="91"/>
                </w:rPr>
                <w:t>Restated Certificate of Incorporation of Aviragen</w:t>
              </w:r>
            </w:hyperlink>
          </w:p>
        </w:tc>
        <w:tc>
          <w:tcPr>
            <w:tcW w:w="1140" w:type="dxa"/>
            <w:vAlign w:val="bottom"/>
            <w:gridSpan w:val="13"/>
          </w:tcPr>
          <w:p>
            <w:pPr>
              <w:spacing w:after="0"/>
              <w:rPr>
                <w:sz w:val="24"/>
                <w:szCs w:val="24"/>
                <w:color w:val="auto"/>
              </w:rPr>
            </w:pP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4660" w:type="dxa"/>
            <w:vAlign w:val="bottom"/>
            <w:gridSpan w:val="23"/>
            <w:vMerge w:val="restart"/>
          </w:tcPr>
          <w:p>
            <w:pPr>
              <w:spacing w:after="0" w:line="195" w:lineRule="exact"/>
              <w:rPr>
                <w:rFonts w:ascii="Arial" w:cs="Arial" w:eastAsia="Arial" w:hAnsi="Arial"/>
                <w:sz w:val="18"/>
                <w:szCs w:val="18"/>
                <w:color w:val="0000EE"/>
              </w:rPr>
            </w:pPr>
            <w:hyperlink r:id="rId495">
              <w:r>
                <w:rPr>
                  <w:rFonts w:ascii="Arial" w:cs="Arial" w:eastAsia="Arial" w:hAnsi="Arial"/>
                  <w:sz w:val="18"/>
                  <w:szCs w:val="18"/>
                  <w:color w:val="0000EE"/>
                </w:rPr>
                <w:t>Therapeutics, Inc.</w:t>
              </w:r>
            </w:hyperlink>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660" w:type="dxa"/>
            <w:vAlign w:val="bottom"/>
            <w:gridSpan w:val="2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480" w:type="dxa"/>
            <w:vAlign w:val="bottom"/>
            <w:tcBorders>
              <w:bottom w:val="single" w:sz="8" w:color="0000EE"/>
            </w:tcBorders>
            <w:gridSpan w:val="9"/>
          </w:tcPr>
          <w:p>
            <w:pPr>
              <w:spacing w:after="0"/>
              <w:rPr>
                <w:rFonts w:ascii="Arial" w:cs="Arial" w:eastAsia="Arial" w:hAnsi="Arial"/>
                <w:sz w:val="18"/>
                <w:szCs w:val="18"/>
                <w:color w:val="0000EE"/>
                <w:w w:val="90"/>
              </w:rPr>
            </w:pPr>
            <w:hyperlink r:id="rId496">
              <w:r>
                <w:rPr>
                  <w:rFonts w:ascii="Arial" w:cs="Arial" w:eastAsia="Arial" w:hAnsi="Arial"/>
                  <w:sz w:val="18"/>
                  <w:szCs w:val="18"/>
                  <w:color w:val="0000EE"/>
                  <w:w w:val="90"/>
                </w:rPr>
                <w:t>Restated By-laws of Aviragen Therapeutics, Inc.</w:t>
              </w:r>
            </w:hyperlink>
          </w:p>
        </w:tc>
        <w:tc>
          <w:tcPr>
            <w:tcW w:w="1180" w:type="dxa"/>
            <w:vAlign w:val="bottom"/>
            <w:gridSpan w:val="14"/>
          </w:tcPr>
          <w:p>
            <w:pPr>
              <w:spacing w:after="0"/>
              <w:rPr>
                <w:sz w:val="24"/>
                <w:szCs w:val="24"/>
                <w:color w:val="auto"/>
              </w:rPr>
            </w:pP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128"/>
        </w:trPr>
        <w:tc>
          <w:tcPr>
            <w:tcW w:w="1160" w:type="dxa"/>
            <w:vAlign w:val="bottom"/>
            <w:vMerge w:val="restart"/>
          </w:tcPr>
          <w:p>
            <w:pPr>
              <w:spacing w:after="0"/>
              <w:rPr>
                <w:sz w:val="20"/>
                <w:szCs w:val="20"/>
                <w:color w:val="auto"/>
              </w:rPr>
            </w:pPr>
            <w:r>
              <w:rPr>
                <w:rFonts w:ascii="Arial" w:cs="Arial" w:eastAsia="Arial" w:hAnsi="Arial"/>
                <w:sz w:val="18"/>
                <w:szCs w:val="18"/>
                <w:color w:val="auto"/>
              </w:rPr>
              <w:t>4.1</w:t>
            </w:r>
          </w:p>
        </w:tc>
        <w:tc>
          <w:tcPr>
            <w:tcW w:w="4660" w:type="dxa"/>
            <w:vAlign w:val="bottom"/>
            <w:gridSpan w:val="23"/>
            <w:vMerge w:val="restart"/>
          </w:tcPr>
          <w:p>
            <w:pPr>
              <w:spacing w:after="0"/>
              <w:rPr>
                <w:rFonts w:ascii="Arial" w:cs="Arial" w:eastAsia="Arial" w:hAnsi="Arial"/>
                <w:sz w:val="18"/>
                <w:szCs w:val="18"/>
                <w:color w:val="0000EE"/>
              </w:rPr>
            </w:pPr>
            <w:hyperlink r:id="rId497">
              <w:r>
                <w:rPr>
                  <w:rFonts w:ascii="Arial" w:cs="Arial" w:eastAsia="Arial" w:hAnsi="Arial"/>
                  <w:sz w:val="18"/>
                  <w:szCs w:val="18"/>
                  <w:color w:val="0000EE"/>
                </w:rPr>
                <w:t>Form of Common Stock Certificate</w:t>
              </w:r>
            </w:hyperlink>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8"/>
        </w:trPr>
        <w:tc>
          <w:tcPr>
            <w:tcW w:w="1160" w:type="dxa"/>
            <w:vAlign w:val="bottom"/>
            <w:vMerge w:val="continue"/>
          </w:tcPr>
          <w:p>
            <w:pPr>
              <w:spacing w:after="0"/>
              <w:rPr>
                <w:sz w:val="24"/>
                <w:szCs w:val="24"/>
                <w:color w:val="auto"/>
              </w:rPr>
            </w:pPr>
          </w:p>
        </w:tc>
        <w:tc>
          <w:tcPr>
            <w:tcW w:w="4660" w:type="dxa"/>
            <w:vAlign w:val="bottom"/>
            <w:gridSpan w:val="23"/>
            <w:vMerge w:val="continue"/>
          </w:tcPr>
          <w:p>
            <w:pPr>
              <w:spacing w:after="0"/>
              <w:rPr>
                <w:sz w:val="24"/>
                <w:szCs w:val="24"/>
                <w:color w:val="auto"/>
              </w:rPr>
            </w:pP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60" w:type="dxa"/>
            <w:vAlign w:val="bottom"/>
            <w:vMerge w:val="restart"/>
          </w:tcPr>
          <w:p>
            <w:pPr>
              <w:spacing w:after="0"/>
              <w:rPr>
                <w:sz w:val="20"/>
                <w:szCs w:val="20"/>
                <w:color w:val="auto"/>
              </w:rPr>
            </w:pPr>
            <w:r>
              <w:rPr>
                <w:rFonts w:ascii="Arial" w:cs="Arial" w:eastAsia="Arial" w:hAnsi="Arial"/>
                <w:sz w:val="18"/>
                <w:szCs w:val="18"/>
                <w:color w:val="auto"/>
              </w:rPr>
              <w:t>5.1</w:t>
            </w:r>
          </w:p>
        </w:tc>
        <w:tc>
          <w:tcPr>
            <w:tcW w:w="3800" w:type="dxa"/>
            <w:vAlign w:val="bottom"/>
            <w:gridSpan w:val="12"/>
            <w:vMerge w:val="restart"/>
          </w:tcPr>
          <w:p>
            <w:pPr>
              <w:spacing w:after="0"/>
              <w:rPr>
                <w:sz w:val="20"/>
                <w:szCs w:val="20"/>
                <w:color w:val="auto"/>
              </w:rPr>
            </w:pPr>
            <w:r>
              <w:rPr>
                <w:rFonts w:ascii="Arial" w:cs="Arial" w:eastAsia="Arial" w:hAnsi="Arial"/>
                <w:sz w:val="18"/>
                <w:szCs w:val="18"/>
                <w:color w:val="0000EE"/>
                <w:w w:val="92"/>
              </w:rPr>
              <w:t>Opinion of Dechert LLP regarding the validity of the</w:t>
            </w:r>
          </w:p>
        </w:tc>
        <w:tc>
          <w:tcPr>
            <w:tcW w:w="860" w:type="dxa"/>
            <w:vAlign w:val="bottom"/>
            <w:gridSpan w:val="11"/>
            <w:vMerge w:val="restart"/>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3"/>
        </w:trPr>
        <w:tc>
          <w:tcPr>
            <w:tcW w:w="1160" w:type="dxa"/>
            <w:vAlign w:val="bottom"/>
            <w:vMerge w:val="continue"/>
          </w:tcPr>
          <w:p>
            <w:pPr>
              <w:spacing w:after="0"/>
              <w:rPr>
                <w:sz w:val="24"/>
                <w:szCs w:val="24"/>
                <w:color w:val="auto"/>
              </w:rPr>
            </w:pPr>
          </w:p>
        </w:tc>
        <w:tc>
          <w:tcPr>
            <w:tcW w:w="3800" w:type="dxa"/>
            <w:vAlign w:val="bottom"/>
            <w:tcBorders>
              <w:bottom w:val="single" w:sz="8" w:color="0000EE"/>
            </w:tcBorders>
            <w:gridSpan w:val="12"/>
            <w:vMerge w:val="continue"/>
          </w:tcPr>
          <w:p>
            <w:pPr>
              <w:spacing w:after="0"/>
              <w:rPr>
                <w:sz w:val="24"/>
                <w:szCs w:val="24"/>
                <w:color w:val="auto"/>
              </w:rPr>
            </w:pPr>
          </w:p>
        </w:tc>
        <w:tc>
          <w:tcPr>
            <w:tcW w:w="860" w:type="dxa"/>
            <w:vAlign w:val="bottom"/>
            <w:gridSpan w:val="11"/>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sz w:val="20"/>
                <w:szCs w:val="20"/>
                <w:color w:val="auto"/>
              </w:rPr>
            </w:pPr>
            <w:r>
              <w:rPr>
                <w:rFonts w:ascii="Arial" w:cs="Arial" w:eastAsia="Arial" w:hAnsi="Arial"/>
                <w:sz w:val="18"/>
                <w:szCs w:val="18"/>
                <w:color w:val="0000EE"/>
              </w:rPr>
              <w:t>securities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8.1</w:t>
            </w:r>
          </w:p>
        </w:tc>
        <w:tc>
          <w:tcPr>
            <w:tcW w:w="33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Opinion of Dechert LLP regarding tax matters</w:t>
            </w:r>
          </w:p>
        </w:tc>
        <w:tc>
          <w:tcPr>
            <w:tcW w:w="134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8.2</w:t>
            </w:r>
          </w:p>
        </w:tc>
        <w:tc>
          <w:tcPr>
            <w:tcW w:w="4660" w:type="dxa"/>
            <w:vAlign w:val="bottom"/>
            <w:gridSpan w:val="23"/>
          </w:tcPr>
          <w:p>
            <w:pPr>
              <w:spacing w:after="0"/>
              <w:rPr>
                <w:sz w:val="20"/>
                <w:szCs w:val="20"/>
                <w:color w:val="auto"/>
              </w:rPr>
            </w:pPr>
            <w:r>
              <w:rPr>
                <w:rFonts w:ascii="Arial" w:cs="Arial" w:eastAsia="Arial" w:hAnsi="Arial"/>
                <w:sz w:val="18"/>
                <w:szCs w:val="18"/>
                <w:color w:val="0000EE"/>
              </w:rPr>
              <w:t>Opinion of Cooley LLP regarding tax matters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4660" w:type="dxa"/>
            <w:vAlign w:val="bottom"/>
            <w:gridSpan w:val="23"/>
          </w:tcPr>
          <w:p>
            <w:pPr>
              <w:spacing w:after="0"/>
              <w:rPr>
                <w:rFonts w:ascii="Arial" w:cs="Arial" w:eastAsia="Arial" w:hAnsi="Arial"/>
                <w:sz w:val="18"/>
                <w:szCs w:val="18"/>
                <w:color w:val="0000EE"/>
                <w:w w:val="96"/>
              </w:rPr>
            </w:pPr>
            <w:hyperlink r:id="rId498">
              <w:r>
                <w:rPr>
                  <w:rFonts w:ascii="Arial" w:cs="Arial" w:eastAsia="Arial" w:hAnsi="Arial"/>
                  <w:sz w:val="18"/>
                  <w:szCs w:val="18"/>
                  <w:color w:val="0000EE"/>
                  <w:w w:val="96"/>
                </w:rPr>
                <w:t>Collaboration and License Agreement, dated September 29,</w:t>
              </w:r>
            </w:hyperlink>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60" w:type="dxa"/>
            <w:vAlign w:val="bottom"/>
          </w:tcPr>
          <w:p>
            <w:pPr>
              <w:spacing w:after="0"/>
              <w:rPr>
                <w:sz w:val="11"/>
                <w:szCs w:val="11"/>
                <w:color w:val="auto"/>
              </w:rPr>
            </w:pPr>
          </w:p>
        </w:tc>
        <w:tc>
          <w:tcPr>
            <w:tcW w:w="4360" w:type="dxa"/>
            <w:vAlign w:val="bottom"/>
            <w:gridSpan w:val="21"/>
            <w:vMerge w:val="restart"/>
          </w:tcPr>
          <w:p>
            <w:pPr>
              <w:spacing w:after="0" w:line="195" w:lineRule="exact"/>
              <w:rPr>
                <w:rFonts w:ascii="Arial" w:cs="Arial" w:eastAsia="Arial" w:hAnsi="Arial"/>
                <w:sz w:val="18"/>
                <w:szCs w:val="18"/>
                <w:color w:val="0000EE"/>
                <w:w w:val="91"/>
              </w:rPr>
            </w:pPr>
            <w:hyperlink r:id="rId498">
              <w:r>
                <w:rPr>
                  <w:rFonts w:ascii="Arial" w:cs="Arial" w:eastAsia="Arial" w:hAnsi="Arial"/>
                  <w:sz w:val="18"/>
                  <w:szCs w:val="18"/>
                  <w:color w:val="0000EE"/>
                  <w:w w:val="91"/>
                </w:rPr>
                <w:t>2003, between Biota Holdings Limited and Sankyo Co., Ltd.</w:t>
              </w:r>
            </w:hyperlink>
          </w:p>
        </w:tc>
        <w:tc>
          <w:tcPr>
            <w:tcW w:w="300" w:type="dxa"/>
            <w:vAlign w:val="bottom"/>
            <w:gridSpan w:val="2"/>
            <w:vMerge w:val="restart"/>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60" w:type="dxa"/>
            <w:vAlign w:val="bottom"/>
          </w:tcPr>
          <w:p>
            <w:pPr>
              <w:spacing w:after="0"/>
              <w:rPr>
                <w:sz w:val="5"/>
                <w:szCs w:val="5"/>
                <w:color w:val="auto"/>
              </w:rPr>
            </w:pPr>
          </w:p>
        </w:tc>
        <w:tc>
          <w:tcPr>
            <w:tcW w:w="4360" w:type="dxa"/>
            <w:vAlign w:val="bottom"/>
            <w:tcBorders>
              <w:bottom w:val="single" w:sz="8" w:color="0000EE"/>
            </w:tcBorders>
            <w:gridSpan w:val="21"/>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4120" w:type="dxa"/>
            <w:vAlign w:val="bottom"/>
            <w:tcBorders>
              <w:bottom w:val="single" w:sz="8" w:color="0000EE"/>
            </w:tcBorders>
            <w:gridSpan w:val="16"/>
          </w:tcPr>
          <w:p>
            <w:pPr>
              <w:spacing w:after="0"/>
              <w:rPr>
                <w:rFonts w:ascii="Arial" w:cs="Arial" w:eastAsia="Arial" w:hAnsi="Arial"/>
                <w:sz w:val="18"/>
                <w:szCs w:val="18"/>
                <w:color w:val="0000EE"/>
                <w:w w:val="90"/>
              </w:rPr>
            </w:pPr>
            <w:hyperlink r:id="rId499">
              <w:r>
                <w:rPr>
                  <w:rFonts w:ascii="Arial" w:cs="Arial" w:eastAsia="Arial" w:hAnsi="Arial"/>
                  <w:sz w:val="18"/>
                  <w:szCs w:val="18"/>
                  <w:color w:val="0000EE"/>
                  <w:w w:val="90"/>
                </w:rPr>
                <w:t>Amendment #1 to Collaboration and License Agreement,</w:t>
              </w:r>
            </w:hyperlink>
          </w:p>
        </w:tc>
        <w:tc>
          <w:tcPr>
            <w:tcW w:w="54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w w:val="97"/>
              </w:rPr>
            </w:pPr>
            <w:hyperlink r:id="rId499">
              <w:r>
                <w:rPr>
                  <w:rFonts w:ascii="Arial" w:cs="Arial" w:eastAsia="Arial" w:hAnsi="Arial"/>
                  <w:sz w:val="18"/>
                  <w:szCs w:val="18"/>
                  <w:color w:val="0000EE"/>
                  <w:w w:val="97"/>
                </w:rPr>
                <w:t>dated June 30, 2005, between Biota Holdings Limited, Biota</w:t>
              </w:r>
            </w:hyperlink>
          </w:p>
        </w:tc>
        <w:tc>
          <w:tcPr>
            <w:tcW w:w="580" w:type="dxa"/>
            <w:vAlign w:val="bottom"/>
          </w:tcPr>
          <w:p>
            <w:pPr>
              <w:ind w:left="100"/>
              <w:spacing w:after="0" w:line="195"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320" w:type="dxa"/>
            <w:vAlign w:val="bottom"/>
            <w:tcBorders>
              <w:top w:val="single" w:sz="8" w:color="0000EE"/>
              <w:bottom w:val="single" w:sz="8" w:color="0000EE"/>
            </w:tcBorders>
            <w:gridSpan w:val="19"/>
          </w:tcPr>
          <w:p>
            <w:pPr>
              <w:spacing w:after="0" w:line="195" w:lineRule="exact"/>
              <w:rPr>
                <w:rFonts w:ascii="Arial" w:cs="Arial" w:eastAsia="Arial" w:hAnsi="Arial"/>
                <w:sz w:val="18"/>
                <w:szCs w:val="18"/>
                <w:color w:val="0000EE"/>
                <w:w w:val="90"/>
              </w:rPr>
            </w:pPr>
            <w:hyperlink r:id="rId499">
              <w:r>
                <w:rPr>
                  <w:rFonts w:ascii="Arial" w:cs="Arial" w:eastAsia="Arial" w:hAnsi="Arial"/>
                  <w:sz w:val="18"/>
                  <w:szCs w:val="18"/>
                  <w:color w:val="0000EE"/>
                  <w:w w:val="90"/>
                </w:rPr>
                <w:t>Scientific Management Pty. Ltd. and Sankyo Company, Ltd.</w:t>
              </w:r>
            </w:hyperlink>
          </w:p>
        </w:tc>
        <w:tc>
          <w:tcPr>
            <w:tcW w:w="20" w:type="dxa"/>
            <w:vAlign w:val="bottom"/>
            <w:tcBorders>
              <w:top w:val="single" w:sz="8" w:color="0000EE"/>
            </w:tcBorders>
          </w:tcPr>
          <w:p>
            <w:pPr>
              <w:spacing w:after="0"/>
              <w:rPr>
                <w:sz w:val="16"/>
                <w:szCs w:val="16"/>
                <w:color w:val="auto"/>
              </w:rPr>
            </w:pPr>
          </w:p>
        </w:tc>
        <w:tc>
          <w:tcPr>
            <w:tcW w:w="32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4120" w:type="dxa"/>
            <w:vAlign w:val="bottom"/>
            <w:tcBorders>
              <w:bottom w:val="single" w:sz="8" w:color="0000EE"/>
            </w:tcBorders>
            <w:gridSpan w:val="16"/>
          </w:tcPr>
          <w:p>
            <w:pPr>
              <w:spacing w:after="0"/>
              <w:rPr>
                <w:rFonts w:ascii="Arial" w:cs="Arial" w:eastAsia="Arial" w:hAnsi="Arial"/>
                <w:sz w:val="18"/>
                <w:szCs w:val="18"/>
                <w:color w:val="0000EE"/>
                <w:w w:val="90"/>
              </w:rPr>
            </w:pPr>
            <w:hyperlink r:id="rId500">
              <w:r>
                <w:rPr>
                  <w:rFonts w:ascii="Arial" w:cs="Arial" w:eastAsia="Arial" w:hAnsi="Arial"/>
                  <w:sz w:val="18"/>
                  <w:szCs w:val="18"/>
                  <w:color w:val="0000EE"/>
                  <w:w w:val="90"/>
                </w:rPr>
                <w:t>Amendment #2 to Collaboration and License Agreement,</w:t>
              </w:r>
            </w:hyperlink>
          </w:p>
        </w:tc>
        <w:tc>
          <w:tcPr>
            <w:tcW w:w="54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rPr>
            </w:pPr>
            <w:hyperlink r:id="rId500">
              <w:r>
                <w:rPr>
                  <w:rFonts w:ascii="Arial" w:cs="Arial" w:eastAsia="Arial" w:hAnsi="Arial"/>
                  <w:sz w:val="18"/>
                  <w:szCs w:val="18"/>
                  <w:color w:val="0000EE"/>
                </w:rPr>
                <w:t>dated March 27, 2009, between Biota Holdings Limited,</w:t>
              </w:r>
            </w:hyperlink>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60" w:type="dxa"/>
            <w:vAlign w:val="bottom"/>
          </w:tcPr>
          <w:p>
            <w:pPr>
              <w:spacing w:after="0"/>
              <w:rPr>
                <w:sz w:val="11"/>
                <w:szCs w:val="11"/>
                <w:color w:val="auto"/>
              </w:rPr>
            </w:pPr>
          </w:p>
        </w:tc>
        <w:tc>
          <w:tcPr>
            <w:tcW w:w="4660" w:type="dxa"/>
            <w:vAlign w:val="bottom"/>
            <w:gridSpan w:val="23"/>
            <w:vMerge w:val="restart"/>
          </w:tcPr>
          <w:p>
            <w:pPr>
              <w:spacing w:after="0" w:line="195" w:lineRule="exact"/>
              <w:rPr>
                <w:rFonts w:ascii="Arial" w:cs="Arial" w:eastAsia="Arial" w:hAnsi="Arial"/>
                <w:sz w:val="18"/>
                <w:szCs w:val="18"/>
                <w:color w:val="0000EE"/>
              </w:rPr>
            </w:pPr>
            <w:hyperlink r:id="rId500">
              <w:r>
                <w:rPr>
                  <w:rFonts w:ascii="Arial" w:cs="Arial" w:eastAsia="Arial" w:hAnsi="Arial"/>
                  <w:sz w:val="18"/>
                  <w:szCs w:val="18"/>
                  <w:color w:val="0000EE"/>
                </w:rPr>
                <w:t>Biota Scientific Management Pty. Ltd. and Daiichi Sankyo</w:t>
              </w:r>
            </w:hyperlink>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4660" w:type="dxa"/>
            <w:vAlign w:val="bottom"/>
            <w:gridSpan w:val="2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0"/>
              </w:rPr>
            </w:pPr>
            <w:hyperlink r:id="rId500">
              <w:r>
                <w:rPr>
                  <w:rFonts w:ascii="Arial" w:cs="Arial" w:eastAsia="Arial" w:hAnsi="Arial"/>
                  <w:sz w:val="18"/>
                  <w:szCs w:val="18"/>
                  <w:color w:val="0000EE"/>
                  <w:w w:val="90"/>
                </w:rPr>
                <w:t>Company, Limited</w:t>
              </w:r>
            </w:hyperlink>
          </w:p>
        </w:tc>
        <w:tc>
          <w:tcPr>
            <w:tcW w:w="2860" w:type="dxa"/>
            <w:vAlign w:val="bottom"/>
            <w:tcBorders>
              <w:top w:val="single" w:sz="8" w:color="0000EE"/>
            </w:tcBorders>
            <w:gridSpan w:val="14"/>
          </w:tcPr>
          <w:p>
            <w:pPr>
              <w:spacing w:after="0"/>
              <w:rPr>
                <w:sz w:val="16"/>
                <w:szCs w:val="16"/>
                <w:color w:val="auto"/>
              </w:rPr>
            </w:pPr>
          </w:p>
        </w:tc>
        <w:tc>
          <w:tcPr>
            <w:tcW w:w="46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3920" w:type="dxa"/>
            <w:vAlign w:val="bottom"/>
            <w:tcBorders>
              <w:bottom w:val="single" w:sz="8" w:color="0000EE"/>
            </w:tcBorders>
            <w:gridSpan w:val="13"/>
          </w:tcPr>
          <w:p>
            <w:pPr>
              <w:spacing w:after="0"/>
              <w:rPr>
                <w:rFonts w:ascii="Arial" w:cs="Arial" w:eastAsia="Arial" w:hAnsi="Arial"/>
                <w:sz w:val="18"/>
                <w:szCs w:val="18"/>
                <w:color w:val="0000EE"/>
                <w:w w:val="90"/>
              </w:rPr>
            </w:pPr>
            <w:hyperlink r:id="rId501">
              <w:r>
                <w:rPr>
                  <w:rFonts w:ascii="Arial" w:cs="Arial" w:eastAsia="Arial" w:hAnsi="Arial"/>
                  <w:sz w:val="18"/>
                  <w:szCs w:val="18"/>
                  <w:color w:val="0000EE"/>
                  <w:w w:val="90"/>
                </w:rPr>
                <w:t>Commercialization Agreement, dated March 27, 2009,</w:t>
              </w:r>
            </w:hyperlink>
          </w:p>
        </w:tc>
        <w:tc>
          <w:tcPr>
            <w:tcW w:w="74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rPr>
            </w:pPr>
            <w:hyperlink r:id="rId501">
              <w:r>
                <w:rPr>
                  <w:rFonts w:ascii="Arial" w:cs="Arial" w:eastAsia="Arial" w:hAnsi="Arial"/>
                  <w:sz w:val="18"/>
                  <w:szCs w:val="18"/>
                  <w:color w:val="0000EE"/>
                </w:rPr>
                <w:t>between Biota Holdings Limited, Biota Scientific</w:t>
              </w:r>
            </w:hyperlink>
          </w:p>
        </w:tc>
        <w:tc>
          <w:tcPr>
            <w:tcW w:w="580" w:type="dxa"/>
            <w:vAlign w:val="bottom"/>
          </w:tcPr>
          <w:p>
            <w:pPr>
              <w:ind w:left="100"/>
              <w:spacing w:after="0" w:line="195"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Borders>
              <w:right w:val="single" w:sz="8" w:color="0000EE"/>
            </w:tcBorders>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12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r:id="rId501">
              <w:r>
                <w:rPr>
                  <w:rFonts w:ascii="Arial" w:cs="Arial" w:eastAsia="Arial" w:hAnsi="Arial"/>
                  <w:sz w:val="18"/>
                  <w:szCs w:val="18"/>
                  <w:color w:val="0000EE"/>
                  <w:w w:val="90"/>
                </w:rPr>
                <w:t>Management Pty. Ltd and Daiichi Sankyo Company, Ltd.</w:t>
              </w:r>
            </w:hyperlink>
          </w:p>
        </w:tc>
        <w:tc>
          <w:tcPr>
            <w:tcW w:w="540" w:type="dxa"/>
            <w:vAlign w:val="bottom"/>
            <w:gridSpan w:val="7"/>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4120" w:type="dxa"/>
            <w:vAlign w:val="bottom"/>
            <w:tcBorders>
              <w:bottom w:val="single" w:sz="8" w:color="0000EE"/>
            </w:tcBorders>
            <w:gridSpan w:val="16"/>
          </w:tcPr>
          <w:p>
            <w:pPr>
              <w:spacing w:after="0"/>
              <w:rPr>
                <w:rFonts w:ascii="Arial" w:cs="Arial" w:eastAsia="Arial" w:hAnsi="Arial"/>
                <w:sz w:val="18"/>
                <w:szCs w:val="18"/>
                <w:color w:val="0000EE"/>
                <w:w w:val="90"/>
              </w:rPr>
            </w:pPr>
            <w:hyperlink r:id="rId502">
              <w:r>
                <w:rPr>
                  <w:rFonts w:ascii="Arial" w:cs="Arial" w:eastAsia="Arial" w:hAnsi="Arial"/>
                  <w:sz w:val="18"/>
                  <w:szCs w:val="18"/>
                  <w:color w:val="0000EE"/>
                  <w:w w:val="90"/>
                </w:rPr>
                <w:t>Contract, dated March 31, 2011, between Biota Scientific</w:t>
              </w:r>
            </w:hyperlink>
          </w:p>
        </w:tc>
        <w:tc>
          <w:tcPr>
            <w:tcW w:w="54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rPr>
            </w:pPr>
            <w:hyperlink r:id="rId502">
              <w:r>
                <w:rPr>
                  <w:rFonts w:ascii="Arial" w:cs="Arial" w:eastAsia="Arial" w:hAnsi="Arial"/>
                  <w:sz w:val="18"/>
                  <w:szCs w:val="18"/>
                  <w:color w:val="0000EE"/>
                </w:rPr>
                <w:t>Management Pty. Ltd. and Office of Biomedical Advanced</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Borders>
              <w:right w:val="single" w:sz="8" w:color="0000EE"/>
            </w:tcBorders>
            <w:gridSpan w:val="8"/>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4440" w:type="dxa"/>
            <w:vAlign w:val="bottom"/>
            <w:tcBorders>
              <w:bottom w:val="single" w:sz="8" w:color="0000EE"/>
            </w:tcBorders>
            <w:gridSpan w:val="22"/>
          </w:tcPr>
          <w:p>
            <w:pPr>
              <w:spacing w:after="0" w:line="195" w:lineRule="exact"/>
              <w:rPr>
                <w:rFonts w:ascii="Arial" w:cs="Arial" w:eastAsia="Arial" w:hAnsi="Arial"/>
                <w:sz w:val="18"/>
                <w:szCs w:val="18"/>
                <w:color w:val="0000EE"/>
                <w:w w:val="91"/>
              </w:rPr>
            </w:pPr>
            <w:hyperlink r:id="rId502">
              <w:r>
                <w:rPr>
                  <w:rFonts w:ascii="Arial" w:cs="Arial" w:eastAsia="Arial" w:hAnsi="Arial"/>
                  <w:sz w:val="18"/>
                  <w:szCs w:val="18"/>
                  <w:color w:val="0000EE"/>
                  <w:w w:val="91"/>
                </w:rPr>
                <w:t>Research and Development Authority within the Office of the</w:t>
              </w:r>
            </w:hyperlink>
          </w:p>
        </w:tc>
        <w:tc>
          <w:tcPr>
            <w:tcW w:w="220" w:type="dxa"/>
            <w:vAlign w:val="bottom"/>
          </w:tcPr>
          <w:p>
            <w:pPr>
              <w:spacing w:after="0"/>
              <w:rPr>
                <w:sz w:val="16"/>
                <w:szCs w:val="16"/>
                <w:color w:val="auto"/>
              </w:rPr>
            </w:pPr>
          </w:p>
        </w:tc>
        <w:tc>
          <w:tcPr>
            <w:tcW w:w="580" w:type="dxa"/>
            <w:vAlign w:val="bottom"/>
          </w:tcPr>
          <w:p>
            <w:pPr>
              <w:ind w:left="100"/>
              <w:spacing w:after="0" w:line="195"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660" w:type="dxa"/>
            <w:vAlign w:val="bottom"/>
            <w:gridSpan w:val="23"/>
          </w:tcPr>
          <w:p>
            <w:pPr>
              <w:spacing w:after="0" w:line="195" w:lineRule="exact"/>
              <w:rPr>
                <w:rFonts w:ascii="Arial" w:cs="Arial" w:eastAsia="Arial" w:hAnsi="Arial"/>
                <w:sz w:val="18"/>
                <w:szCs w:val="18"/>
                <w:color w:val="0000EE"/>
                <w:w w:val="99"/>
              </w:rPr>
            </w:pPr>
            <w:hyperlink r:id="rId502">
              <w:r>
                <w:rPr>
                  <w:rFonts w:ascii="Arial" w:cs="Arial" w:eastAsia="Arial" w:hAnsi="Arial"/>
                  <w:sz w:val="18"/>
                  <w:szCs w:val="18"/>
                  <w:color w:val="0000EE"/>
                  <w:w w:val="99"/>
                </w:rPr>
                <w:t>Assistant Secretary for preparedness and Response at the</w:t>
              </w:r>
            </w:hyperlink>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4080" w:type="dxa"/>
            <w:vAlign w:val="bottom"/>
            <w:tcBorders>
              <w:top w:val="single" w:sz="8" w:color="0000EE"/>
            </w:tcBorders>
            <w:gridSpan w:val="15"/>
          </w:tcPr>
          <w:p>
            <w:pPr>
              <w:spacing w:after="0" w:line="195" w:lineRule="exact"/>
              <w:rPr>
                <w:rFonts w:ascii="Arial" w:cs="Arial" w:eastAsia="Arial" w:hAnsi="Arial"/>
                <w:sz w:val="18"/>
                <w:szCs w:val="18"/>
                <w:color w:val="0000EE"/>
              </w:rPr>
            </w:pPr>
            <w:hyperlink r:id="rId502">
              <w:r>
                <w:rPr>
                  <w:rFonts w:ascii="Arial" w:cs="Arial" w:eastAsia="Arial" w:hAnsi="Arial"/>
                  <w:sz w:val="18"/>
                  <w:szCs w:val="18"/>
                  <w:color w:val="0000EE"/>
                </w:rPr>
                <w:t>U.S. Department of Health and Human Services</w:t>
              </w:r>
            </w:hyperlink>
          </w:p>
        </w:tc>
        <w:tc>
          <w:tcPr>
            <w:tcW w:w="58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15847337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161883453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161883453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000-04829-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08651814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13834721</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13834721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13834721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13834721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001-35285-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13834721</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05/08/2015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09/13/2016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09/13/2016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03/15/2007</w:t>
      </w:r>
    </w:p>
    <w:p>
      <w:pPr>
        <w:spacing w:after="0" w:line="200" w:lineRule="exact"/>
        <w:rPr>
          <w:sz w:val="20"/>
          <w:szCs w:val="20"/>
          <w:color w:val="auto"/>
        </w:rPr>
      </w:pPr>
    </w:p>
    <w:p>
      <w:pPr>
        <w:spacing w:after="0" w:line="23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24"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05/10/2013</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05/10/2013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05/10/2013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05/10/2013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05/10/2013</w:t>
      </w:r>
    </w:p>
    <w:p>
      <w:pPr>
        <w:sectPr>
          <w:pgSz w:w="11900" w:h="16838" w:orient="portrait"/>
          <w:cols w:equalWidth="0" w:num="3">
            <w:col w:w="6400" w:space="500"/>
            <w:col w:w="1160" w:space="720"/>
            <w:col w:w="2500"/>
          </w:cols>
          <w:pgMar w:left="240" w:top="118" w:right="379" w:bottom="1440" w:gutter="0" w:footer="0" w:header="0"/>
          <w:type w:val="continuous"/>
        </w:sectPr>
      </w:pPr>
    </w:p>
    <w:bookmarkStart w:id="418" w:name="page419"/>
    <w:bookmarkEnd w:id="418"/>
    <w:p>
      <w:pPr>
        <w:spacing w:after="0"/>
        <w:rPr>
          <w:rFonts w:ascii="Arial" w:cs="Arial" w:eastAsia="Arial" w:hAnsi="Arial"/>
          <w:sz w:val="19"/>
          <w:szCs w:val="19"/>
          <w:u w:val="single" w:color="auto"/>
          <w:color w:val="0000EE"/>
        </w:rPr>
      </w:pPr>
      <w:hyperlink w:anchor="page8">
        <w:r>
          <w:rPr>
            <w:rFonts w:ascii="Arial" w:cs="Arial" w:eastAsia="Arial" w:hAnsi="Arial"/>
            <w:sz w:val="19"/>
            <w:szCs w:val="19"/>
            <w:u w:val="single" w:color="auto"/>
            <w:color w:val="0000EE"/>
          </w:rPr>
          <w:t>Table of Contents</w:t>
        </w:r>
      </w:hyperlink>
    </w:p>
    <w:p>
      <w:pPr>
        <w:sectPr>
          <w:pgSz w:w="11900" w:h="16838" w:orient="portrait"/>
          <w:cols w:equalWidth="0" w:num="1">
            <w:col w:w="11280"/>
          </w:cols>
          <w:pgMar w:left="240" w:top="118"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19"/>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397"/>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4440" w:type="dxa"/>
            <w:vAlign w:val="bottom"/>
            <w:gridSpan w:val="24"/>
          </w:tcPr>
          <w:p>
            <w:pPr>
              <w:spacing w:after="0"/>
              <w:rPr>
                <w:rFonts w:ascii="Arial" w:cs="Arial" w:eastAsia="Arial" w:hAnsi="Arial"/>
                <w:sz w:val="18"/>
                <w:szCs w:val="18"/>
                <w:color w:val="0000EE"/>
                <w:w w:val="91"/>
              </w:rPr>
            </w:pPr>
            <w:hyperlink r:id="rId504">
              <w:r>
                <w:rPr>
                  <w:rFonts w:ascii="Arial" w:cs="Arial" w:eastAsia="Arial" w:hAnsi="Arial"/>
                  <w:sz w:val="18"/>
                  <w:szCs w:val="18"/>
                  <w:color w:val="0000EE"/>
                  <w:w w:val="91"/>
                </w:rPr>
                <w:t>Research and License Agreement, dated February 21, 1990,</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w w:val="94"/>
              </w:rPr>
            </w:pPr>
            <w:hyperlink r:id="rId504">
              <w:r>
                <w:rPr>
                  <w:rFonts w:ascii="Arial" w:cs="Arial" w:eastAsia="Arial" w:hAnsi="Arial"/>
                  <w:sz w:val="18"/>
                  <w:szCs w:val="18"/>
                  <w:color w:val="0000EE"/>
                  <w:w w:val="94"/>
                </w:rPr>
                <w:t>by and among Biota Scientific Management Pty. Ltd., Biota</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tcBorders>
              <w:top w:val="single" w:sz="8" w:color="0000EE"/>
              <w:bottom w:val="single" w:sz="8" w:color="0000EE"/>
            </w:tcBorders>
            <w:gridSpan w:val="13"/>
          </w:tcPr>
          <w:p>
            <w:pPr>
              <w:spacing w:after="0" w:line="195" w:lineRule="exact"/>
              <w:rPr>
                <w:rFonts w:ascii="Arial" w:cs="Arial" w:eastAsia="Arial" w:hAnsi="Arial"/>
                <w:sz w:val="18"/>
                <w:szCs w:val="18"/>
                <w:color w:val="0000EE"/>
                <w:w w:val="92"/>
              </w:rPr>
            </w:pPr>
            <w:hyperlink r:id="rId504">
              <w:r>
                <w:rPr>
                  <w:rFonts w:ascii="Arial" w:cs="Arial" w:eastAsia="Arial" w:hAnsi="Arial"/>
                  <w:sz w:val="18"/>
                  <w:szCs w:val="18"/>
                  <w:color w:val="0000EE"/>
                  <w:w w:val="92"/>
                </w:rPr>
                <w:t>Holdings Limited, Glaxo Australia Pty. Ltd. and Glaxo</w:t>
              </w:r>
            </w:hyperlink>
          </w:p>
        </w:tc>
        <w:tc>
          <w:tcPr>
            <w:tcW w:w="340" w:type="dxa"/>
            <w:vAlign w:val="bottom"/>
            <w:tcBorders>
              <w:top w:val="single" w:sz="8" w:color="0000EE"/>
            </w:tcBorders>
            <w:gridSpan w:val="8"/>
          </w:tcPr>
          <w:p>
            <w:pPr>
              <w:spacing w:after="0"/>
              <w:rPr>
                <w:sz w:val="16"/>
                <w:szCs w:val="16"/>
                <w:color w:val="auto"/>
              </w:rPr>
            </w:pPr>
          </w:p>
        </w:tc>
        <w:tc>
          <w:tcPr>
            <w:tcW w:w="160" w:type="dxa"/>
            <w:vAlign w:val="bottom"/>
            <w:gridSpan w:val="3"/>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rPr>
            </w:pPr>
            <w:hyperlink r:id="rId504">
              <w:r>
                <w:rPr>
                  <w:rFonts w:ascii="Arial" w:cs="Arial" w:eastAsia="Arial" w:hAnsi="Arial"/>
                  <w:sz w:val="18"/>
                  <w:szCs w:val="18"/>
                  <w:color w:val="0000EE"/>
                </w:rPr>
                <w:t>Group Limited</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3880" w:type="dxa"/>
            <w:vAlign w:val="bottom"/>
            <w:tcBorders>
              <w:bottom w:val="single" w:sz="8" w:color="0000EE"/>
            </w:tcBorders>
            <w:gridSpan w:val="12"/>
          </w:tcPr>
          <w:p>
            <w:pPr>
              <w:spacing w:after="0"/>
              <w:rPr>
                <w:rFonts w:ascii="Arial" w:cs="Arial" w:eastAsia="Arial" w:hAnsi="Arial"/>
                <w:sz w:val="18"/>
                <w:szCs w:val="18"/>
                <w:color w:val="0000EE"/>
                <w:w w:val="92"/>
              </w:rPr>
            </w:pPr>
            <w:hyperlink r:id="rId505">
              <w:r>
                <w:rPr>
                  <w:rFonts w:ascii="Arial" w:cs="Arial" w:eastAsia="Arial" w:hAnsi="Arial"/>
                  <w:sz w:val="18"/>
                  <w:szCs w:val="18"/>
                  <w:color w:val="0000EE"/>
                  <w:w w:val="92"/>
                </w:rPr>
                <w:t>Form of Indemnification Agreement for Directors and</w:t>
              </w:r>
            </w:hyperlink>
          </w:p>
        </w:tc>
        <w:tc>
          <w:tcPr>
            <w:tcW w:w="560" w:type="dxa"/>
            <w:vAlign w:val="bottom"/>
            <w:gridSpan w:val="12"/>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bottom w:val="single" w:sz="8" w:color="0000EE"/>
            </w:tcBorders>
            <w:gridSpan w:val="5"/>
          </w:tcPr>
          <w:p>
            <w:pPr>
              <w:spacing w:after="0" w:line="195" w:lineRule="exact"/>
              <w:rPr>
                <w:rFonts w:ascii="Arial" w:cs="Arial" w:eastAsia="Arial" w:hAnsi="Arial"/>
                <w:sz w:val="18"/>
                <w:szCs w:val="18"/>
                <w:color w:val="0000EE"/>
                <w:w w:val="90"/>
              </w:rPr>
            </w:pPr>
            <w:hyperlink r:id="rId505">
              <w:r>
                <w:rPr>
                  <w:rFonts w:ascii="Arial" w:cs="Arial" w:eastAsia="Arial" w:hAnsi="Arial"/>
                  <w:sz w:val="18"/>
                  <w:szCs w:val="18"/>
                  <w:color w:val="0000EE"/>
                  <w:w w:val="90"/>
                </w:rPr>
                <w:t>Executive Officers</w:t>
              </w:r>
            </w:hyperlink>
          </w:p>
        </w:tc>
        <w:tc>
          <w:tcPr>
            <w:tcW w:w="3100" w:type="dxa"/>
            <w:vAlign w:val="bottom"/>
            <w:gridSpan w:val="19"/>
          </w:tcPr>
          <w:p>
            <w:pPr>
              <w:spacing w:after="0"/>
              <w:rPr>
                <w:sz w:val="16"/>
                <w:szCs w:val="16"/>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3880" w:type="dxa"/>
            <w:vAlign w:val="bottom"/>
            <w:tcBorders>
              <w:bottom w:val="single" w:sz="8" w:color="0000EE"/>
            </w:tcBorders>
            <w:gridSpan w:val="12"/>
          </w:tcPr>
          <w:p>
            <w:pPr>
              <w:spacing w:after="0"/>
              <w:rPr>
                <w:rFonts w:ascii="Arial" w:cs="Arial" w:eastAsia="Arial" w:hAnsi="Arial"/>
                <w:sz w:val="18"/>
                <w:szCs w:val="18"/>
                <w:color w:val="0000EE"/>
                <w:w w:val="89"/>
              </w:rPr>
            </w:pPr>
            <w:hyperlink r:id="rId506">
              <w:r>
                <w:rPr>
                  <w:rFonts w:ascii="Arial" w:cs="Arial" w:eastAsia="Arial" w:hAnsi="Arial"/>
                  <w:sz w:val="18"/>
                  <w:szCs w:val="18"/>
                  <w:color w:val="0000EE"/>
                  <w:w w:val="89"/>
                </w:rPr>
                <w:t>Employment Agreement, dated as of October 1, 2014,</w:t>
              </w:r>
            </w:hyperlink>
          </w:p>
        </w:tc>
        <w:tc>
          <w:tcPr>
            <w:tcW w:w="560" w:type="dxa"/>
            <w:vAlign w:val="bottom"/>
            <w:gridSpan w:val="12"/>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w w:val="93"/>
              </w:rPr>
            </w:pPr>
            <w:hyperlink r:id="rId506">
              <w:r>
                <w:rPr>
                  <w:rFonts w:ascii="Arial" w:cs="Arial" w:eastAsia="Arial" w:hAnsi="Arial"/>
                  <w:sz w:val="18"/>
                  <w:szCs w:val="18"/>
                  <w:color w:val="0000EE"/>
                  <w:w w:val="93"/>
                </w:rPr>
                <w:t>between Biota Pharmaceuticals, Inc., and Russell H. Plumb</w:t>
              </w:r>
            </w:hyperlink>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41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507">
              <w:r>
                <w:rPr>
                  <w:rFonts w:ascii="Arial" w:cs="Arial" w:eastAsia="Arial" w:hAnsi="Arial"/>
                  <w:sz w:val="18"/>
                  <w:szCs w:val="18"/>
                  <w:color w:val="0000EE"/>
                  <w:w w:val="90"/>
                </w:rPr>
                <w:t>Amended Executive Employment Agreement, dated as of</w:t>
              </w:r>
            </w:hyperlink>
          </w:p>
        </w:tc>
        <w:tc>
          <w:tcPr>
            <w:tcW w:w="140" w:type="dxa"/>
            <w:vAlign w:val="bottom"/>
            <w:tcBorders>
              <w:top w:val="single" w:sz="8" w:color="0000EE"/>
            </w:tcBorders>
            <w:gridSpan w:val="3"/>
          </w:tcPr>
          <w:p>
            <w:pPr>
              <w:spacing w:after="0"/>
              <w:rPr>
                <w:sz w:val="24"/>
                <w:szCs w:val="24"/>
                <w:color w:val="auto"/>
              </w:rPr>
            </w:pPr>
          </w:p>
        </w:tc>
        <w:tc>
          <w:tcPr>
            <w:tcW w:w="160" w:type="dxa"/>
            <w:vAlign w:val="bottom"/>
            <w:gridSpan w:val="3"/>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20" w:type="dxa"/>
            <w:vAlign w:val="bottom"/>
            <w:tcBorders>
              <w:bottom w:val="single" w:sz="8" w:color="0000EE"/>
            </w:tcBorders>
            <w:gridSpan w:val="20"/>
          </w:tcPr>
          <w:p>
            <w:pPr>
              <w:spacing w:after="0" w:line="195" w:lineRule="exact"/>
              <w:rPr>
                <w:rFonts w:ascii="Arial" w:cs="Arial" w:eastAsia="Arial" w:hAnsi="Arial"/>
                <w:sz w:val="18"/>
                <w:szCs w:val="18"/>
                <w:color w:val="0000EE"/>
                <w:w w:val="89"/>
              </w:rPr>
            </w:pPr>
            <w:hyperlink r:id="rId507">
              <w:r>
                <w:rPr>
                  <w:rFonts w:ascii="Arial" w:cs="Arial" w:eastAsia="Arial" w:hAnsi="Arial"/>
                  <w:sz w:val="18"/>
                  <w:szCs w:val="18"/>
                  <w:color w:val="0000EE"/>
                  <w:w w:val="89"/>
                </w:rPr>
                <w:t>October 1, 2014, between Biota Pharmaceuticals, Inc., and</w:t>
              </w:r>
            </w:hyperlink>
          </w:p>
        </w:tc>
        <w:tc>
          <w:tcPr>
            <w:tcW w:w="220" w:type="dxa"/>
            <w:vAlign w:val="bottom"/>
            <w:gridSpan w:val="4"/>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rPr>
            </w:pPr>
            <w:hyperlink r:id="rId507">
              <w:r>
                <w:rPr>
                  <w:rFonts w:ascii="Arial" w:cs="Arial" w:eastAsia="Arial" w:hAnsi="Arial"/>
                  <w:sz w:val="18"/>
                  <w:szCs w:val="18"/>
                  <w:color w:val="0000EE"/>
                </w:rPr>
                <w:t>Joseph M. Patti</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4440" w:type="dxa"/>
            <w:vAlign w:val="bottom"/>
            <w:gridSpan w:val="24"/>
          </w:tcPr>
          <w:p>
            <w:pPr>
              <w:spacing w:after="0"/>
              <w:rPr>
                <w:rFonts w:ascii="Arial" w:cs="Arial" w:eastAsia="Arial" w:hAnsi="Arial"/>
                <w:sz w:val="18"/>
                <w:szCs w:val="18"/>
                <w:color w:val="0000EE"/>
              </w:rPr>
            </w:pPr>
            <w:hyperlink r:id="rId508">
              <w:r>
                <w:rPr>
                  <w:rFonts w:ascii="Arial" w:cs="Arial" w:eastAsia="Arial" w:hAnsi="Arial"/>
                  <w:sz w:val="18"/>
                  <w:szCs w:val="18"/>
                  <w:color w:val="0000EE"/>
                </w:rPr>
                <w:t>Form Non-Plan Stock Units Agreement</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3600" w:type="dxa"/>
            <w:vAlign w:val="bottom"/>
            <w:tcBorders>
              <w:bottom w:val="single" w:sz="8" w:color="0000EE"/>
            </w:tcBorders>
            <w:gridSpan w:val="11"/>
          </w:tcPr>
          <w:p>
            <w:pPr>
              <w:spacing w:after="0"/>
              <w:rPr>
                <w:rFonts w:ascii="Arial" w:cs="Arial" w:eastAsia="Arial" w:hAnsi="Arial"/>
                <w:sz w:val="18"/>
                <w:szCs w:val="18"/>
                <w:color w:val="0000EE"/>
                <w:w w:val="91"/>
              </w:rPr>
            </w:pPr>
            <w:hyperlink r:id="rId509">
              <w:r>
                <w:rPr>
                  <w:rFonts w:ascii="Arial" w:cs="Arial" w:eastAsia="Arial" w:hAnsi="Arial"/>
                  <w:sz w:val="18"/>
                  <w:szCs w:val="18"/>
                  <w:color w:val="0000EE"/>
                  <w:w w:val="91"/>
                </w:rPr>
                <w:t>Form of Letter Agreement for Stock Option Grant</w:t>
              </w:r>
            </w:hyperlink>
          </w:p>
        </w:tc>
        <w:tc>
          <w:tcPr>
            <w:tcW w:w="840" w:type="dxa"/>
            <w:vAlign w:val="bottom"/>
            <w:gridSpan w:val="13"/>
          </w:tcPr>
          <w:p>
            <w:pPr>
              <w:spacing w:after="0"/>
              <w:rPr>
                <w:sz w:val="24"/>
                <w:szCs w:val="24"/>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2960" w:type="dxa"/>
            <w:vAlign w:val="bottom"/>
            <w:tcBorders>
              <w:bottom w:val="single" w:sz="8" w:color="0000EE"/>
            </w:tcBorders>
            <w:gridSpan w:val="9"/>
          </w:tcPr>
          <w:p>
            <w:pPr>
              <w:spacing w:after="0"/>
              <w:rPr>
                <w:rFonts w:ascii="Arial" w:cs="Arial" w:eastAsia="Arial" w:hAnsi="Arial"/>
                <w:sz w:val="18"/>
                <w:szCs w:val="18"/>
                <w:color w:val="0000EE"/>
                <w:w w:val="90"/>
              </w:rPr>
            </w:pPr>
            <w:hyperlink r:id="rId510">
              <w:r>
                <w:rPr>
                  <w:rFonts w:ascii="Arial" w:cs="Arial" w:eastAsia="Arial" w:hAnsi="Arial"/>
                  <w:sz w:val="18"/>
                  <w:szCs w:val="18"/>
                  <w:color w:val="0000EE"/>
                  <w:w w:val="90"/>
                </w:rPr>
                <w:t>2007 Omnibus Equity and Incentive Plan</w:t>
              </w:r>
            </w:hyperlink>
          </w:p>
        </w:tc>
        <w:tc>
          <w:tcPr>
            <w:tcW w:w="1480" w:type="dxa"/>
            <w:vAlign w:val="bottom"/>
            <w:gridSpan w:val="15"/>
          </w:tcPr>
          <w:p>
            <w:pPr>
              <w:spacing w:after="0"/>
              <w:rPr>
                <w:sz w:val="24"/>
                <w:szCs w:val="24"/>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4200" w:type="dxa"/>
            <w:vAlign w:val="bottom"/>
            <w:tcBorders>
              <w:bottom w:val="single" w:sz="8" w:color="0000EE"/>
            </w:tcBorders>
            <w:gridSpan w:val="19"/>
          </w:tcPr>
          <w:p>
            <w:pPr>
              <w:spacing w:after="0"/>
              <w:rPr>
                <w:rFonts w:ascii="Arial" w:cs="Arial" w:eastAsia="Arial" w:hAnsi="Arial"/>
                <w:sz w:val="18"/>
                <w:szCs w:val="18"/>
                <w:color w:val="0000EE"/>
                <w:w w:val="90"/>
              </w:rPr>
            </w:pPr>
            <w:hyperlink r:id="rId511">
              <w:r>
                <w:rPr>
                  <w:rFonts w:ascii="Arial" w:cs="Arial" w:eastAsia="Arial" w:hAnsi="Arial"/>
                  <w:sz w:val="18"/>
                  <w:szCs w:val="18"/>
                  <w:color w:val="0000EE"/>
                  <w:w w:val="90"/>
                </w:rPr>
                <w:t>Executive Employment Agreement, dated as of November</w:t>
              </w:r>
            </w:hyperlink>
          </w:p>
        </w:tc>
        <w:tc>
          <w:tcPr>
            <w:tcW w:w="240" w:type="dxa"/>
            <w:vAlign w:val="bottom"/>
            <w:gridSpan w:val="5"/>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w w:val="96"/>
              </w:rPr>
            </w:pPr>
            <w:hyperlink r:id="rId511">
              <w:r>
                <w:rPr>
                  <w:rFonts w:ascii="Arial" w:cs="Arial" w:eastAsia="Arial" w:hAnsi="Arial"/>
                  <w:sz w:val="18"/>
                  <w:szCs w:val="18"/>
                  <w:color w:val="0000EE"/>
                  <w:w w:val="96"/>
                </w:rPr>
                <w:t>26, 2013, between Biota Pharmaceuticals, Inc., and Peter</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80" w:type="dxa"/>
            <w:vAlign w:val="bottom"/>
            <w:tcBorders>
              <w:top w:val="single" w:sz="8" w:color="0000EE"/>
            </w:tcBorders>
            <w:gridSpan w:val="16"/>
          </w:tcPr>
          <w:p>
            <w:pPr>
              <w:spacing w:after="0" w:line="195" w:lineRule="exact"/>
              <w:rPr>
                <w:rFonts w:ascii="Arial" w:cs="Arial" w:eastAsia="Arial" w:hAnsi="Arial"/>
                <w:sz w:val="18"/>
                <w:szCs w:val="18"/>
                <w:color w:val="0000EE"/>
              </w:rPr>
            </w:pPr>
            <w:hyperlink r:id="rId511">
              <w:r>
                <w:rPr>
                  <w:rFonts w:ascii="Arial" w:cs="Arial" w:eastAsia="Arial" w:hAnsi="Arial"/>
                  <w:sz w:val="18"/>
                  <w:szCs w:val="18"/>
                  <w:color w:val="0000EE"/>
                </w:rPr>
                <w:t>Azzarello</w:t>
              </w:r>
            </w:hyperlink>
          </w:p>
        </w:tc>
        <w:tc>
          <w:tcPr>
            <w:tcW w:w="360" w:type="dxa"/>
            <w:vAlign w:val="bottom"/>
            <w:gridSpan w:val="8"/>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4440" w:type="dxa"/>
            <w:vAlign w:val="bottom"/>
            <w:gridSpan w:val="24"/>
          </w:tcPr>
          <w:p>
            <w:pPr>
              <w:spacing w:after="0"/>
              <w:rPr>
                <w:rFonts w:ascii="Arial" w:cs="Arial" w:eastAsia="Arial" w:hAnsi="Arial"/>
                <w:sz w:val="18"/>
                <w:szCs w:val="18"/>
                <w:color w:val="0000EE"/>
                <w:w w:val="93"/>
              </w:rPr>
            </w:pPr>
            <w:hyperlink r:id="rId512">
              <w:r>
                <w:rPr>
                  <w:rFonts w:ascii="Arial" w:cs="Arial" w:eastAsia="Arial" w:hAnsi="Arial"/>
                  <w:sz w:val="18"/>
                  <w:szCs w:val="18"/>
                  <w:color w:val="0000EE"/>
                  <w:w w:val="93"/>
                </w:rPr>
                <w:t>Form of Employee Stock Option Agreement under the 2007</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0"/>
              </w:rPr>
            </w:pPr>
            <w:hyperlink r:id="rId512">
              <w:r>
                <w:rPr>
                  <w:rFonts w:ascii="Arial" w:cs="Arial" w:eastAsia="Arial" w:hAnsi="Arial"/>
                  <w:sz w:val="18"/>
                  <w:szCs w:val="18"/>
                  <w:color w:val="0000EE"/>
                  <w:w w:val="90"/>
                </w:rPr>
                <w:t>Omnibus Equity and Incentive Plan</w:t>
              </w:r>
            </w:hyperlink>
          </w:p>
        </w:tc>
        <w:tc>
          <w:tcPr>
            <w:tcW w:w="1740" w:type="dxa"/>
            <w:vAlign w:val="bottom"/>
            <w:tcBorders>
              <w:top w:val="single" w:sz="8" w:color="0000EE"/>
            </w:tcBorders>
            <w:gridSpan w:val="16"/>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4"/>
                <w:szCs w:val="24"/>
                <w:color w:val="auto"/>
              </w:rPr>
            </w:pPr>
          </w:p>
        </w:tc>
        <w:tc>
          <w:tcPr>
            <w:tcW w:w="4440" w:type="dxa"/>
            <w:vAlign w:val="bottom"/>
            <w:gridSpan w:val="24"/>
          </w:tcPr>
          <w:p>
            <w:pPr>
              <w:spacing w:after="0"/>
              <w:rPr>
                <w:rFonts w:ascii="Arial" w:cs="Arial" w:eastAsia="Arial" w:hAnsi="Arial"/>
                <w:sz w:val="18"/>
                <w:szCs w:val="18"/>
                <w:color w:val="0000EE"/>
                <w:w w:val="94"/>
              </w:rPr>
            </w:pPr>
            <w:hyperlink r:id="rId513">
              <w:r>
                <w:rPr>
                  <w:rFonts w:ascii="Arial" w:cs="Arial" w:eastAsia="Arial" w:hAnsi="Arial"/>
                  <w:sz w:val="18"/>
                  <w:szCs w:val="18"/>
                  <w:color w:val="0000EE"/>
                  <w:w w:val="94"/>
                </w:rPr>
                <w:t>Form of Market-Based Stock Unit Award Agreement under</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0"/>
              </w:rPr>
            </w:pPr>
            <w:hyperlink r:id="rId513">
              <w:r>
                <w:rPr>
                  <w:rFonts w:ascii="Arial" w:cs="Arial" w:eastAsia="Arial" w:hAnsi="Arial"/>
                  <w:sz w:val="18"/>
                  <w:szCs w:val="18"/>
                  <w:color w:val="0000EE"/>
                  <w:w w:val="90"/>
                </w:rPr>
                <w:t>the 2007 Omnibus Equity and Incentive Plan</w:t>
              </w:r>
            </w:hyperlink>
          </w:p>
        </w:tc>
        <w:tc>
          <w:tcPr>
            <w:tcW w:w="1060" w:type="dxa"/>
            <w:vAlign w:val="bottom"/>
            <w:tcBorders>
              <w:top w:val="single" w:sz="8" w:color="0000EE"/>
            </w:tcBorders>
            <w:gridSpan w:val="11"/>
          </w:tcPr>
          <w:p>
            <w:pPr>
              <w:spacing w:after="0"/>
              <w:rPr>
                <w:sz w:val="16"/>
                <w:szCs w:val="16"/>
                <w:color w:val="auto"/>
              </w:rPr>
            </w:pPr>
          </w:p>
        </w:tc>
        <w:tc>
          <w:tcPr>
            <w:tcW w:w="160" w:type="dxa"/>
            <w:vAlign w:val="bottom"/>
            <w:gridSpan w:val="3"/>
          </w:tcPr>
          <w:p>
            <w:pPr>
              <w:spacing w:after="0"/>
              <w:rPr>
                <w:sz w:val="16"/>
                <w:szCs w:val="16"/>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4440" w:type="dxa"/>
            <w:vAlign w:val="bottom"/>
            <w:gridSpan w:val="24"/>
          </w:tcPr>
          <w:p>
            <w:pPr>
              <w:spacing w:after="0"/>
              <w:rPr>
                <w:rFonts w:ascii="Arial" w:cs="Arial" w:eastAsia="Arial" w:hAnsi="Arial"/>
                <w:sz w:val="18"/>
                <w:szCs w:val="18"/>
                <w:color w:val="0000EE"/>
                <w:w w:val="91"/>
              </w:rPr>
            </w:pPr>
            <w:hyperlink r:id="rId514">
              <w:r>
                <w:rPr>
                  <w:rFonts w:ascii="Arial" w:cs="Arial" w:eastAsia="Arial" w:hAnsi="Arial"/>
                  <w:sz w:val="18"/>
                  <w:szCs w:val="18"/>
                  <w:color w:val="0000EE"/>
                  <w:w w:val="91"/>
                </w:rPr>
                <w:t>Executive Employment Agreement, effective as of November</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89"/>
              </w:rPr>
            </w:pPr>
            <w:hyperlink r:id="rId514">
              <w:r>
                <w:rPr>
                  <w:rFonts w:ascii="Arial" w:cs="Arial" w:eastAsia="Arial" w:hAnsi="Arial"/>
                  <w:sz w:val="18"/>
                  <w:szCs w:val="18"/>
                  <w:color w:val="0000EE"/>
                  <w:w w:val="89"/>
                </w:rPr>
                <w:t>2, 2015, between Biota Pharmaceuticals, Inc. and Mark</w:t>
              </w:r>
            </w:hyperlink>
          </w:p>
        </w:tc>
        <w:tc>
          <w:tcPr>
            <w:tcW w:w="440" w:type="dxa"/>
            <w:vAlign w:val="bottom"/>
            <w:tcBorders>
              <w:top w:val="single" w:sz="8" w:color="0000EE"/>
            </w:tcBorders>
            <w:gridSpan w:val="9"/>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rPr>
            </w:pPr>
            <w:hyperlink r:id="rId514">
              <w:r>
                <w:rPr>
                  <w:rFonts w:ascii="Arial" w:cs="Arial" w:eastAsia="Arial" w:hAnsi="Arial"/>
                  <w:sz w:val="18"/>
                  <w:szCs w:val="18"/>
                  <w:color w:val="0000EE"/>
                </w:rPr>
                <w:t>Colonnese</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4040" w:type="dxa"/>
            <w:vAlign w:val="bottom"/>
            <w:tcBorders>
              <w:bottom w:val="single" w:sz="8" w:color="0000EE"/>
            </w:tcBorders>
            <w:gridSpan w:val="15"/>
          </w:tcPr>
          <w:p>
            <w:pPr>
              <w:spacing w:after="0"/>
              <w:rPr>
                <w:rFonts w:ascii="Arial" w:cs="Arial" w:eastAsia="Arial" w:hAnsi="Arial"/>
                <w:sz w:val="18"/>
                <w:szCs w:val="18"/>
                <w:color w:val="0000EE"/>
                <w:w w:val="90"/>
              </w:rPr>
            </w:pPr>
            <w:hyperlink r:id="rId515">
              <w:r>
                <w:rPr>
                  <w:rFonts w:ascii="Arial" w:cs="Arial" w:eastAsia="Arial" w:hAnsi="Arial"/>
                  <w:sz w:val="18"/>
                  <w:szCs w:val="18"/>
                  <w:color w:val="0000EE"/>
                  <w:w w:val="90"/>
                </w:rPr>
                <w:t>Royalty Interest Acquisition Agreement by and between</w:t>
              </w:r>
            </w:hyperlink>
          </w:p>
        </w:tc>
        <w:tc>
          <w:tcPr>
            <w:tcW w:w="400" w:type="dxa"/>
            <w:vAlign w:val="bottom"/>
            <w:gridSpan w:val="9"/>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2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515">
              <w:r>
                <w:rPr>
                  <w:rFonts w:ascii="Arial" w:cs="Arial" w:eastAsia="Arial" w:hAnsi="Arial"/>
                  <w:sz w:val="18"/>
                  <w:szCs w:val="18"/>
                  <w:color w:val="0000EE"/>
                  <w:w w:val="91"/>
                </w:rPr>
                <w:t>Aviragen Therapeutics, Inc., Biota Holdings Pty Ltd, Biota</w:t>
              </w:r>
            </w:hyperlink>
          </w:p>
        </w:tc>
        <w:tc>
          <w:tcPr>
            <w:tcW w:w="220" w:type="dxa"/>
            <w:vAlign w:val="bottom"/>
            <w:gridSpan w:val="4"/>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00" w:type="dxa"/>
            <w:vAlign w:val="bottom"/>
            <w:tcBorders>
              <w:bottom w:val="single" w:sz="8" w:color="0000EE"/>
            </w:tcBorders>
            <w:gridSpan w:val="17"/>
          </w:tcPr>
          <w:p>
            <w:pPr>
              <w:spacing w:after="0" w:line="195" w:lineRule="exact"/>
              <w:rPr>
                <w:rFonts w:ascii="Arial" w:cs="Arial" w:eastAsia="Arial" w:hAnsi="Arial"/>
                <w:sz w:val="18"/>
                <w:szCs w:val="18"/>
                <w:color w:val="0000EE"/>
                <w:w w:val="90"/>
              </w:rPr>
            </w:pPr>
            <w:hyperlink r:id="rId515">
              <w:r>
                <w:rPr>
                  <w:rFonts w:ascii="Arial" w:cs="Arial" w:eastAsia="Arial" w:hAnsi="Arial"/>
                  <w:sz w:val="18"/>
                  <w:szCs w:val="18"/>
                  <w:color w:val="0000EE"/>
                  <w:w w:val="90"/>
                </w:rPr>
                <w:t>Scientific Management Pty. Ltd. and HealthCare Royalty</w:t>
              </w:r>
            </w:hyperlink>
          </w:p>
        </w:tc>
        <w:tc>
          <w:tcPr>
            <w:tcW w:w="340" w:type="dxa"/>
            <w:vAlign w:val="bottom"/>
            <w:gridSpan w:val="7"/>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40" w:type="dxa"/>
            <w:vAlign w:val="bottom"/>
            <w:gridSpan w:val="24"/>
          </w:tcPr>
          <w:p>
            <w:pPr>
              <w:spacing w:after="0" w:line="195" w:lineRule="exact"/>
              <w:rPr>
                <w:rFonts w:ascii="Arial" w:cs="Arial" w:eastAsia="Arial" w:hAnsi="Arial"/>
                <w:sz w:val="18"/>
                <w:szCs w:val="18"/>
                <w:color w:val="0000EE"/>
              </w:rPr>
            </w:pPr>
            <w:hyperlink r:id="rId515">
              <w:r>
                <w:rPr>
                  <w:rFonts w:ascii="Arial" w:cs="Arial" w:eastAsia="Arial" w:hAnsi="Arial"/>
                  <w:sz w:val="18"/>
                  <w:szCs w:val="18"/>
                  <w:color w:val="0000EE"/>
                </w:rPr>
                <w:t>Partners III, L.P. dated April 22, 2016</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300" w:type="dxa"/>
            <w:vAlign w:val="bottom"/>
            <w:gridSpan w:val="4"/>
          </w:tcPr>
          <w:p>
            <w:pPr>
              <w:ind w:left="60"/>
              <w:spacing w:after="0"/>
              <w:rPr>
                <w:sz w:val="20"/>
                <w:szCs w:val="20"/>
                <w:color w:val="auto"/>
              </w:rPr>
            </w:pPr>
            <w:r>
              <w:rPr>
                <w:rFonts w:ascii="Arial" w:cs="Arial" w:eastAsia="Arial" w:hAnsi="Arial"/>
                <w:sz w:val="18"/>
                <w:szCs w:val="18"/>
                <w:b w:val="1"/>
                <w:bCs w:val="1"/>
                <w:color w:val="auto"/>
              </w:rPr>
              <w:t>Incorporated by Reference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09"/>
        </w:trPr>
        <w:tc>
          <w:tcPr>
            <w:tcW w:w="780" w:type="dxa"/>
            <w:vAlign w:val="bottom"/>
          </w:tcPr>
          <w:p>
            <w:pPr>
              <w:spacing w:after="0"/>
              <w:rPr>
                <w:sz w:val="20"/>
                <w:szCs w:val="20"/>
                <w:color w:val="auto"/>
              </w:rPr>
            </w:pPr>
            <w:r>
              <w:rPr>
                <w:rFonts w:ascii="Arial" w:cs="Arial" w:eastAsia="Arial" w:hAnsi="Arial"/>
                <w:sz w:val="18"/>
                <w:szCs w:val="18"/>
                <w:b w:val="1"/>
                <w:bCs w:val="1"/>
                <w:color w:val="auto"/>
              </w:rPr>
              <w:t>Form</w:t>
            </w: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460" w:type="dxa"/>
            <w:vAlign w:val="bottom"/>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2"/>
              </w:rPr>
              <w:t>9/27/2013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131119699</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1"/>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05/06/2013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13817036</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02/06/2015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15584221</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02/06/2015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15584221</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11/14/2012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121206005</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11/14/2012</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121206005</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4"/>
              </w:rPr>
              <w:t>DEF</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000-04829-</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04/12/2007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restart"/>
          </w:tcPr>
          <w:p>
            <w:pPr>
              <w:jc w:val="center"/>
              <w:ind w:right="270"/>
              <w:spacing w:after="0"/>
              <w:rPr>
                <w:sz w:val="20"/>
                <w:szCs w:val="20"/>
                <w:color w:val="auto"/>
              </w:rPr>
            </w:pPr>
            <w:r>
              <w:rPr>
                <w:rFonts w:ascii="Arial" w:cs="Arial" w:eastAsia="Arial" w:hAnsi="Arial"/>
                <w:sz w:val="18"/>
                <w:szCs w:val="18"/>
                <w:color w:val="auto"/>
                <w:w w:val="93"/>
              </w:rPr>
              <w:t>14A</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07763351</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11/27/2013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131247987</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12/10/2013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131266832</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12/10/2013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131266832</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90"/>
              <w:spacing w:after="0"/>
              <w:rPr>
                <w:sz w:val="20"/>
                <w:szCs w:val="20"/>
                <w:color w:val="auto"/>
              </w:rPr>
            </w:pPr>
            <w:r>
              <w:rPr>
                <w:rFonts w:ascii="Arial" w:cs="Arial" w:eastAsia="Arial" w:hAnsi="Arial"/>
                <w:sz w:val="18"/>
                <w:szCs w:val="18"/>
                <w:color w:val="auto"/>
                <w:w w:val="89"/>
              </w:rPr>
              <w:t>11/2/2015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151189714</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9"/>
        </w:trPr>
        <w:tc>
          <w:tcPr>
            <w:tcW w:w="78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001-35285-</w:t>
            </w:r>
          </w:p>
        </w:tc>
        <w:tc>
          <w:tcPr>
            <w:tcW w:w="1720" w:type="dxa"/>
            <w:vAlign w:val="bottom"/>
            <w:gridSpan w:val="2"/>
            <w:vMerge w:val="restart"/>
          </w:tcPr>
          <w:p>
            <w:pPr>
              <w:jc w:val="center"/>
              <w:ind w:left="370"/>
              <w:spacing w:after="0"/>
              <w:rPr>
                <w:sz w:val="20"/>
                <w:szCs w:val="20"/>
                <w:color w:val="auto"/>
              </w:rPr>
            </w:pPr>
            <w:r>
              <w:rPr>
                <w:rFonts w:ascii="Arial" w:cs="Arial" w:eastAsia="Arial" w:hAnsi="Arial"/>
                <w:sz w:val="18"/>
                <w:szCs w:val="18"/>
                <w:color w:val="auto"/>
                <w:w w:val="90"/>
              </w:rPr>
              <w:t>04/26/2016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161590079</w:t>
            </w:r>
          </w:p>
        </w:tc>
        <w:tc>
          <w:tcPr>
            <w:tcW w:w="17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-5759450</wp:posOffset>
            </wp:positionV>
            <wp:extent cx="253809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2538095"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-5614035</wp:posOffset>
            </wp:positionV>
            <wp:extent cx="43561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435610" cy="8255"/>
                    </a:xfrm>
                    <a:prstGeom prst="rect">
                      <a:avLst/>
                    </a:prstGeom>
                    <a:noFill/>
                  </pic:spPr>
                </pic:pic>
              </a:graphicData>
            </a:graphic>
          </wp:anchor>
        </w:drawing>
      </w:r>
    </w:p>
    <w:p>
      <w:pPr>
        <w:sectPr>
          <w:pgSz w:w="11900" w:h="16838" w:orient="portrait"/>
          <w:cols w:equalWidth="0" w:num="2">
            <w:col w:w="5840" w:space="120"/>
            <w:col w:w="5320"/>
          </w:cols>
          <w:pgMar w:left="240" w:top="118" w:right="379" w:bottom="1440" w:gutter="0" w:footer="0" w:header="0"/>
          <w:type w:val="continuous"/>
        </w:sectPr>
      </w:pPr>
    </w:p>
    <w:bookmarkStart w:id="419" w:name="page420"/>
    <w:bookmarkEnd w:id="419"/>
    <w:p>
      <w:pPr>
        <w:spacing w:after="0"/>
        <w:rPr>
          <w:rFonts w:ascii="Arial" w:cs="Arial" w:eastAsia="Arial" w:hAnsi="Arial"/>
          <w:sz w:val="19"/>
          <w:szCs w:val="19"/>
          <w:u w:val="single" w:color="auto"/>
          <w:color w:val="0000EE"/>
        </w:rPr>
      </w:pPr>
      <w:hyperlink w:anchor="page8">
        <w:r>
          <w:rPr>
            <w:rFonts w:ascii="Arial" w:cs="Arial" w:eastAsia="Arial" w:hAnsi="Arial"/>
            <w:sz w:val="19"/>
            <w:szCs w:val="19"/>
            <w:u w:val="single" w:color="auto"/>
            <w:color w:val="0000EE"/>
          </w:rPr>
          <w:t>Table of Contents</w:t>
        </w:r>
      </w:hyperlink>
    </w:p>
    <w:p>
      <w:pPr>
        <w:sectPr>
          <w:pgSz w:w="11900" w:h="16838" w:orient="portrait"/>
          <w:cols w:equalWidth="0" w:num="1">
            <w:col w:w="11280"/>
          </w:cols>
          <w:pgMar w:left="240" w:top="118"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11"/>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397"/>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4440" w:type="dxa"/>
            <w:vAlign w:val="bottom"/>
            <w:tcBorders>
              <w:bottom w:val="single" w:sz="8" w:color="0000EE"/>
            </w:tcBorders>
            <w:gridSpan w:val="13"/>
          </w:tcPr>
          <w:p>
            <w:pPr>
              <w:spacing w:after="0"/>
              <w:rPr>
                <w:rFonts w:ascii="Arial" w:cs="Arial" w:eastAsia="Arial" w:hAnsi="Arial"/>
                <w:sz w:val="18"/>
                <w:szCs w:val="18"/>
                <w:color w:val="0000EE"/>
                <w:w w:val="89"/>
              </w:rPr>
            </w:pPr>
            <w:hyperlink r:id="rId519">
              <w:r>
                <w:rPr>
                  <w:rFonts w:ascii="Arial" w:cs="Arial" w:eastAsia="Arial" w:hAnsi="Arial"/>
                  <w:sz w:val="18"/>
                  <w:szCs w:val="18"/>
                  <w:color w:val="0000EE"/>
                  <w:w w:val="89"/>
                </w:rPr>
                <w:t>Protective Rights Agreement between Aviragen Therapeutics,</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0" w:type="dxa"/>
            <w:vAlign w:val="bottom"/>
            <w:tcBorders>
              <w:bottom w:val="single" w:sz="8" w:color="0000EE"/>
            </w:tcBorders>
            <w:gridSpan w:val="12"/>
          </w:tcPr>
          <w:p>
            <w:pPr>
              <w:spacing w:after="0" w:line="195" w:lineRule="exact"/>
              <w:rPr>
                <w:rFonts w:ascii="Arial" w:cs="Arial" w:eastAsia="Arial" w:hAnsi="Arial"/>
                <w:sz w:val="18"/>
                <w:szCs w:val="18"/>
                <w:color w:val="0000EE"/>
                <w:w w:val="91"/>
              </w:rPr>
            </w:pPr>
            <w:hyperlink r:id="rId519">
              <w:r>
                <w:rPr>
                  <w:rFonts w:ascii="Arial" w:cs="Arial" w:eastAsia="Arial" w:hAnsi="Arial"/>
                  <w:sz w:val="18"/>
                  <w:szCs w:val="18"/>
                  <w:color w:val="0000EE"/>
                  <w:w w:val="91"/>
                </w:rPr>
                <w:t>Inc. and HealthCare Royalty Partners III, L.P. dated April 22,</w:t>
              </w:r>
            </w:hyperlink>
          </w:p>
        </w:tc>
        <w:tc>
          <w:tcPr>
            <w:tcW w:w="40" w:type="dxa"/>
            <w:vAlign w:val="bottom"/>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600" w:type="dxa"/>
            <w:vAlign w:val="bottom"/>
            <w:gridSpan w:val="2"/>
          </w:tcPr>
          <w:p>
            <w:pPr>
              <w:ind w:left="240"/>
              <w:spacing w:after="0" w:line="195" w:lineRule="exact"/>
              <w:rPr>
                <w:rFonts w:ascii="Arial" w:cs="Arial" w:eastAsia="Arial" w:hAnsi="Arial"/>
                <w:sz w:val="18"/>
                <w:szCs w:val="18"/>
                <w:color w:val="0000EE"/>
                <w:w w:val="84"/>
              </w:rPr>
            </w:pPr>
            <w:hyperlink r:id="rId519">
              <w:r>
                <w:rPr>
                  <w:rFonts w:ascii="Arial" w:cs="Arial" w:eastAsia="Arial" w:hAnsi="Arial"/>
                  <w:sz w:val="18"/>
                  <w:szCs w:val="18"/>
                  <w:color w:val="0000EE"/>
                  <w:w w:val="84"/>
                </w:rPr>
                <w:t>2016</w:t>
              </w:r>
            </w:hyperlink>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4440" w:type="dxa"/>
            <w:vAlign w:val="bottom"/>
            <w:gridSpan w:val="13"/>
          </w:tcPr>
          <w:p>
            <w:pPr>
              <w:spacing w:after="0"/>
              <w:rPr>
                <w:rFonts w:ascii="Arial" w:cs="Arial" w:eastAsia="Arial" w:hAnsi="Arial"/>
                <w:sz w:val="18"/>
                <w:szCs w:val="18"/>
                <w:color w:val="0000EE"/>
                <w:w w:val="93"/>
              </w:rPr>
            </w:pPr>
            <w:hyperlink r:id="rId520">
              <w:r>
                <w:rPr>
                  <w:rFonts w:ascii="Arial" w:cs="Arial" w:eastAsia="Arial" w:hAnsi="Arial"/>
                  <w:sz w:val="18"/>
                  <w:szCs w:val="18"/>
                  <w:color w:val="0000EE"/>
                  <w:w w:val="93"/>
                </w:rPr>
                <w:t>Form of Employee Stock Option Agreement under the 2016</w:t>
              </w:r>
            </w:hyperlink>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0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r:id="rId520">
              <w:r>
                <w:rPr>
                  <w:rFonts w:ascii="Arial" w:cs="Arial" w:eastAsia="Arial" w:hAnsi="Arial"/>
                  <w:sz w:val="18"/>
                  <w:szCs w:val="18"/>
                  <w:color w:val="0000EE"/>
                </w:rPr>
                <w:t>Equity Incentive Plan</w:t>
              </w:r>
            </w:hyperlink>
          </w:p>
        </w:tc>
        <w:tc>
          <w:tcPr>
            <w:tcW w:w="140" w:type="dxa"/>
            <w:vAlign w:val="bottom"/>
            <w:gridSpan w:val="2"/>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4440" w:type="dxa"/>
            <w:vAlign w:val="bottom"/>
            <w:gridSpan w:val="13"/>
          </w:tcPr>
          <w:p>
            <w:pPr>
              <w:spacing w:after="0"/>
              <w:rPr>
                <w:rFonts w:ascii="Arial" w:cs="Arial" w:eastAsia="Arial" w:hAnsi="Arial"/>
                <w:sz w:val="18"/>
                <w:szCs w:val="18"/>
                <w:color w:val="0000EE"/>
              </w:rPr>
            </w:pPr>
            <w:hyperlink r:id="rId521">
              <w:r>
                <w:rPr>
                  <w:rFonts w:ascii="Arial" w:cs="Arial" w:eastAsia="Arial" w:hAnsi="Arial"/>
                  <w:sz w:val="18"/>
                  <w:szCs w:val="18"/>
                  <w:color w:val="0000EE"/>
                </w:rPr>
                <w:t>2016 Equity Incentive Plan</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2480" w:type="dxa"/>
            <w:vAlign w:val="bottom"/>
            <w:tcBorders>
              <w:bottom w:val="single" w:sz="8" w:color="0000EE"/>
            </w:tcBorders>
            <w:gridSpan w:val="5"/>
          </w:tcPr>
          <w:p>
            <w:pPr>
              <w:spacing w:after="0"/>
              <w:rPr>
                <w:rFonts w:ascii="Arial" w:cs="Arial" w:eastAsia="Arial" w:hAnsi="Arial"/>
                <w:sz w:val="18"/>
                <w:szCs w:val="18"/>
                <w:color w:val="0000EE"/>
                <w:w w:val="91"/>
              </w:rPr>
            </w:pPr>
            <w:hyperlink r:id="rId522">
              <w:r>
                <w:rPr>
                  <w:rFonts w:ascii="Arial" w:cs="Arial" w:eastAsia="Arial" w:hAnsi="Arial"/>
                  <w:sz w:val="18"/>
                  <w:szCs w:val="18"/>
                  <w:color w:val="0000EE"/>
                  <w:w w:val="91"/>
                </w:rPr>
                <w:t>Director Stock Option Grant Form</w:t>
              </w:r>
            </w:hyperlink>
          </w:p>
        </w:tc>
        <w:tc>
          <w:tcPr>
            <w:tcW w:w="1960" w:type="dxa"/>
            <w:vAlign w:val="bottom"/>
            <w:gridSpan w:val="8"/>
          </w:tcPr>
          <w:p>
            <w:pPr>
              <w:spacing w:after="0"/>
              <w:rPr>
                <w:sz w:val="24"/>
                <w:szCs w:val="24"/>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4440" w:type="dxa"/>
            <w:vAlign w:val="bottom"/>
            <w:gridSpan w:val="13"/>
          </w:tcPr>
          <w:p>
            <w:pPr>
              <w:spacing w:after="0"/>
              <w:rPr>
                <w:sz w:val="20"/>
                <w:szCs w:val="20"/>
                <w:color w:val="auto"/>
              </w:rPr>
            </w:pPr>
            <w:r>
              <w:rPr>
                <w:rFonts w:ascii="Arial" w:cs="Arial" w:eastAsia="Arial" w:hAnsi="Arial"/>
                <w:sz w:val="18"/>
                <w:szCs w:val="18"/>
                <w:color w:val="0000EE"/>
                <w:w w:val="94"/>
              </w:rPr>
              <w:t>Form of Indemnity Agreement by and between Vaxart, Inc.</w:t>
            </w: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4"/>
          </w:tcPr>
          <w:p>
            <w:pPr>
              <w:spacing w:after="0" w:line="195" w:lineRule="exact"/>
              <w:rPr>
                <w:sz w:val="20"/>
                <w:szCs w:val="20"/>
                <w:color w:val="auto"/>
              </w:rPr>
            </w:pPr>
            <w:r>
              <w:rPr>
                <w:rFonts w:ascii="Arial" w:cs="Arial" w:eastAsia="Arial" w:hAnsi="Arial"/>
                <w:sz w:val="18"/>
                <w:szCs w:val="18"/>
                <w:color w:val="0000EE"/>
                <w:w w:val="89"/>
              </w:rPr>
              <w:t>and its directors and officers</w:t>
            </w:r>
          </w:p>
        </w:tc>
        <w:tc>
          <w:tcPr>
            <w:tcW w:w="2200" w:type="dxa"/>
            <w:vAlign w:val="bottom"/>
            <w:tcBorders>
              <w:top w:val="single" w:sz="8" w:color="0000EE"/>
            </w:tcBorders>
            <w:gridSpan w:val="6"/>
          </w:tcPr>
          <w:p>
            <w:pPr>
              <w:spacing w:after="0"/>
              <w:rPr>
                <w:sz w:val="16"/>
                <w:szCs w:val="16"/>
                <w:color w:val="auto"/>
              </w:rPr>
            </w:pPr>
          </w:p>
        </w:tc>
        <w:tc>
          <w:tcPr>
            <w:tcW w:w="200" w:type="dxa"/>
            <w:vAlign w:val="bottom"/>
            <w:gridSpan w:val="3"/>
          </w:tcPr>
          <w:p>
            <w:pPr>
              <w:spacing w:after="0"/>
              <w:rPr>
                <w:sz w:val="16"/>
                <w:szCs w:val="16"/>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41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Vaxart, Inc. Amended and Restated 2007 Equity Incentive</w:t>
            </w:r>
          </w:p>
        </w:tc>
        <w:tc>
          <w:tcPr>
            <w:tcW w:w="260" w:type="dxa"/>
            <w:vAlign w:val="bottom"/>
            <w:gridSpan w:val="5"/>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91"/>
              </w:rPr>
              <w:t>Plan, Stock Option Agreement, form of Notice of Stock</w:t>
            </w:r>
          </w:p>
        </w:tc>
        <w:tc>
          <w:tcPr>
            <w:tcW w:w="440" w:type="dxa"/>
            <w:vAlign w:val="bottom"/>
            <w:gridSpan w:val="6"/>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tcBorders>
              <w:bottom w:val="single" w:sz="8" w:color="0000EE"/>
            </w:tcBorders>
            <w:gridSpan w:val="9"/>
          </w:tcPr>
          <w:p>
            <w:pPr>
              <w:spacing w:after="0" w:line="195" w:lineRule="exact"/>
              <w:rPr>
                <w:sz w:val="20"/>
                <w:szCs w:val="20"/>
                <w:color w:val="auto"/>
              </w:rPr>
            </w:pPr>
            <w:r>
              <w:rPr>
                <w:rFonts w:ascii="Arial" w:cs="Arial" w:eastAsia="Arial" w:hAnsi="Arial"/>
                <w:sz w:val="18"/>
                <w:szCs w:val="18"/>
                <w:color w:val="0000EE"/>
                <w:w w:val="92"/>
              </w:rPr>
              <w:t>Option Grant, form of Additional Terms and Conditions to</w:t>
            </w:r>
          </w:p>
        </w:tc>
        <w:tc>
          <w:tcPr>
            <w:tcW w:w="240" w:type="dxa"/>
            <w:vAlign w:val="bottom"/>
            <w:gridSpan w:val="4"/>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0"/>
              </w:rPr>
              <w:t>Option and Stock Option Exercise Agreement</w:t>
            </w:r>
          </w:p>
        </w:tc>
        <w:tc>
          <w:tcPr>
            <w:tcW w:w="1140" w:type="dxa"/>
            <w:vAlign w:val="bottom"/>
            <w:gridSpan w:val="7"/>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5"/>
        </w:trPr>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34"/>
        </w:trPr>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09"/>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220" w:type="dxa"/>
            <w:vAlign w:val="bottom"/>
          </w:tcPr>
          <w:p>
            <w:pPr>
              <w:spacing w:after="0"/>
              <w:rPr>
                <w:sz w:val="18"/>
                <w:szCs w:val="18"/>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440" w:type="dxa"/>
            <w:vAlign w:val="bottom"/>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001-35285-</w:t>
            </w:r>
          </w:p>
        </w:tc>
        <w:tc>
          <w:tcPr>
            <w:tcW w:w="1700" w:type="dxa"/>
            <w:vAlign w:val="bottom"/>
            <w:gridSpan w:val="2"/>
            <w:vMerge w:val="restart"/>
          </w:tcPr>
          <w:p>
            <w:pPr>
              <w:ind w:left="660"/>
              <w:spacing w:after="0"/>
              <w:rPr>
                <w:sz w:val="20"/>
                <w:szCs w:val="20"/>
                <w:color w:val="auto"/>
              </w:rPr>
            </w:pPr>
            <w:r>
              <w:rPr>
                <w:rFonts w:ascii="Arial" w:cs="Arial" w:eastAsia="Arial" w:hAnsi="Arial"/>
                <w:sz w:val="18"/>
                <w:szCs w:val="18"/>
                <w:color w:val="auto"/>
              </w:rPr>
              <w:t>04/26/2016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15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8"/>
              </w:rPr>
              <w:t>161590079</w:t>
            </w:r>
          </w:p>
        </w:tc>
        <w:tc>
          <w:tcPr>
            <w:tcW w:w="1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4"/>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9"/>
              </w:rPr>
              <w:t>10-Q</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001-35285-</w:t>
            </w:r>
          </w:p>
        </w:tc>
        <w:tc>
          <w:tcPr>
            <w:tcW w:w="1700" w:type="dxa"/>
            <w:vAlign w:val="bottom"/>
            <w:gridSpan w:val="2"/>
            <w:vMerge w:val="restart"/>
          </w:tcPr>
          <w:p>
            <w:pPr>
              <w:ind w:left="660"/>
              <w:spacing w:after="0"/>
              <w:rPr>
                <w:sz w:val="20"/>
                <w:szCs w:val="20"/>
                <w:color w:val="auto"/>
              </w:rPr>
            </w:pPr>
            <w:r>
              <w:rPr>
                <w:rFonts w:ascii="Arial" w:cs="Arial" w:eastAsia="Arial" w:hAnsi="Arial"/>
                <w:sz w:val="18"/>
                <w:szCs w:val="18"/>
                <w:color w:val="auto"/>
              </w:rPr>
              <w:t>05/08/2017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15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9"/>
              </w:rPr>
              <w:t>17822953</w:t>
            </w:r>
          </w:p>
        </w:tc>
        <w:tc>
          <w:tcPr>
            <w:tcW w:w="1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3"/>
              </w:rPr>
              <w:t>DEF 14A</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001-35285-</w:t>
            </w:r>
          </w:p>
        </w:tc>
        <w:tc>
          <w:tcPr>
            <w:tcW w:w="1700" w:type="dxa"/>
            <w:vAlign w:val="bottom"/>
            <w:gridSpan w:val="2"/>
            <w:vMerge w:val="restart"/>
          </w:tcPr>
          <w:p>
            <w:pPr>
              <w:ind w:left="660"/>
              <w:spacing w:after="0"/>
              <w:rPr>
                <w:sz w:val="20"/>
                <w:szCs w:val="20"/>
                <w:color w:val="auto"/>
              </w:rPr>
            </w:pPr>
            <w:r>
              <w:rPr>
                <w:rFonts w:ascii="Arial" w:cs="Arial" w:eastAsia="Arial" w:hAnsi="Arial"/>
                <w:sz w:val="18"/>
                <w:szCs w:val="18"/>
                <w:color w:val="auto"/>
              </w:rPr>
              <w:t>09/27/2016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15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88"/>
              </w:rPr>
              <w:t>161904921</w:t>
            </w:r>
          </w:p>
        </w:tc>
        <w:tc>
          <w:tcPr>
            <w:tcW w:w="1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15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333-222009</w:t>
            </w: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12/12/2017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20"/>
        <w:spacing w:after="0"/>
        <w:rPr>
          <w:sz w:val="20"/>
          <w:szCs w:val="20"/>
          <w:color w:val="auto"/>
        </w:rPr>
      </w:pPr>
      <w:r>
        <w:rPr>
          <w:rFonts w:ascii="Arial" w:cs="Arial" w:eastAsia="Arial" w:hAnsi="Arial"/>
          <w:sz w:val="18"/>
          <w:szCs w:val="18"/>
          <w:color w:val="auto"/>
        </w:rPr>
        <w:t>171252523</w:t>
      </w:r>
    </w:p>
    <w:p>
      <w:pPr>
        <w:spacing w:after="0" w:line="3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518" w:lineRule="exact"/>
        <w:rPr>
          <w:sz w:val="20"/>
          <w:szCs w:val="20"/>
          <w:color w:val="auto"/>
        </w:rPr>
      </w:pPr>
    </w:p>
    <w:p>
      <w:pPr>
        <w:sectPr>
          <w:pgSz w:w="11900" w:h="16838" w:orient="portrait"/>
          <w:cols w:equalWidth="0" w:num="2">
            <w:col w:w="5600" w:space="220"/>
            <w:col w:w="5460"/>
          </w:cols>
          <w:pgMar w:left="240" w:top="118" w:right="37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10.25</w:t>
            </w:r>
          </w:p>
        </w:tc>
        <w:tc>
          <w:tcPr>
            <w:tcW w:w="42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Offer Letter, dated May 25, 2011, and Amendment to Offer</w:t>
            </w:r>
          </w:p>
        </w:tc>
        <w:tc>
          <w:tcPr>
            <w:tcW w:w="140" w:type="dxa"/>
            <w:vAlign w:val="bottom"/>
            <w:gridSpan w:val="4"/>
          </w:tcPr>
          <w:p>
            <w:pPr>
              <w:spacing w:after="0"/>
              <w:rPr>
                <w:sz w:val="17"/>
                <w:szCs w:val="17"/>
                <w:color w:val="auto"/>
              </w:rPr>
            </w:pPr>
          </w:p>
        </w:tc>
      </w:tr>
      <w:tr>
        <w:trPr>
          <w:trHeight w:val="195"/>
        </w:trPr>
        <w:tc>
          <w:tcPr>
            <w:tcW w:w="1160" w:type="dxa"/>
            <w:vAlign w:val="bottom"/>
          </w:tcPr>
          <w:p>
            <w:pPr>
              <w:spacing w:after="0"/>
              <w:rPr>
                <w:sz w:val="16"/>
                <w:szCs w:val="16"/>
                <w:color w:val="auto"/>
              </w:rPr>
            </w:pPr>
          </w:p>
        </w:tc>
        <w:tc>
          <w:tcPr>
            <w:tcW w:w="4400" w:type="dxa"/>
            <w:vAlign w:val="bottom"/>
            <w:gridSpan w:val="16"/>
          </w:tcPr>
          <w:p>
            <w:pPr>
              <w:spacing w:after="0" w:line="195" w:lineRule="exact"/>
              <w:rPr>
                <w:sz w:val="20"/>
                <w:szCs w:val="20"/>
                <w:color w:val="auto"/>
              </w:rPr>
            </w:pPr>
            <w:r>
              <w:rPr>
                <w:rFonts w:ascii="Arial" w:cs="Arial" w:eastAsia="Arial" w:hAnsi="Arial"/>
                <w:sz w:val="18"/>
                <w:szCs w:val="18"/>
                <w:color w:val="0000EE"/>
                <w:w w:val="91"/>
              </w:rPr>
              <w:t>Letter and Option Grant Agreement, dated October 1, 2011,</w:t>
            </w:r>
          </w:p>
        </w:tc>
      </w:tr>
      <w:tr>
        <w:trPr>
          <w:trHeight w:val="195"/>
        </w:trPr>
        <w:tc>
          <w:tcPr>
            <w:tcW w:w="1160" w:type="dxa"/>
            <w:vAlign w:val="bottom"/>
          </w:tcPr>
          <w:p>
            <w:pPr>
              <w:spacing w:after="0"/>
              <w:rPr>
                <w:sz w:val="16"/>
                <w:szCs w:val="16"/>
                <w:color w:val="auto"/>
              </w:rPr>
            </w:pPr>
          </w:p>
        </w:tc>
        <w:tc>
          <w:tcPr>
            <w:tcW w:w="4100" w:type="dxa"/>
            <w:vAlign w:val="bottom"/>
            <w:tcBorders>
              <w:top w:val="single" w:sz="8" w:color="0000EE"/>
              <w:bottom w:val="single" w:sz="8" w:color="0000EE"/>
            </w:tcBorders>
            <w:gridSpan w:val="10"/>
          </w:tcPr>
          <w:p>
            <w:pPr>
              <w:spacing w:after="0" w:line="195" w:lineRule="exact"/>
              <w:rPr>
                <w:sz w:val="20"/>
                <w:szCs w:val="20"/>
                <w:color w:val="auto"/>
              </w:rPr>
            </w:pPr>
            <w:r>
              <w:rPr>
                <w:rFonts w:ascii="Arial" w:cs="Arial" w:eastAsia="Arial" w:hAnsi="Arial"/>
                <w:sz w:val="18"/>
                <w:szCs w:val="18"/>
                <w:color w:val="0000EE"/>
                <w:w w:val="90"/>
              </w:rPr>
              <w:t>by and between Vaxart, Inc. and Wouter W. Latour, M.D.</w:t>
            </w:r>
          </w:p>
        </w:tc>
        <w:tc>
          <w:tcPr>
            <w:tcW w:w="180" w:type="dxa"/>
            <w:vAlign w:val="bottom"/>
            <w:tcBorders>
              <w:top w:val="single" w:sz="8" w:color="0000EE"/>
            </w:tcBorders>
            <w:gridSpan w:val="3"/>
          </w:tcPr>
          <w:p>
            <w:pPr>
              <w:spacing w:after="0"/>
              <w:rPr>
                <w:sz w:val="16"/>
                <w:szCs w:val="16"/>
                <w:color w:val="auto"/>
              </w:rPr>
            </w:pPr>
          </w:p>
        </w:tc>
        <w:tc>
          <w:tcPr>
            <w:tcW w:w="120" w:type="dxa"/>
            <w:vAlign w:val="bottom"/>
            <w:gridSpan w:val="3"/>
          </w:tcPr>
          <w:p>
            <w:pPr>
              <w:spacing w:after="0"/>
              <w:rPr>
                <w:sz w:val="16"/>
                <w:szCs w:val="16"/>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10.26</w:t>
            </w:r>
          </w:p>
        </w:tc>
        <w:tc>
          <w:tcPr>
            <w:tcW w:w="41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Industrial Lease, dated October 28, 2013, by and between</w:t>
            </w:r>
          </w:p>
        </w:tc>
        <w:tc>
          <w:tcPr>
            <w:tcW w:w="260" w:type="dxa"/>
            <w:vAlign w:val="bottom"/>
            <w:gridSpan w:val="5"/>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2460" w:type="dxa"/>
            <w:vAlign w:val="bottom"/>
            <w:tcBorders>
              <w:bottom w:val="single" w:sz="8" w:color="0000EE"/>
            </w:tcBorders>
          </w:tcPr>
          <w:p>
            <w:pPr>
              <w:spacing w:after="0" w:line="195" w:lineRule="exact"/>
              <w:rPr>
                <w:sz w:val="20"/>
                <w:szCs w:val="20"/>
                <w:color w:val="auto"/>
              </w:rPr>
            </w:pPr>
            <w:r>
              <w:rPr>
                <w:rFonts w:ascii="Arial" w:cs="Arial" w:eastAsia="Arial" w:hAnsi="Arial"/>
                <w:sz w:val="18"/>
                <w:szCs w:val="18"/>
                <w:color w:val="0000EE"/>
                <w:w w:val="90"/>
              </w:rPr>
              <w:t>Vaxart, Inc. and Oyster Point LLC</w:t>
            </w:r>
          </w:p>
        </w:tc>
        <w:tc>
          <w:tcPr>
            <w:tcW w:w="1940" w:type="dxa"/>
            <w:vAlign w:val="bottom"/>
            <w:gridSpan w:val="15"/>
          </w:tcPr>
          <w:p>
            <w:pPr>
              <w:spacing w:after="0"/>
              <w:rPr>
                <w:sz w:val="16"/>
                <w:szCs w:val="16"/>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10.27</w:t>
            </w:r>
          </w:p>
        </w:tc>
        <w:tc>
          <w:tcPr>
            <w:tcW w:w="4400" w:type="dxa"/>
            <w:vAlign w:val="bottom"/>
            <w:gridSpan w:val="16"/>
          </w:tcPr>
          <w:p>
            <w:pPr>
              <w:spacing w:after="0"/>
              <w:rPr>
                <w:sz w:val="20"/>
                <w:szCs w:val="20"/>
                <w:color w:val="auto"/>
              </w:rPr>
            </w:pPr>
            <w:r>
              <w:rPr>
                <w:rFonts w:ascii="Arial" w:cs="Arial" w:eastAsia="Arial" w:hAnsi="Arial"/>
                <w:sz w:val="18"/>
                <w:szCs w:val="18"/>
                <w:color w:val="0000EE"/>
                <w:w w:val="97"/>
              </w:rPr>
              <w:t>Lease Agreement, dated April 17, 2015, by and between</w:t>
            </w:r>
          </w:p>
        </w:tc>
      </w:tr>
      <w:tr>
        <w:trPr>
          <w:trHeight w:val="195"/>
        </w:trPr>
        <w:tc>
          <w:tcPr>
            <w:tcW w:w="1160" w:type="dxa"/>
            <w:vAlign w:val="bottom"/>
          </w:tcPr>
          <w:p>
            <w:pPr>
              <w:spacing w:after="0"/>
              <w:rPr>
                <w:sz w:val="16"/>
                <w:szCs w:val="16"/>
                <w:color w:val="auto"/>
              </w:rPr>
            </w:pPr>
          </w:p>
        </w:tc>
        <w:tc>
          <w:tcPr>
            <w:tcW w:w="4040" w:type="dxa"/>
            <w:vAlign w:val="bottom"/>
            <w:tcBorders>
              <w:top w:val="single" w:sz="8" w:color="0000EE"/>
            </w:tcBorders>
            <w:gridSpan w:val="8"/>
          </w:tcPr>
          <w:p>
            <w:pPr>
              <w:spacing w:after="0" w:line="195" w:lineRule="exact"/>
              <w:rPr>
                <w:sz w:val="20"/>
                <w:szCs w:val="20"/>
                <w:color w:val="auto"/>
              </w:rPr>
            </w:pPr>
            <w:r>
              <w:rPr>
                <w:rFonts w:ascii="Arial" w:cs="Arial" w:eastAsia="Arial" w:hAnsi="Arial"/>
                <w:sz w:val="18"/>
                <w:szCs w:val="18"/>
                <w:color w:val="0000EE"/>
              </w:rPr>
              <w:t>Vaxart, Inc. and CRP Edgewater, LLC</w:t>
            </w:r>
          </w:p>
        </w:tc>
        <w:tc>
          <w:tcPr>
            <w:tcW w:w="360" w:type="dxa"/>
            <w:vAlign w:val="bottom"/>
            <w:gridSpan w:val="8"/>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10.28</w:t>
            </w:r>
          </w:p>
        </w:tc>
        <w:tc>
          <w:tcPr>
            <w:tcW w:w="43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Loan and Security Agreement, dated December 22, 2016, by</w:t>
            </w:r>
          </w:p>
        </w:tc>
        <w:tc>
          <w:tcPr>
            <w:tcW w:w="40" w:type="dxa"/>
            <w:vAlign w:val="bottom"/>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36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0"/>
              </w:rPr>
              <w:t>and between Vaxart, Inc. and Oxford Finance LLC</w:t>
            </w:r>
          </w:p>
        </w:tc>
        <w:tc>
          <w:tcPr>
            <w:tcW w:w="740" w:type="dxa"/>
            <w:vAlign w:val="bottom"/>
            <w:gridSpan w:val="10"/>
          </w:tcPr>
          <w:p>
            <w:pPr>
              <w:spacing w:after="0"/>
              <w:rPr>
                <w:sz w:val="16"/>
                <w:szCs w:val="16"/>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10.29</w:t>
            </w:r>
          </w:p>
        </w:tc>
        <w:tc>
          <w:tcPr>
            <w:tcW w:w="44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Warrant to Purchase Stock, dated December 22, 2016, by and</w:t>
            </w:r>
          </w:p>
        </w:tc>
      </w:tr>
      <w:tr>
        <w:trPr>
          <w:trHeight w:val="195"/>
        </w:trPr>
        <w:tc>
          <w:tcPr>
            <w:tcW w:w="1160" w:type="dxa"/>
            <w:vAlign w:val="bottom"/>
          </w:tcPr>
          <w:p>
            <w:pPr>
              <w:spacing w:after="0"/>
              <w:rPr>
                <w:sz w:val="16"/>
                <w:szCs w:val="16"/>
                <w:color w:val="auto"/>
              </w:rPr>
            </w:pPr>
          </w:p>
        </w:tc>
        <w:tc>
          <w:tcPr>
            <w:tcW w:w="4400" w:type="dxa"/>
            <w:vAlign w:val="bottom"/>
            <w:gridSpan w:val="16"/>
          </w:tcPr>
          <w:p>
            <w:pPr>
              <w:spacing w:after="0" w:line="195" w:lineRule="exact"/>
              <w:rPr>
                <w:sz w:val="20"/>
                <w:szCs w:val="20"/>
                <w:color w:val="auto"/>
              </w:rPr>
            </w:pPr>
            <w:r>
              <w:rPr>
                <w:rFonts w:ascii="Arial" w:cs="Arial" w:eastAsia="Arial" w:hAnsi="Arial"/>
                <w:sz w:val="18"/>
                <w:szCs w:val="18"/>
                <w:color w:val="0000EE"/>
              </w:rPr>
              <w:t>between Vaxart, Inc. and Oxford Finance LLC</w:t>
            </w:r>
          </w:p>
        </w:tc>
      </w:tr>
      <w:tr>
        <w:trPr>
          <w:trHeight w:val="20"/>
        </w:trPr>
        <w:tc>
          <w:tcPr>
            <w:tcW w:w="1160" w:type="dxa"/>
            <w:vAlign w:val="bottom"/>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3620" w:type="dxa"/>
            <w:vAlign w:val="bottom"/>
            <w:tcBorders>
              <w:bottom w:val="single" w:sz="8" w:color="0000EE"/>
            </w:tcBorders>
            <w:gridSpan w:val="5"/>
          </w:tcPr>
          <w:p>
            <w:pPr>
              <w:spacing w:after="0"/>
              <w:rPr>
                <w:rFonts w:ascii="Arial" w:cs="Arial" w:eastAsia="Arial" w:hAnsi="Arial"/>
                <w:sz w:val="18"/>
                <w:szCs w:val="18"/>
                <w:color w:val="0000EE"/>
                <w:w w:val="91"/>
              </w:rPr>
            </w:pPr>
            <w:hyperlink r:id="rId523">
              <w:r>
                <w:rPr>
                  <w:rFonts w:ascii="Arial" w:cs="Arial" w:eastAsia="Arial" w:hAnsi="Arial"/>
                  <w:sz w:val="18"/>
                  <w:szCs w:val="18"/>
                  <w:color w:val="0000EE"/>
                  <w:w w:val="91"/>
                </w:rPr>
                <w:t>List of Subsidiaries of Aviragen Therapeutics, Inc.</w:t>
              </w:r>
            </w:hyperlink>
          </w:p>
        </w:tc>
        <w:tc>
          <w:tcPr>
            <w:tcW w:w="780" w:type="dxa"/>
            <w:vAlign w:val="bottom"/>
            <w:gridSpan w:val="11"/>
          </w:tcPr>
          <w:p>
            <w:pPr>
              <w:spacing w:after="0"/>
              <w:rPr>
                <w:sz w:val="24"/>
                <w:szCs w:val="24"/>
                <w:color w:val="auto"/>
              </w:rPr>
            </w:pPr>
          </w:p>
        </w:tc>
      </w:tr>
      <w:tr>
        <w:trPr>
          <w:trHeight w:val="626"/>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9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Consent of Ernst &amp; Young LLP, independent registered</w:t>
            </w:r>
          </w:p>
        </w:tc>
        <w:tc>
          <w:tcPr>
            <w:tcW w:w="440" w:type="dxa"/>
            <w:vAlign w:val="bottom"/>
            <w:gridSpan w:val="9"/>
          </w:tcPr>
          <w:p>
            <w:pPr>
              <w:spacing w:after="0"/>
              <w:rPr>
                <w:sz w:val="24"/>
                <w:szCs w:val="24"/>
                <w:color w:val="auto"/>
              </w:rPr>
            </w:pPr>
          </w:p>
        </w:tc>
      </w:tr>
      <w:tr>
        <w:trPr>
          <w:trHeight w:val="195"/>
        </w:trPr>
        <w:tc>
          <w:tcPr>
            <w:tcW w:w="1160" w:type="dxa"/>
            <w:vAlign w:val="bottom"/>
          </w:tcPr>
          <w:p>
            <w:pPr>
              <w:spacing w:after="0"/>
              <w:rPr>
                <w:sz w:val="16"/>
                <w:szCs w:val="16"/>
                <w:color w:val="auto"/>
              </w:rPr>
            </w:pPr>
          </w:p>
        </w:tc>
        <w:tc>
          <w:tcPr>
            <w:tcW w:w="4400" w:type="dxa"/>
            <w:vAlign w:val="bottom"/>
            <w:gridSpan w:val="16"/>
          </w:tcPr>
          <w:p>
            <w:pPr>
              <w:spacing w:after="0" w:line="195" w:lineRule="exact"/>
              <w:rPr>
                <w:sz w:val="20"/>
                <w:szCs w:val="20"/>
                <w:color w:val="auto"/>
              </w:rPr>
            </w:pPr>
            <w:r>
              <w:rPr>
                <w:rFonts w:ascii="Arial" w:cs="Arial" w:eastAsia="Arial" w:hAnsi="Arial"/>
                <w:sz w:val="18"/>
                <w:szCs w:val="18"/>
                <w:color w:val="0000EE"/>
              </w:rPr>
              <w:t>public accountant for Aviragen Therapeutics, Inc.</w:t>
            </w:r>
          </w:p>
        </w:tc>
      </w:tr>
      <w:tr>
        <w:trPr>
          <w:trHeight w:val="20"/>
        </w:trPr>
        <w:tc>
          <w:tcPr>
            <w:tcW w:w="1160" w:type="dxa"/>
            <w:vAlign w:val="bottom"/>
          </w:tcPr>
          <w:p>
            <w:pPr>
              <w:spacing w:after="0" w:line="20" w:lineRule="exact"/>
              <w:rPr>
                <w:sz w:val="1"/>
                <w:szCs w:val="1"/>
                <w:color w:val="auto"/>
              </w:rPr>
            </w:pPr>
          </w:p>
        </w:tc>
        <w:tc>
          <w:tcPr>
            <w:tcW w:w="354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43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Consent of KPMG LLP, independent auditor for Vaxart, Inc.</w:t>
            </w:r>
          </w:p>
        </w:tc>
        <w:tc>
          <w:tcPr>
            <w:tcW w:w="60" w:type="dxa"/>
            <w:vAlign w:val="bottom"/>
            <w:gridSpan w:val="2"/>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40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Consent of Dechert LLP (included in Exhibit 5.1 hereto)</w:t>
            </w:r>
          </w:p>
        </w:tc>
        <w:tc>
          <w:tcPr>
            <w:tcW w:w="340" w:type="dxa"/>
            <w:vAlign w:val="bottom"/>
            <w:gridSpan w:val="7"/>
          </w:tcPr>
          <w:p>
            <w:pPr>
              <w:spacing w:after="0"/>
              <w:rPr>
                <w:sz w:val="24"/>
                <w:szCs w:val="2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23.4</w:t>
            </w:r>
          </w:p>
        </w:tc>
        <w:tc>
          <w:tcPr>
            <w:tcW w:w="40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Consent of Dechert LLP (included in Exhibit 8.1 hereto)</w:t>
            </w:r>
          </w:p>
        </w:tc>
        <w:tc>
          <w:tcPr>
            <w:tcW w:w="340" w:type="dxa"/>
            <w:vAlign w:val="bottom"/>
            <w:gridSpan w:val="7"/>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7"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3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3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3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001-3525-</w:t>
      </w:r>
    </w:p>
    <w:p>
      <w:pPr>
        <w:ind w:left="420"/>
        <w:spacing w:after="0" w:line="187" w:lineRule="auto"/>
        <w:tabs>
          <w:tab w:leader="none" w:pos="3180" w:val="left"/>
        </w:tabs>
        <w:rPr>
          <w:sz w:val="20"/>
          <w:szCs w:val="20"/>
          <w:color w:val="auto"/>
        </w:rPr>
      </w:pPr>
      <w:r>
        <w:rPr>
          <w:rFonts w:ascii="Arial" w:cs="Arial" w:eastAsia="Arial" w:hAnsi="Arial"/>
          <w:sz w:val="12"/>
          <w:szCs w:val="12"/>
          <w:color w:val="auto"/>
        </w:rPr>
        <w:t>10-K</w:t>
      </w:r>
      <w:r>
        <w:rPr>
          <w:sz w:val="20"/>
          <w:szCs w:val="20"/>
          <w:color w:val="auto"/>
        </w:rPr>
        <w:tab/>
      </w:r>
      <w:r>
        <w:rPr>
          <w:rFonts w:ascii="Arial" w:cs="Arial" w:eastAsia="Arial" w:hAnsi="Arial"/>
          <w:sz w:val="12"/>
          <w:szCs w:val="12"/>
          <w:color w:val="auto"/>
        </w:rPr>
        <w:t>09/01/2017</w:t>
      </w:r>
    </w:p>
    <w:p>
      <w:pPr>
        <w:ind w:left="1460"/>
        <w:spacing w:after="0"/>
        <w:rPr>
          <w:sz w:val="20"/>
          <w:szCs w:val="20"/>
          <w:color w:val="auto"/>
        </w:rPr>
      </w:pPr>
      <w:r>
        <w:rPr>
          <w:rFonts w:ascii="Arial" w:cs="Arial" w:eastAsia="Arial" w:hAnsi="Arial"/>
          <w:sz w:val="18"/>
          <w:szCs w:val="18"/>
          <w:color w:val="auto"/>
        </w:rPr>
        <w:t>171066758</w:t>
      </w:r>
    </w:p>
    <w:p>
      <w:pPr>
        <w:spacing w:after="0" w:line="315"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x</w:t>
      </w:r>
    </w:p>
    <w:p>
      <w:pPr>
        <w:spacing w:after="0" w:line="331"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x</w:t>
      </w:r>
    </w:p>
    <w:p>
      <w:pPr>
        <w:spacing w:after="0" w:line="247"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x</w:t>
      </w:r>
    </w:p>
    <w:p>
      <w:pPr>
        <w:spacing w:after="0" w:line="247"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x</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82550</wp:posOffset>
            </wp:positionV>
            <wp:extent cx="724725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2">
            <w:col w:w="5560" w:space="20"/>
            <w:col w:w="5700"/>
          </w:cols>
          <w:pgMar w:left="240" w:top="118" w:right="379" w:bottom="1440" w:gutter="0" w:footer="0" w:header="0"/>
          <w:type w:val="continuous"/>
        </w:sectPr>
      </w:pPr>
    </w:p>
    <w:bookmarkStart w:id="420" w:name="page421"/>
    <w:bookmarkEnd w:id="420"/>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4380" w:type="dxa"/>
            <w:vAlign w:val="bottom"/>
            <w:tcBorders>
              <w:bottom w:val="single" w:sz="8" w:color="auto"/>
            </w:tcBorders>
            <w:gridSpan w:val="14"/>
          </w:tcPr>
          <w:p>
            <w:pPr>
              <w:ind w:left="1700"/>
              <w:spacing w:after="0"/>
              <w:rPr>
                <w:sz w:val="20"/>
                <w:szCs w:val="20"/>
                <w:color w:val="auto"/>
              </w:rPr>
            </w:pPr>
            <w:r>
              <w:rPr>
                <w:rFonts w:ascii="Arial" w:cs="Arial" w:eastAsia="Arial" w:hAnsi="Arial"/>
                <w:sz w:val="18"/>
                <w:szCs w:val="18"/>
                <w:b w:val="1"/>
                <w:bCs w:val="1"/>
                <w:color w:val="auto"/>
              </w:rPr>
              <w:t>Description</w:t>
            </w:r>
          </w:p>
        </w:tc>
      </w:tr>
      <w:tr>
        <w:trPr>
          <w:trHeight w:val="397"/>
        </w:trPr>
        <w:tc>
          <w:tcPr>
            <w:tcW w:w="920" w:type="dxa"/>
            <w:vAlign w:val="bottom"/>
          </w:tcPr>
          <w:p>
            <w:pPr>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EE"/>
              </w:rPr>
              <w:t>Consent of Cooley LLP (included in Exhibit 8.2 hereto)</w:t>
            </w:r>
          </w:p>
        </w:tc>
      </w:tr>
      <w:tr>
        <w:trPr>
          <w:trHeight w:val="20"/>
        </w:trPr>
        <w:tc>
          <w:tcPr>
            <w:tcW w:w="9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41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4">
              <w:r>
                <w:rPr>
                  <w:rFonts w:ascii="Arial" w:cs="Arial" w:eastAsia="Arial" w:hAnsi="Arial"/>
                  <w:sz w:val="18"/>
                  <w:szCs w:val="18"/>
                  <w:color w:val="0000EE"/>
                  <w:w w:val="88"/>
                </w:rPr>
                <w:t>Power of Attorney (included on the signature page hereto)</w:t>
              </w:r>
            </w:hyperlink>
          </w:p>
        </w:tc>
        <w:tc>
          <w:tcPr>
            <w:tcW w:w="260" w:type="dxa"/>
            <w:vAlign w:val="bottom"/>
            <w:gridSpan w:val="6"/>
          </w:tcPr>
          <w:p>
            <w:pPr>
              <w:spacing w:after="0"/>
              <w:rPr>
                <w:sz w:val="24"/>
                <w:szCs w:val="2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3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Form of Aviragen Therapeutics, Inc. Proxy Card</w:t>
            </w:r>
          </w:p>
        </w:tc>
        <w:tc>
          <w:tcPr>
            <w:tcW w:w="960" w:type="dxa"/>
            <w:vAlign w:val="bottom"/>
            <w:gridSpan w:val="10"/>
          </w:tcPr>
          <w:p>
            <w:pPr>
              <w:spacing w:after="0"/>
              <w:rPr>
                <w:sz w:val="24"/>
                <w:szCs w:val="2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38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11">
              <w:r>
                <w:rPr>
                  <w:rFonts w:ascii="Arial" w:cs="Arial" w:eastAsia="Arial" w:hAnsi="Arial"/>
                  <w:sz w:val="18"/>
                  <w:szCs w:val="18"/>
                  <w:color w:val="0000EE"/>
                  <w:w w:val="90"/>
                </w:rPr>
                <w:t>Opinion of Stifel, Nicolaus &amp; Company, Incorporated</w:t>
              </w:r>
            </w:hyperlink>
          </w:p>
        </w:tc>
        <w:tc>
          <w:tcPr>
            <w:tcW w:w="580" w:type="dxa"/>
            <w:vAlign w:val="bottom"/>
            <w:gridSpan w:val="9"/>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80" w:type="dxa"/>
            <w:vAlign w:val="bottom"/>
            <w:gridSpan w:val="14"/>
          </w:tcPr>
          <w:p>
            <w:pPr>
              <w:spacing w:after="0" w:line="195" w:lineRule="exact"/>
              <w:rPr>
                <w:rFonts w:ascii="Arial" w:cs="Arial" w:eastAsia="Arial" w:hAnsi="Arial"/>
                <w:sz w:val="18"/>
                <w:szCs w:val="18"/>
                <w:color w:val="0000EE"/>
              </w:rPr>
            </w:pPr>
            <w:hyperlink w:anchor="page411">
              <w:r>
                <w:rPr>
                  <w:rFonts w:ascii="Arial" w:cs="Arial" w:eastAsia="Arial" w:hAnsi="Arial"/>
                  <w:sz w:val="18"/>
                  <w:szCs w:val="18"/>
                  <w:u w:val="single" w:color="auto"/>
                  <w:color w:val="0000EE"/>
                </w:rPr>
                <w:t>(included</w:t>
              </w:r>
              <w:r>
                <w:rPr>
                  <w:rFonts w:ascii="Arial" w:cs="Arial" w:eastAsia="Arial" w:hAnsi="Arial"/>
                  <w:sz w:val="18"/>
                  <w:szCs w:val="18"/>
                  <w:color w:val="0000EE"/>
                </w:rPr>
                <w:t xml:space="preserve"> as </w:t>
              </w:r>
              <w:r>
                <w:rPr>
                  <w:rFonts w:ascii="Arial" w:cs="Arial" w:eastAsia="Arial" w:hAnsi="Arial"/>
                  <w:sz w:val="18"/>
                  <w:szCs w:val="18"/>
                  <w:i w:val="1"/>
                  <w:iCs w:val="1"/>
                  <w:color w:val="0000EE"/>
                </w:rPr>
                <w:t>Annex C</w:t>
              </w:r>
              <w:r>
                <w:rPr>
                  <w:rFonts w:ascii="Arial" w:cs="Arial" w:eastAsia="Arial" w:hAnsi="Arial"/>
                  <w:sz w:val="18"/>
                  <w:szCs w:val="18"/>
                  <w:color w:val="0000EE"/>
                </w:rPr>
                <w:t xml:space="preserve"> to the proxy</w:t>
              </w:r>
            </w:hyperlink>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80" w:type="dxa"/>
            <w:vAlign w:val="bottom"/>
            <w:gridSpan w:val="14"/>
          </w:tcPr>
          <w:p>
            <w:pPr>
              <w:spacing w:after="0" w:line="195" w:lineRule="exact"/>
              <w:rPr>
                <w:rFonts w:ascii="Arial" w:cs="Arial" w:eastAsia="Arial" w:hAnsi="Arial"/>
                <w:sz w:val="18"/>
                <w:szCs w:val="18"/>
                <w:color w:val="0000EE"/>
                <w:w w:val="89"/>
              </w:rPr>
            </w:pPr>
            <w:hyperlink w:anchor="page411">
              <w:r>
                <w:rPr>
                  <w:rFonts w:ascii="Arial" w:cs="Arial" w:eastAsia="Arial" w:hAnsi="Arial"/>
                  <w:sz w:val="18"/>
                  <w:szCs w:val="18"/>
                  <w:color w:val="0000EE"/>
                  <w:w w:val="89"/>
                </w:rPr>
                <w:t>statement/prospectus/information statement forming a part of</w:t>
              </w:r>
            </w:hyperlink>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2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411">
              <w:r>
                <w:rPr>
                  <w:rFonts w:ascii="Arial" w:cs="Arial" w:eastAsia="Arial" w:hAnsi="Arial"/>
                  <w:sz w:val="18"/>
                  <w:szCs w:val="18"/>
                  <w:color w:val="0000EE"/>
                </w:rPr>
                <w:t>this registration statement)</w:t>
              </w:r>
            </w:hyperlink>
          </w:p>
        </w:tc>
        <w:tc>
          <w:tcPr>
            <w:tcW w:w="60" w:type="dxa"/>
            <w:vAlign w:val="bottom"/>
            <w:gridSpan w:val="2"/>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24"/>
                <w:szCs w:val="24"/>
                <w:color w:val="auto"/>
              </w:rPr>
            </w:pPr>
          </w:p>
        </w:tc>
        <w:tc>
          <w:tcPr>
            <w:tcW w:w="3800" w:type="dxa"/>
            <w:vAlign w:val="bottom"/>
            <w:tcBorders>
              <w:bottom w:val="single" w:sz="8" w:color="0000EE"/>
            </w:tcBorders>
            <w:gridSpan w:val="5"/>
          </w:tcPr>
          <w:p>
            <w:pPr>
              <w:spacing w:after="0"/>
              <w:rPr>
                <w:rFonts w:ascii="Arial" w:cs="Arial" w:eastAsia="Arial" w:hAnsi="Arial"/>
                <w:sz w:val="18"/>
                <w:szCs w:val="18"/>
                <w:color w:val="0000EE"/>
                <w:w w:val="89"/>
              </w:rPr>
            </w:pPr>
            <w:hyperlink r:id="rId525">
              <w:r>
                <w:rPr>
                  <w:rFonts w:ascii="Arial" w:cs="Arial" w:eastAsia="Arial" w:hAnsi="Arial"/>
                  <w:sz w:val="18"/>
                  <w:szCs w:val="18"/>
                  <w:color w:val="0000EE"/>
                  <w:w w:val="89"/>
                </w:rPr>
                <w:t>Consent of Stifel, Nicolaus &amp; Company, Incorporated</w:t>
              </w:r>
            </w:hyperlink>
          </w:p>
        </w:tc>
        <w:tc>
          <w:tcPr>
            <w:tcW w:w="580" w:type="dxa"/>
            <w:vAlign w:val="bottom"/>
            <w:gridSpan w:val="9"/>
          </w:tcPr>
          <w:p>
            <w:pPr>
              <w:spacing w:after="0"/>
              <w:rPr>
                <w:sz w:val="24"/>
                <w:szCs w:val="24"/>
                <w:color w:val="auto"/>
              </w:rPr>
            </w:pPr>
          </w:p>
        </w:tc>
      </w:tr>
      <w:tr>
        <w:trPr>
          <w:trHeight w:val="626"/>
        </w:trPr>
        <w:tc>
          <w:tcPr>
            <w:tcW w:w="920" w:type="dxa"/>
            <w:vAlign w:val="bottom"/>
          </w:tcPr>
          <w:p>
            <w:pPr>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08">
              <w:r>
                <w:rPr>
                  <w:rFonts w:ascii="Arial" w:cs="Arial" w:eastAsia="Arial" w:hAnsi="Arial"/>
                  <w:sz w:val="18"/>
                  <w:szCs w:val="18"/>
                  <w:color w:val="0000EE"/>
                  <w:w w:val="89"/>
                </w:rPr>
                <w:t>Form of Certificate of Amendment to the Restated Certificate</w:t>
              </w:r>
            </w:hyperlink>
          </w:p>
        </w:tc>
        <w:tc>
          <w:tcPr>
            <w:tcW w:w="2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80" w:type="dxa"/>
            <w:vAlign w:val="bottom"/>
            <w:gridSpan w:val="14"/>
          </w:tcPr>
          <w:p>
            <w:pPr>
              <w:spacing w:after="0" w:line="195" w:lineRule="exact"/>
              <w:rPr>
                <w:rFonts w:ascii="Arial" w:cs="Arial" w:eastAsia="Arial" w:hAnsi="Arial"/>
                <w:sz w:val="18"/>
                <w:szCs w:val="18"/>
                <w:color w:val="0000EE"/>
                <w:w w:val="92"/>
              </w:rPr>
            </w:pPr>
            <w:hyperlink w:anchor="page408">
              <w:r>
                <w:rPr>
                  <w:rFonts w:ascii="Arial" w:cs="Arial" w:eastAsia="Arial" w:hAnsi="Arial"/>
                  <w:sz w:val="18"/>
                  <w:szCs w:val="18"/>
                  <w:color w:val="0000EE"/>
                  <w:w w:val="92"/>
                </w:rPr>
                <w:t>of Incorporation of Aviragen Therapeutics, Inc. (included as</w:t>
              </w:r>
            </w:hyperlink>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4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i w:val="1"/>
                <w:iCs w:val="1"/>
                <w:color w:val="0000EE"/>
                <w:w w:val="88"/>
              </w:rPr>
            </w:pPr>
            <w:hyperlink w:anchor="page408">
              <w:r>
                <w:rPr>
                  <w:rFonts w:ascii="Arial" w:cs="Arial" w:eastAsia="Arial" w:hAnsi="Arial"/>
                  <w:sz w:val="18"/>
                  <w:szCs w:val="18"/>
                  <w:i w:val="1"/>
                  <w:iCs w:val="1"/>
                  <w:color w:val="0000EE"/>
                  <w:w w:val="88"/>
                </w:rPr>
                <w:t xml:space="preserve">Annex B </w:t>
              </w:r>
              <w:r>
                <w:rPr>
                  <w:rFonts w:ascii="Arial" w:cs="Arial" w:eastAsia="Arial" w:hAnsi="Arial"/>
                  <w:sz w:val="18"/>
                  <w:szCs w:val="18"/>
                  <w:color w:val="0000EE"/>
                  <w:w w:val="88"/>
                </w:rPr>
                <w:t>to the proxy statement/prospectus/information</w:t>
              </w:r>
            </w:hyperlink>
          </w:p>
        </w:tc>
        <w:tc>
          <w:tcPr>
            <w:tcW w:w="300" w:type="dxa"/>
            <w:vAlign w:val="bottom"/>
            <w:tcBorders>
              <w:top w:val="single" w:sz="8" w:color="0000EE"/>
            </w:tcBorders>
            <w:gridSpan w:val="2"/>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195"/>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80" w:type="dxa"/>
            <w:vAlign w:val="bottom"/>
            <w:gridSpan w:val="14"/>
          </w:tcPr>
          <w:p>
            <w:pPr>
              <w:spacing w:after="0" w:line="195" w:lineRule="exact"/>
              <w:rPr>
                <w:rFonts w:ascii="Arial" w:cs="Arial" w:eastAsia="Arial" w:hAnsi="Arial"/>
                <w:sz w:val="18"/>
                <w:szCs w:val="18"/>
                <w:color w:val="0000EE"/>
              </w:rPr>
            </w:pPr>
            <w:hyperlink w:anchor="page408">
              <w:r>
                <w:rPr>
                  <w:rFonts w:ascii="Arial" w:cs="Arial" w:eastAsia="Arial" w:hAnsi="Arial"/>
                  <w:sz w:val="18"/>
                  <w:szCs w:val="18"/>
                  <w:color w:val="0000EE"/>
                </w:rPr>
                <w:t>statement forming a part of this registration statement)</w:t>
              </w:r>
            </w:hyperlink>
          </w:p>
        </w:tc>
      </w:tr>
      <w:tr>
        <w:trPr>
          <w:trHeight w:val="20"/>
        </w:trPr>
        <w:tc>
          <w:tcPr>
            <w:tcW w:w="9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4"/>
                <w:szCs w:val="24"/>
                <w:color w:val="auto"/>
              </w:rPr>
            </w:pPr>
          </w:p>
        </w:tc>
        <w:tc>
          <w:tcPr>
            <w:tcW w:w="4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Consent of Wouter W. Latour, M.D. to be named as director</w:t>
            </w:r>
          </w:p>
        </w:tc>
        <w:tc>
          <w:tcPr>
            <w:tcW w:w="100" w:type="dxa"/>
            <w:vAlign w:val="bottom"/>
            <w:gridSpan w:val="3"/>
          </w:tcPr>
          <w:p>
            <w:pPr>
              <w:spacing w:after="0"/>
              <w:rPr>
                <w:sz w:val="24"/>
                <w:szCs w:val="2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24"/>
                <w:szCs w:val="24"/>
                <w:color w:val="auto"/>
              </w:rPr>
            </w:pPr>
          </w:p>
        </w:tc>
        <w:tc>
          <w:tcPr>
            <w:tcW w:w="42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Consent of Michael J. Finney, Ph.D. to be named as director</w:t>
            </w:r>
          </w:p>
        </w:tc>
        <w:tc>
          <w:tcPr>
            <w:tcW w:w="120" w:type="dxa"/>
            <w:vAlign w:val="bottom"/>
            <w:gridSpan w:val="4"/>
          </w:tcPr>
          <w:p>
            <w:pPr>
              <w:spacing w:after="0"/>
              <w:rPr>
                <w:sz w:val="24"/>
                <w:szCs w:val="2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99.7</w:t>
            </w:r>
          </w:p>
        </w:tc>
        <w:tc>
          <w:tcPr>
            <w:tcW w:w="30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EE"/>
              </w:rPr>
              <w:t>Consent of Jan Leschly to be named as director</w:t>
            </w:r>
          </w:p>
        </w:tc>
      </w:tr>
      <w:tr>
        <w:trPr>
          <w:trHeight w:val="20"/>
        </w:trPr>
        <w:tc>
          <w:tcPr>
            <w:tcW w:w="9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Arial" w:cs="Arial" w:eastAsia="Arial" w:hAnsi="Arial"/>
                <w:sz w:val="18"/>
                <w:szCs w:val="18"/>
                <w:color w:val="0000EE"/>
                <w:w w:val="97"/>
              </w:rPr>
              <w:t>Consent of Richard J. Markham to be named as director</w:t>
            </w:r>
          </w:p>
        </w:tc>
      </w:tr>
      <w:tr>
        <w:trPr>
          <w:trHeight w:val="20"/>
        </w:trPr>
        <w:tc>
          <w:tcPr>
            <w:tcW w:w="9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8" w:lineRule="exact"/>
        <w:rPr>
          <w:sz w:val="20"/>
          <w:szCs w:val="20"/>
          <w:color w:val="auto"/>
        </w:rPr>
      </w:pPr>
    </w:p>
    <w:p>
      <w:pPr>
        <w:ind w:left="1160" w:right="20" w:hanging="1152"/>
        <w:spacing w:after="0" w:line="282" w:lineRule="auto"/>
        <w:tabs>
          <w:tab w:leader="none" w:pos="116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following materials from Aviragen Therapeutics, Inc.’s Annual Report on Form 10-K for the year ended June 30, 2017, and the Quarterly Report on Form 10-Q for the quarter ending September 30, 2017, formatted in Extensible Business Reporting Language (XBRL) includes (i) Condensed Consolidated Balance Sheets at June 30, 2017 and September 30, 2017, (ii) Condensed Consolidated Statements of Operations for the Three Months ended September 30, 2017 and 2016, (iii) Condensed Consolidated Statements of Cash Flows for the Three Months Ended September 30, 2017 and 2016 and (iv)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34"/>
        </w:trPr>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09"/>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560" w:type="dxa"/>
            <w:vAlign w:val="bottom"/>
          </w:tcPr>
          <w:p>
            <w:pPr>
              <w:spacing w:after="0"/>
              <w:rPr>
                <w:sz w:val="18"/>
                <w:szCs w:val="18"/>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c>
          <w:tcPr>
            <w:tcW w:w="22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754"/>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755"/>
        </w:trPr>
        <w:tc>
          <w:tcPr>
            <w:tcW w:w="58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333-222009</w:t>
            </w:r>
          </w:p>
        </w:tc>
        <w:tc>
          <w:tcPr>
            <w:tcW w:w="1820" w:type="dxa"/>
            <w:vAlign w:val="bottom"/>
            <w:gridSpan w:val="2"/>
          </w:tcPr>
          <w:p>
            <w:pPr>
              <w:ind w:left="780"/>
              <w:spacing w:after="0"/>
              <w:rPr>
                <w:sz w:val="20"/>
                <w:szCs w:val="20"/>
                <w:color w:val="auto"/>
              </w:rPr>
            </w:pPr>
            <w:r>
              <w:rPr>
                <w:rFonts w:ascii="Arial" w:cs="Arial" w:eastAsia="Arial" w:hAnsi="Arial"/>
                <w:sz w:val="18"/>
                <w:szCs w:val="18"/>
                <w:color w:val="auto"/>
              </w:rPr>
              <w:t>12/12/2017</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Arial" w:cs="Arial" w:eastAsia="Arial" w:hAnsi="Arial"/>
          <w:sz w:val="18"/>
          <w:szCs w:val="18"/>
          <w:color w:val="auto"/>
        </w:rPr>
        <w:t>171252523</w:t>
      </w:r>
    </w:p>
    <w:p>
      <w:pPr>
        <w:spacing w:after="0" w:line="200" w:lineRule="exact"/>
        <w:rPr>
          <w:sz w:val="20"/>
          <w:szCs w:val="20"/>
          <w:color w:val="auto"/>
        </w:rPr>
      </w:pPr>
    </w:p>
    <w:p>
      <w:pPr>
        <w:spacing w:after="0" w:line="33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80" w:type="dxa"/>
            <w:vAlign w:val="bottom"/>
            <w:vMerge w:val="restart"/>
          </w:tcPr>
          <w:p>
            <w:pPr>
              <w:spacing w:after="0"/>
              <w:rPr>
                <w:sz w:val="20"/>
                <w:szCs w:val="20"/>
                <w:color w:val="auto"/>
              </w:rPr>
            </w:pPr>
            <w:r>
              <w:rPr>
                <w:rFonts w:ascii="Arial" w:cs="Arial" w:eastAsia="Arial" w:hAnsi="Arial"/>
                <w:sz w:val="18"/>
                <w:szCs w:val="18"/>
                <w:color w:val="auto"/>
              </w:rPr>
              <w:t>S-4</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333-222009</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12/12/2017</w:t>
            </w:r>
          </w:p>
        </w:tc>
        <w:tc>
          <w:tcPr>
            <w:tcW w:w="0" w:type="dxa"/>
            <w:vAlign w:val="bottom"/>
          </w:tcPr>
          <w:p>
            <w:pPr>
              <w:spacing w:after="0"/>
              <w:rPr>
                <w:sz w:val="1"/>
                <w:szCs w:val="1"/>
                <w:color w:val="auto"/>
              </w:rPr>
            </w:pPr>
          </w:p>
        </w:tc>
      </w:tr>
      <w:tr>
        <w:trPr>
          <w:trHeight w:val="122"/>
        </w:trPr>
        <w:tc>
          <w:tcPr>
            <w:tcW w:w="580" w:type="dxa"/>
            <w:vAlign w:val="bottom"/>
            <w:vMerge w:val="continue"/>
          </w:tcPr>
          <w:p>
            <w:pPr>
              <w:spacing w:after="0"/>
              <w:rPr>
                <w:sz w:val="10"/>
                <w:szCs w:val="10"/>
                <w:color w:val="auto"/>
              </w:rPr>
            </w:pPr>
          </w:p>
        </w:tc>
        <w:tc>
          <w:tcPr>
            <w:tcW w:w="1700" w:type="dxa"/>
            <w:vAlign w:val="bottom"/>
            <w:vMerge w:val="restart"/>
          </w:tcPr>
          <w:p>
            <w:pPr>
              <w:jc w:val="right"/>
              <w:ind w:right="450"/>
              <w:spacing w:after="0"/>
              <w:rPr>
                <w:sz w:val="20"/>
                <w:szCs w:val="20"/>
                <w:color w:val="auto"/>
              </w:rPr>
            </w:pPr>
            <w:r>
              <w:rPr>
                <w:rFonts w:ascii="Arial" w:cs="Arial" w:eastAsia="Arial" w:hAnsi="Arial"/>
                <w:sz w:val="18"/>
                <w:szCs w:val="18"/>
                <w:color w:val="auto"/>
              </w:rPr>
              <w:t>171252523</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3" w:lineRule="exact"/>
        <w:rPr>
          <w:sz w:val="20"/>
          <w:szCs w:val="20"/>
          <w:color w:val="auto"/>
        </w:rPr>
      </w:pPr>
    </w:p>
    <w:p>
      <w:pPr>
        <w:sectPr>
          <w:pgSz w:w="11900" w:h="16838" w:orient="portrait"/>
          <w:cols w:equalWidth="0" w:num="2">
            <w:col w:w="5600" w:space="220"/>
            <w:col w:w="5520"/>
          </w:cols>
          <w:pgMar w:left="240" w:top="118" w:right="319" w:bottom="1440" w:gutter="0" w:footer="0" w:header="0"/>
        </w:sectPr>
      </w:pPr>
    </w:p>
    <w:p>
      <w:pPr>
        <w:spacing w:after="0" w:line="235" w:lineRule="auto"/>
        <w:rPr>
          <w:sz w:val="20"/>
          <w:szCs w:val="20"/>
          <w:color w:val="auto"/>
        </w:rPr>
      </w:pPr>
      <w:r>
        <w:rPr>
          <w:rFonts w:ascii="Arial" w:cs="Arial" w:eastAsia="Arial" w:hAnsi="Arial"/>
          <w:sz w:val="22"/>
          <w:szCs w:val="22"/>
          <w:color w:val="auto"/>
        </w:rPr>
        <w:t>_________________</w:t>
      </w:r>
    </w:p>
    <w:p>
      <w:pPr>
        <w:ind w:left="500" w:hanging="492"/>
        <w:spacing w:after="0"/>
        <w:tabs>
          <w:tab w:leader="none" w:pos="5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schedules and exhibits to the Merger Agreement have been omitted pursuant to Item 601(b)(2) of Regulation S-K. A copy of any omitted schedule</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and/or exhibit will be furnished to the Securities and Exchange Commission upon request.</w:t>
      </w:r>
    </w:p>
    <w:p>
      <w:pPr>
        <w:spacing w:after="0" w:line="8" w:lineRule="exact"/>
        <w:rPr>
          <w:sz w:val="20"/>
          <w:szCs w:val="20"/>
          <w:color w:val="auto"/>
        </w:rPr>
      </w:pPr>
    </w:p>
    <w:p>
      <w:pPr>
        <w:ind w:left="500" w:hanging="492"/>
        <w:spacing w:after="0" w:line="259" w:lineRule="auto"/>
        <w:tabs>
          <w:tab w:leader="none" w:pos="5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Confidential portions of this exhibit have been omitted and filed separately with the Commission pursuant to confidential treatment granted under Rule 24b-2 promulgated under the Exchange Act.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type w:val="continuous"/>
        </w:sectPr>
      </w:pPr>
    </w:p>
    <w:bookmarkStart w:id="421" w:name="page422"/>
    <w:bookmarkEnd w:id="421"/>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left="440" w:hanging="432"/>
        <w:spacing w:after="0"/>
        <w:tabs>
          <w:tab w:leader="none" w:pos="4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4"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The financial statements filed with this registration statement on Form S-4 are set forth on the Financial Statement Index and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5"/>
          <w:szCs w:val="15"/>
          <w:b w:val="1"/>
          <w:bCs w:val="1"/>
          <w:i w:val="1"/>
          <w:iCs w:val="1"/>
          <w:color w:val="auto"/>
        </w:rPr>
        <w:t>Undertakings</w:t>
      </w:r>
    </w:p>
    <w:p>
      <w:pPr>
        <w:spacing w:after="0" w:line="228" w:lineRule="exact"/>
        <w:rPr>
          <w:sz w:val="20"/>
          <w:szCs w:val="20"/>
          <w:color w:val="auto"/>
        </w:rPr>
      </w:pPr>
    </w:p>
    <w:p>
      <w:pPr>
        <w:ind w:left="420" w:hanging="412"/>
        <w:spacing w:after="0"/>
        <w:tabs>
          <w:tab w:leader="none" w:pos="4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3" w:lineRule="exact"/>
        <w:rPr>
          <w:rFonts w:ascii="Arial" w:cs="Arial" w:eastAsia="Arial" w:hAnsi="Arial"/>
          <w:sz w:val="18"/>
          <w:szCs w:val="18"/>
          <w:color w:val="auto"/>
        </w:rPr>
      </w:pPr>
    </w:p>
    <w:p>
      <w:pPr>
        <w:ind w:left="680" w:hanging="260"/>
        <w:spacing w:after="0"/>
        <w:tabs>
          <w:tab w:leader="none" w:pos="6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3" w:lineRule="exact"/>
        <w:rPr>
          <w:rFonts w:ascii="Arial" w:cs="Arial" w:eastAsia="Arial" w:hAnsi="Arial"/>
          <w:sz w:val="18"/>
          <w:szCs w:val="18"/>
          <w:color w:val="auto"/>
        </w:rPr>
      </w:pPr>
    </w:p>
    <w:p>
      <w:pPr>
        <w:ind w:left="1040" w:hanging="206"/>
        <w:spacing w:after="0"/>
        <w:tabs>
          <w:tab w:leader="none" w:pos="104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3" w:lineRule="exact"/>
        <w:rPr>
          <w:rFonts w:ascii="Arial" w:cs="Arial" w:eastAsia="Arial" w:hAnsi="Arial"/>
          <w:sz w:val="18"/>
          <w:szCs w:val="18"/>
          <w:color w:val="auto"/>
        </w:rPr>
      </w:pPr>
    </w:p>
    <w:p>
      <w:pPr>
        <w:ind w:right="160" w:firstLine="834"/>
        <w:spacing w:after="0" w:line="272" w:lineRule="auto"/>
        <w:tabs>
          <w:tab w:leader="none" w:pos="1087" w:val="left"/>
        </w:tabs>
        <w:numPr>
          <w:ilvl w:val="2"/>
          <w:numId w:val="36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500" w:firstLine="834"/>
        <w:spacing w:after="0" w:line="276" w:lineRule="auto"/>
        <w:tabs>
          <w:tab w:leader="none" w:pos="1137" w:val="left"/>
        </w:tabs>
        <w:numPr>
          <w:ilvl w:val="2"/>
          <w:numId w:val="36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9" w:lineRule="exact"/>
        <w:rPr>
          <w:rFonts w:ascii="Arial" w:cs="Arial" w:eastAsia="Arial" w:hAnsi="Arial"/>
          <w:sz w:val="18"/>
          <w:szCs w:val="18"/>
          <w:color w:val="auto"/>
        </w:rPr>
      </w:pPr>
    </w:p>
    <w:p>
      <w:pPr>
        <w:ind w:right="60" w:firstLine="420"/>
        <w:spacing w:after="0" w:line="262" w:lineRule="auto"/>
        <w:tabs>
          <w:tab w:leader="none" w:pos="66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firstLine="420"/>
        <w:spacing w:after="0" w:line="276" w:lineRule="auto"/>
        <w:tabs>
          <w:tab w:leader="none" w:pos="663"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69" w:lineRule="exact"/>
        <w:rPr>
          <w:rFonts w:ascii="Arial" w:cs="Arial" w:eastAsia="Arial" w:hAnsi="Arial"/>
          <w:sz w:val="18"/>
          <w:szCs w:val="18"/>
          <w:color w:val="auto"/>
        </w:rPr>
      </w:pPr>
    </w:p>
    <w:p>
      <w:pPr>
        <w:ind w:right="120" w:firstLine="420"/>
        <w:spacing w:after="0" w:line="290" w:lineRule="auto"/>
        <w:tabs>
          <w:tab w:leader="none" w:pos="663" w:val="left"/>
        </w:tabs>
        <w:numPr>
          <w:ilvl w:val="1"/>
          <w:numId w:val="36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22" w:name="page423"/>
    <w:bookmarkEnd w:id="422"/>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20" w:firstLine="420"/>
        <w:spacing w:after="0" w:line="300" w:lineRule="auto"/>
        <w:tabs>
          <w:tab w:leader="none" w:pos="663"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6" w:lineRule="exact"/>
        <w:rPr>
          <w:rFonts w:ascii="Arial" w:cs="Arial" w:eastAsia="Arial" w:hAnsi="Arial"/>
          <w:sz w:val="16"/>
          <w:szCs w:val="16"/>
          <w:color w:val="auto"/>
        </w:rPr>
      </w:pPr>
    </w:p>
    <w:p>
      <w:pPr>
        <w:ind w:left="1040" w:hanging="206"/>
        <w:spacing w:after="0"/>
        <w:tabs>
          <w:tab w:leader="none" w:pos="1040" w:val="left"/>
        </w:tabs>
        <w:numPr>
          <w:ilvl w:val="2"/>
          <w:numId w:val="36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5" w:lineRule="exact"/>
        <w:rPr>
          <w:rFonts w:ascii="Arial" w:cs="Arial" w:eastAsia="Arial" w:hAnsi="Arial"/>
          <w:sz w:val="17"/>
          <w:szCs w:val="17"/>
          <w:color w:val="auto"/>
        </w:rPr>
      </w:pPr>
    </w:p>
    <w:p>
      <w:pPr>
        <w:ind w:right="640" w:firstLine="834"/>
        <w:spacing w:after="0" w:line="276" w:lineRule="auto"/>
        <w:tabs>
          <w:tab w:leader="none" w:pos="1080" w:val="left"/>
        </w:tabs>
        <w:numPr>
          <w:ilvl w:val="2"/>
          <w:numId w:val="36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69" w:lineRule="exact"/>
        <w:rPr>
          <w:rFonts w:ascii="Arial" w:cs="Arial" w:eastAsia="Arial" w:hAnsi="Arial"/>
          <w:sz w:val="18"/>
          <w:szCs w:val="18"/>
          <w:color w:val="auto"/>
        </w:rPr>
      </w:pPr>
    </w:p>
    <w:p>
      <w:pPr>
        <w:ind w:right="20" w:firstLine="834"/>
        <w:spacing w:after="0" w:line="276" w:lineRule="auto"/>
        <w:tabs>
          <w:tab w:leader="none" w:pos="1137" w:val="left"/>
        </w:tabs>
        <w:numPr>
          <w:ilvl w:val="2"/>
          <w:numId w:val="36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9" w:lineRule="exact"/>
        <w:rPr>
          <w:rFonts w:ascii="Arial" w:cs="Arial" w:eastAsia="Arial" w:hAnsi="Arial"/>
          <w:sz w:val="18"/>
          <w:szCs w:val="18"/>
          <w:color w:val="auto"/>
        </w:rPr>
      </w:pPr>
    </w:p>
    <w:p>
      <w:pPr>
        <w:ind w:left="1120" w:hanging="286"/>
        <w:spacing w:after="0"/>
        <w:tabs>
          <w:tab w:leader="none" w:pos="1120" w:val="left"/>
        </w:tabs>
        <w:numPr>
          <w:ilvl w:val="2"/>
          <w:numId w:val="36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3" w:lineRule="exact"/>
        <w:rPr>
          <w:rFonts w:ascii="Arial" w:cs="Arial" w:eastAsia="Arial" w:hAnsi="Arial"/>
          <w:sz w:val="18"/>
          <w:szCs w:val="18"/>
          <w:color w:val="auto"/>
        </w:rPr>
      </w:pPr>
    </w:p>
    <w:p>
      <w:pPr>
        <w:ind w:left="440" w:hanging="432"/>
        <w:spacing w:after="0"/>
        <w:tabs>
          <w:tab w:leader="none" w:pos="4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23" w:lineRule="exact"/>
        <w:rPr>
          <w:rFonts w:ascii="Arial" w:cs="Arial" w:eastAsia="Arial" w:hAnsi="Arial"/>
          <w:sz w:val="18"/>
          <w:szCs w:val="18"/>
          <w:color w:val="auto"/>
        </w:rPr>
      </w:pPr>
    </w:p>
    <w:p>
      <w:pPr>
        <w:ind w:right="20" w:firstLine="420"/>
        <w:spacing w:after="0" w:line="258" w:lineRule="auto"/>
        <w:tabs>
          <w:tab w:leader="none" w:pos="663"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680" w:hanging="260"/>
        <w:spacing w:after="0"/>
        <w:tabs>
          <w:tab w:leader="none" w:pos="68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paragraph (c)(1) immediately preceding, or (ii) that purports to meet the requirements of</w:t>
      </w:r>
    </w:p>
    <w:p>
      <w:pPr>
        <w:spacing w:after="0" w:line="3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3" w:lineRule="exact"/>
        <w:rPr>
          <w:sz w:val="20"/>
          <w:szCs w:val="20"/>
          <w:color w:val="auto"/>
        </w:rPr>
      </w:pPr>
    </w:p>
    <w:p>
      <w:pPr>
        <w:ind w:left="500" w:hanging="492"/>
        <w:spacing w:after="0" w:line="270" w:lineRule="auto"/>
        <w:tabs>
          <w:tab w:leader="none" w:pos="50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500" w:right="140" w:hanging="492"/>
        <w:spacing w:after="0" w:line="258" w:lineRule="auto"/>
        <w:tabs>
          <w:tab w:leader="none" w:pos="5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this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500" w:right="400" w:hanging="492"/>
        <w:spacing w:after="0" w:line="340" w:lineRule="auto"/>
        <w:tabs>
          <w:tab w:leader="none" w:pos="5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23" w:name="page424"/>
    <w:bookmarkEnd w:id="423"/>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Alpharetta, State of Georgia, on December 28, 2017.</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AVIRAGEN THERAPEUTICS, INC.</w:t>
      </w:r>
    </w:p>
    <w:p>
      <w:pPr>
        <w:spacing w:after="0" w:line="228" w:lineRule="exact"/>
        <w:rPr>
          <w:sz w:val="20"/>
          <w:szCs w:val="20"/>
          <w:color w:val="auto"/>
        </w:rPr>
      </w:pPr>
    </w:p>
    <w:p>
      <w:pPr>
        <w:ind w:left="6100"/>
        <w:spacing w:after="0"/>
        <w:tabs>
          <w:tab w:leader="none" w:pos="6560" w:val="left"/>
        </w:tabs>
        <w:rPr>
          <w:sz w:val="20"/>
          <w:szCs w:val="20"/>
          <w:color w:val="auto"/>
        </w:rPr>
      </w:pPr>
      <w:r>
        <w:rPr>
          <w:rFonts w:ascii="Arial" w:cs="Arial" w:eastAsia="Arial" w:hAnsi="Arial"/>
          <w:sz w:val="18"/>
          <w:szCs w:val="18"/>
          <w:color w:val="auto"/>
        </w:rPr>
        <w:t>By:</w:t>
        <w:tab/>
        <w:t>/s/ Joseph M. Patti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14605</wp:posOffset>
            </wp:positionV>
            <wp:extent cx="27774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Joseph M. Patti, Ph.D.</w:t>
      </w:r>
    </w:p>
    <w:p>
      <w:pPr>
        <w:spacing w:after="0" w:line="2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Joseph M. Patti, Ph.D., as his or her true and lawful attorney-in-fact and agent, with full powers of substitution and resubstitution, for him or her and in his or her name, place and stead, in any and all capacities, to sign any and all amendments to this registration statement (including post-effective amendments and any related registration statements filed pursuant to Rule 462 and otherwise), and to file the same with all exhibits thereto, and other documents in connection therewith, with the Securities and Exchange Commission, granting unto said attorney-in-fact and agent and full power and authority to do and perform each and every act and thing requisite and necessary to be done in connection therewith, as fully for all intents and purposes as he or she might or could do in person, hereby ratifying and confirming that said attorney-in-fact and agent, or any substitute or resubstitute, may lawfully do or cause to be done by virtue 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4" w:name="page425"/>
    <w:bookmarkEnd w:id="424"/>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09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Joseph M. Patti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M. Patti, Ph.D.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Mark P. Colonnese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3">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P. Colonnese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4">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Russell H. Plumb</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5">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Anne M. VanLent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Armando Anido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6">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Armando Anido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7">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Geoffrey F. Cox, Ph.D.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8">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Dougherty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9">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Dunne, M.D.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P. Richard</w:t>
      </w:r>
    </w:p>
    <w:p>
      <w:pPr>
        <w:spacing w:after="0" w:line="223" w:lineRule="exact"/>
        <w:rPr>
          <w:sz w:val="20"/>
          <w:szCs w:val="20"/>
          <w:color w:val="auto"/>
        </w:rPr>
      </w:pPr>
    </w:p>
    <w:p>
      <w:pPr>
        <w:ind w:left="700" w:right="1160" w:hanging="692"/>
        <w:spacing w:after="0" w:line="319" w:lineRule="auto"/>
        <w:tabs>
          <w:tab w:leader="none" w:pos="35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By: /s/ Joseph M. Patti Joseph M. Patti, Ph.D.,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-319405</wp:posOffset>
            </wp:positionV>
            <wp:extent cx="21024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2102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180" w:type="dxa"/>
            <w:vAlign w:val="bottom"/>
            <w:gridSpan w:val="2"/>
          </w:tcPr>
          <w:p>
            <w:pPr>
              <w:ind w:left="220"/>
              <w:spacing w:after="0"/>
              <w:rPr>
                <w:sz w:val="20"/>
                <w:szCs w:val="20"/>
                <w:color w:val="auto"/>
              </w:rPr>
            </w:pPr>
            <w:r>
              <w:rPr>
                <w:rFonts w:ascii="Arial" w:cs="Arial" w:eastAsia="Arial" w:hAnsi="Arial"/>
                <w:sz w:val="18"/>
                <w:szCs w:val="18"/>
                <w:b w:val="1"/>
                <w:bCs w:val="1"/>
                <w:color w:val="auto"/>
              </w:rPr>
              <w:t>DATE</w:t>
            </w:r>
          </w:p>
        </w:tc>
      </w:tr>
      <w:tr>
        <w:trPr>
          <w:trHeight w:val="20"/>
        </w:trPr>
        <w:tc>
          <w:tcPr>
            <w:tcW w:w="4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639"/>
        </w:trPr>
        <w:tc>
          <w:tcPr>
            <w:tcW w:w="40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631"/>
        </w:trPr>
        <w:tc>
          <w:tcPr>
            <w:tcW w:w="400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Chairman</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Lead 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61"/>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646"/>
        </w:trPr>
        <w:tc>
          <w:tcPr>
            <w:tcW w:w="4000" w:type="dxa"/>
            <w:vAlign w:val="bottom"/>
          </w:tcPr>
          <w:p>
            <w:pPr>
              <w:spacing w:after="0"/>
              <w:rPr>
                <w:sz w:val="24"/>
                <w:szCs w:val="24"/>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December 28, 2017</w:t>
            </w:r>
          </w:p>
        </w:tc>
      </w:tr>
      <w:tr>
        <w:trPr>
          <w:trHeight w:val="875"/>
        </w:trPr>
        <w:tc>
          <w:tcPr>
            <w:tcW w:w="4000" w:type="dxa"/>
            <w:vAlign w:val="bottom"/>
          </w:tcPr>
          <w:p>
            <w:pPr>
              <w:ind w:left="1340"/>
              <w:spacing w:after="0"/>
              <w:rPr>
                <w:sz w:val="20"/>
                <w:szCs w:val="20"/>
                <w:color w:val="auto"/>
              </w:rPr>
            </w:pPr>
            <w:r>
              <w:rPr>
                <w:rFonts w:ascii="Arial" w:cs="Arial" w:eastAsia="Arial" w:hAnsi="Arial"/>
                <w:sz w:val="18"/>
                <w:szCs w:val="18"/>
                <w:color w:val="auto"/>
              </w:rPr>
              <w:t>II-9</w:t>
            </w: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2">
            <w:col w:w="3520" w:space="720"/>
            <w:col w:w="7180"/>
          </w:cols>
          <w:pgMar w:left="240" w:top="118" w:right="239" w:bottom="1440" w:gutter="0" w:footer="0" w:header="0"/>
          <w:type w:val="continuous"/>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2.4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Lock-Up Agreement</w:t>
      </w:r>
    </w:p>
    <w:p>
      <w:pPr>
        <w:spacing w:after="0" w:line="228"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This LOCK-UP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2017, is entered into by and among Aviragen Therapeutics,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Vaxart, Inc., a Delaware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the undersigned (the “</w:t>
      </w:r>
      <w:r>
        <w:rPr>
          <w:rFonts w:ascii="Arial" w:cs="Arial" w:eastAsia="Arial" w:hAnsi="Arial"/>
          <w:sz w:val="18"/>
          <w:szCs w:val="18"/>
          <w:u w:val="single" w:color="auto"/>
          <w:color w:val="auto"/>
        </w:rPr>
        <w:t>Securityholder</w:t>
      </w:r>
      <w:r>
        <w:rPr>
          <w:rFonts w:ascii="Arial" w:cs="Arial" w:eastAsia="Arial" w:hAnsi="Arial"/>
          <w:sz w:val="18"/>
          <w:szCs w:val="18"/>
          <w:color w:val="auto"/>
        </w:rPr>
        <w:t>” and together with the Buyer and the Target,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179"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Buyer, Agora Merger Sub, Inc., a Delaware corporation and a wholly-owned subsidiary of the Buyer (“</w:t>
      </w:r>
      <w:r>
        <w:rPr>
          <w:rFonts w:ascii="Arial" w:cs="Arial" w:eastAsia="Arial" w:hAnsi="Arial"/>
          <w:sz w:val="18"/>
          <w:szCs w:val="18"/>
          <w:u w:val="single" w:color="auto"/>
          <w:color w:val="auto"/>
        </w:rPr>
        <w:t>Merger Sub</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Target have entered into an Agreement and Plan of Merger and Reorganization, dated as of October 27, 2017, as may be supplemented and amended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providing for, among other things, the merger of Merger Sub with and into Target with Target continuing as the surviving corporation and a wholly-owned subsidiary of the Buyer (the “</w:t>
      </w:r>
      <w:r>
        <w:rPr>
          <w:rFonts w:ascii="Arial" w:cs="Arial" w:eastAsia="Arial" w:hAnsi="Arial"/>
          <w:sz w:val="18"/>
          <w:szCs w:val="18"/>
          <w:u w:val="single" w:color="auto"/>
          <w:color w:val="auto"/>
        </w:rPr>
        <w:t>Merger</w:t>
      </w:r>
      <w:r>
        <w:rPr>
          <w:rFonts w:ascii="Arial" w:cs="Arial" w:eastAsia="Arial" w:hAnsi="Arial"/>
          <w:sz w:val="18"/>
          <w:szCs w:val="18"/>
          <w:color w:val="auto"/>
        </w:rPr>
        <w:t>”), effective upon the filing of a certificate of merger with the Secretary of State of the State of Delaware in accordance with the Merger Agreement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4" w:lineRule="exact"/>
        <w:rPr>
          <w:sz w:val="20"/>
          <w:szCs w:val="20"/>
          <w:color w:val="auto"/>
        </w:rPr>
      </w:pPr>
    </w:p>
    <w:p>
      <w:pPr>
        <w:jc w:val="both"/>
        <w:ind w:firstLine="1292"/>
        <w:spacing w:after="0" w:line="311"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promises and of the mutual consents and obligations hereinafter set forth, and for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is hereby acknowledged, the parties hereto hereby agree as follows:</w:t>
      </w:r>
    </w:p>
    <w:p>
      <w:pPr>
        <w:spacing w:after="0" w:line="143"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Restrictions on Shares/Lock-Up</w:t>
      </w:r>
      <w:r>
        <w:rPr>
          <w:rFonts w:ascii="Arial" w:cs="Arial" w:eastAsia="Arial" w:hAnsi="Arial"/>
          <w:sz w:val="16"/>
          <w:szCs w:val="16"/>
          <w:color w:val="auto"/>
        </w:rPr>
        <w:t>.</w:t>
      </w:r>
    </w:p>
    <w:p>
      <w:pPr>
        <w:spacing w:after="0" w:line="224" w:lineRule="exact"/>
        <w:rPr>
          <w:sz w:val="20"/>
          <w:szCs w:val="20"/>
          <w:color w:val="auto"/>
        </w:rPr>
      </w:pPr>
    </w:p>
    <w:p>
      <w:pPr>
        <w:ind w:left="160" w:firstLine="1301"/>
        <w:spacing w:after="0" w:line="276" w:lineRule="auto"/>
        <w:tabs>
          <w:tab w:leader="none" w:pos="205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During the period commencing at the date hereof and ending on the date that is one-hundred and eighty (180) days after the Effective Time (the “</w:t>
      </w:r>
      <w:r>
        <w:rPr>
          <w:rFonts w:ascii="Arial" w:cs="Arial" w:eastAsia="Arial" w:hAnsi="Arial"/>
          <w:sz w:val="18"/>
          <w:szCs w:val="18"/>
          <w:u w:val="single" w:color="auto"/>
          <w:color w:val="auto"/>
        </w:rPr>
        <w:t>Lock-Up Expiration Time</w:t>
      </w:r>
      <w:r>
        <w:rPr>
          <w:rFonts w:ascii="Arial" w:cs="Arial" w:eastAsia="Arial" w:hAnsi="Arial"/>
          <w:sz w:val="18"/>
          <w:szCs w:val="18"/>
          <w:color w:val="auto"/>
        </w:rPr>
        <w:t>”), the Securityholder shall not, directly or indirectly:</w:t>
      </w:r>
    </w:p>
    <w:p>
      <w:pPr>
        <w:spacing w:after="0" w:line="169" w:lineRule="exact"/>
        <w:rPr>
          <w:rFonts w:ascii="Arial" w:cs="Arial" w:eastAsia="Arial" w:hAnsi="Arial"/>
          <w:sz w:val="18"/>
          <w:szCs w:val="18"/>
          <w:color w:val="auto"/>
        </w:rPr>
      </w:pPr>
    </w:p>
    <w:p>
      <w:pPr>
        <w:jc w:val="both"/>
        <w:ind w:left="660" w:firstLine="1286"/>
        <w:spacing w:after="0" w:line="256" w:lineRule="auto"/>
        <w:tabs>
          <w:tab w:leader="none" w:pos="239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transfer (except as may be specifically required by court order or by operation of law), grant an option with respect to, sell, exchange, pledge or otherwise dispose of (whether by actual disposition or effective economic disposition due to cash settlement or otherwise), or encumber, (A) any shares of common stock, par value $0.10 per share, of the Buyer (the “</w:t>
      </w:r>
      <w:r>
        <w:rPr>
          <w:rFonts w:ascii="Arial" w:cs="Arial" w:eastAsia="Arial" w:hAnsi="Arial"/>
          <w:sz w:val="18"/>
          <w:szCs w:val="18"/>
          <w:u w:val="single" w:color="auto"/>
          <w:color w:val="auto"/>
        </w:rPr>
        <w:t>Common Stock</w:t>
      </w:r>
      <w:r>
        <w:rPr>
          <w:rFonts w:ascii="Arial" w:cs="Arial" w:eastAsia="Arial" w:hAnsi="Arial"/>
          <w:sz w:val="18"/>
          <w:szCs w:val="18"/>
          <w:color w:val="auto"/>
        </w:rPr>
        <w:t>”) owned of record or beneficially by the Securityholder or (B) any securities held by or issued to the Securityholder which are convertible into or exercisable or exchangeable for shares of Common Stock (collectively, the “</w:t>
      </w:r>
      <w:r>
        <w:rPr>
          <w:rFonts w:ascii="Arial" w:cs="Arial" w:eastAsia="Arial" w:hAnsi="Arial"/>
          <w:sz w:val="18"/>
          <w:szCs w:val="18"/>
          <w:u w:val="single" w:color="auto"/>
          <w:color w:val="auto"/>
        </w:rPr>
        <w:t>Lock-Up Shares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660" w:firstLine="1286"/>
        <w:spacing w:after="0" w:line="310" w:lineRule="auto"/>
        <w:tabs>
          <w:tab w:leader="none" w:pos="240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enter into any short sale or any purchase, sale or grant of any right (including, without limitation, any put or call option) with respect to any security (other than a broad-based market basket or index) that includes, relates to or derives any significant part of its value from the Lock-Up Shares or any other agreement that transfers, in whole or in part, any of the economic consequences of ownership of any Lock-Up Shares;</w:t>
      </w:r>
    </w:p>
    <w:p>
      <w:pPr>
        <w:spacing w:after="0" w:line="148" w:lineRule="exact"/>
        <w:rPr>
          <w:rFonts w:ascii="Arial" w:cs="Arial" w:eastAsia="Arial" w:hAnsi="Arial"/>
          <w:sz w:val="16"/>
          <w:szCs w:val="16"/>
          <w:color w:val="auto"/>
        </w:rPr>
      </w:pPr>
    </w:p>
    <w:p>
      <w:pPr>
        <w:jc w:val="both"/>
        <w:ind w:left="660" w:firstLine="1286"/>
        <w:spacing w:after="0" w:line="262" w:lineRule="auto"/>
        <w:tabs>
          <w:tab w:leader="none" w:pos="245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except for the Support Agreement, grant any proxies or powers of attorney with respect to any Lock-Up Shares, deposit any Lock-Up Shares into a voting trust, or enter into a voting agreement or similar arrangement or commitment with respect to any Lock-Up Shares or make any public announcement that is in any manner inconsistent with this </w:t>
      </w:r>
      <w:r>
        <w:rPr>
          <w:rFonts w:ascii="Arial" w:cs="Arial" w:eastAsia="Arial" w:hAnsi="Arial"/>
          <w:sz w:val="18"/>
          <w:szCs w:val="18"/>
          <w:u w:val="single" w:color="auto"/>
          <w:color w:val="auto"/>
        </w:rPr>
        <w:t>Section 1</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660" w:firstLine="1286"/>
        <w:spacing w:after="0" w:line="276" w:lineRule="auto"/>
        <w:tabs>
          <w:tab w:leader="none" w:pos="254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make any offer or enter into any agreement or binding arrangement or commitment providing for any of the foregoing actions in clauses (i) to (iii), or publicly disclose the intention to take any of the foregoing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6" w:name="page427"/>
    <w:bookmarkEnd w:id="426"/>
    <w:p>
      <w:pPr>
        <w:ind w:left="1880" w:hanging="579"/>
        <w:spacing w:after="0"/>
        <w:tabs>
          <w:tab w:leader="none" w:pos="18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Notwithstanding the restrictions set forth in clause (a)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but subject to the proviso at the end of </w:t>
      </w:r>
      <w:r>
        <w:rPr>
          <w:rFonts w:ascii="Arial" w:cs="Arial" w:eastAsia="Arial" w:hAnsi="Arial"/>
          <w:sz w:val="16"/>
          <w:szCs w:val="16"/>
          <w:u w:val="single" w:color="auto"/>
          <w:color w:val="auto"/>
        </w:rPr>
        <w:t>Section 1(b)(iv)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9" w:lineRule="exact"/>
        <w:rPr>
          <w:sz w:val="20"/>
          <w:szCs w:val="20"/>
          <w:color w:val="auto"/>
        </w:rPr>
      </w:pPr>
    </w:p>
    <w:p>
      <w:pPr>
        <w:jc w:val="both"/>
        <w:ind w:left="500" w:firstLine="1286"/>
        <w:spacing w:after="0" w:line="254" w:lineRule="auto"/>
        <w:tabs>
          <w:tab w:leader="none" w:pos="225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the Securityholder is a natural person, the Securityholder may transfer his or her Lock-Up Shares to any member of the Securityholder’s immediate family, or to a trust for the benefit of the Securityholder or any member of the Securityholder’s immediate family for estate planning purposes, or to the Securityholder’s estate, following the death of the undersigned, by will, intestacy, or other operation of law, or as a bona fide gift to a charitable organization, or by operation of law pursuant to a qualified domestic order or in connection with a divorce settlement or to any partnership, corporation or limited liability company which is controlled by the undersigned and/or by any such member of the Securityholder’s immediate family;</w:t>
      </w:r>
    </w:p>
    <w:p>
      <w:pPr>
        <w:spacing w:after="0" w:line="192" w:lineRule="exact"/>
        <w:rPr>
          <w:rFonts w:ascii="Arial" w:cs="Arial" w:eastAsia="Arial" w:hAnsi="Arial"/>
          <w:sz w:val="18"/>
          <w:szCs w:val="18"/>
          <w:color w:val="auto"/>
        </w:rPr>
      </w:pPr>
    </w:p>
    <w:p>
      <w:pPr>
        <w:jc w:val="both"/>
        <w:ind w:left="500" w:firstLine="1286"/>
        <w:spacing w:after="0" w:line="274" w:lineRule="auto"/>
        <w:tabs>
          <w:tab w:leader="none" w:pos="223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if the Securityholder is a corporation, partnership or other business entity, the Securityholder may transfer its Lock-Up Shares to another corporation, partnership or other business entity that is an affiliate (as defined under Rule 12b-2 of the Securities and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of the Securityholder or as a distribution or dividend to equity holders (including, without limitation, general or limited partners and members) of the Securityholder (including upon the liquidation and dissolution of the undersigned pursuant to a plan of liquidation approved by the undersigned’s equity holders), or as a bona fide gift to a charitable organization;</w:t>
      </w:r>
    </w:p>
    <w:p>
      <w:pPr>
        <w:spacing w:after="0" w:line="176" w:lineRule="exact"/>
        <w:rPr>
          <w:rFonts w:ascii="Arial" w:cs="Arial" w:eastAsia="Arial" w:hAnsi="Arial"/>
          <w:sz w:val="17"/>
          <w:szCs w:val="17"/>
          <w:color w:val="auto"/>
        </w:rPr>
      </w:pPr>
    </w:p>
    <w:p>
      <w:pPr>
        <w:ind w:left="2280" w:hanging="494"/>
        <w:spacing w:after="0"/>
        <w:tabs>
          <w:tab w:leader="none" w:pos="22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if the Securityholder is a trust, the Securityholder may transfer its Lock-Up Shares to any grantors or beneficiaries of the</w:t>
      </w:r>
    </w:p>
    <w:p>
      <w:pPr>
        <w:spacing w:after="0" w:line="4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trust; and</w:t>
      </w:r>
    </w:p>
    <w:p>
      <w:pPr>
        <w:spacing w:after="0" w:line="209" w:lineRule="exact"/>
        <w:rPr>
          <w:rFonts w:ascii="Arial" w:cs="Arial" w:eastAsia="Arial" w:hAnsi="Arial"/>
          <w:sz w:val="16"/>
          <w:szCs w:val="16"/>
          <w:color w:val="auto"/>
        </w:rPr>
      </w:pPr>
    </w:p>
    <w:p>
      <w:pPr>
        <w:jc w:val="both"/>
        <w:ind w:left="500" w:firstLine="1286"/>
        <w:spacing w:after="0" w:line="267" w:lineRule="auto"/>
        <w:tabs>
          <w:tab w:leader="none" w:pos="2288"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nothing contained herein will be deemed to restrict the ability of the Securityholder to (a) transfer or dispose of the shares of the Buyer purchased by the Securityholder following the closing of the transactions pursuant to the Merger Agreement in the open market, (b) exercise an option to purchase shares of Common Stock, and any related transfer of shares of Common Stock to Buyer for the purpose of paying the exercise price of such options as a result of the exercise of such options;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underlying shares of Common Stock shall continue to be subject to the restrictions on transfer set forth in this Agreement until the Lock-Up Expiration Time, or (c) establish a trading plan pursuant to Rule 10b5-1 under the Exchange Act for the transfer of shares of the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plan does not provide for the transfer of shares of the Buyer during the Lock-Up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transfer or distribution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 no filing by any party (donor, donee, transferor, transferee, distributor or distributee, as the case may be) under the Exchange Act or other public announcement shall be required or shall be made voluntarily in connection with such transfer or disposition during the Lock-Up Period (other than (i) any exit filings or public announcements that may be required under applicable federal and state securities laws or (ii) in respect of a required filing under the Exchange Act in connection with the exercise of an option to purchase Common Stock following such individual’s termination of employment that would otherwise expire during the Lock-Up Period, provided that reasonable notice shall be provided to Buyer prior to any such filing) and (y) it shall be a condition to the transfer or distribution that the transferee or distributee execute an agreement, in the form of this Agreement, stating that the transferee or distributee is receiving and holding such Lock-Up Shares subject to the provisions of such agreement until the Lock-Up Expiration Time.</w:t>
      </w:r>
    </w:p>
    <w:p>
      <w:pPr>
        <w:spacing w:after="0" w:line="18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82550</wp:posOffset>
            </wp:positionV>
            <wp:extent cx="724725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400" w:top="583" w:right="239" w:bottom="1440" w:gutter="0" w:footer="0" w:header="0"/>
        </w:sectPr>
      </w:pPr>
    </w:p>
    <w:bookmarkStart w:id="427" w:name="page428"/>
    <w:bookmarkEnd w:id="427"/>
    <w:p>
      <w:pPr>
        <w:ind w:left="1860" w:hanging="559"/>
        <w:spacing w:after="0"/>
        <w:tabs>
          <w:tab w:leader="none" w:pos="18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 for purposes of this Agreement:</w:t>
      </w:r>
    </w:p>
    <w:p>
      <w:pPr>
        <w:spacing w:after="0" w:line="223" w:lineRule="exact"/>
        <w:rPr>
          <w:rFonts w:ascii="Arial" w:cs="Arial" w:eastAsia="Arial" w:hAnsi="Arial"/>
          <w:sz w:val="18"/>
          <w:szCs w:val="18"/>
          <w:color w:val="auto"/>
        </w:rPr>
      </w:pPr>
    </w:p>
    <w:p>
      <w:pPr>
        <w:ind w:left="1940" w:hanging="316"/>
        <w:spacing w:after="0" w:line="276" w:lineRule="auto"/>
        <w:tabs>
          <w:tab w:leader="none" w:pos="19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day on which banks in the State of New York are authorized or obligated to be closed.</w:t>
      </w:r>
    </w:p>
    <w:p>
      <w:pPr>
        <w:spacing w:after="0" w:line="169" w:lineRule="exact"/>
        <w:rPr>
          <w:rFonts w:ascii="Arial" w:cs="Arial" w:eastAsia="Arial" w:hAnsi="Arial"/>
          <w:sz w:val="18"/>
          <w:szCs w:val="18"/>
          <w:color w:val="auto"/>
        </w:rPr>
      </w:pPr>
    </w:p>
    <w:p>
      <w:pPr>
        <w:ind w:left="1940" w:hanging="316"/>
        <w:spacing w:after="0" w:line="276" w:lineRule="auto"/>
        <w:tabs>
          <w:tab w:leader="none" w:pos="19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general partnership, limited partnership, limited liability company, corporation, trust, estate, or any other entity.</w:t>
      </w:r>
    </w:p>
    <w:p>
      <w:pPr>
        <w:spacing w:after="0" w:line="169" w:lineRule="exact"/>
        <w:rPr>
          <w:rFonts w:ascii="Arial" w:cs="Arial" w:eastAsia="Arial" w:hAnsi="Arial"/>
          <w:sz w:val="18"/>
          <w:szCs w:val="18"/>
          <w:color w:val="auto"/>
        </w:rPr>
      </w:pPr>
    </w:p>
    <w:p>
      <w:pPr>
        <w:ind w:left="1940" w:right="20" w:hanging="316"/>
        <w:spacing w:after="0" w:line="276" w:lineRule="auto"/>
        <w:tabs>
          <w:tab w:leader="none" w:pos="19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Agreement</w:t>
      </w:r>
      <w:r>
        <w:rPr>
          <w:rFonts w:ascii="Arial" w:cs="Arial" w:eastAsia="Arial" w:hAnsi="Arial"/>
          <w:sz w:val="18"/>
          <w:szCs w:val="18"/>
          <w:color w:val="auto"/>
        </w:rPr>
        <w:t>” means that certain Support Agreement, dated as of October 27, 2017 executed by the Securityholder in favor of Buyer and Target.</w:t>
      </w:r>
    </w:p>
    <w:p>
      <w:pPr>
        <w:spacing w:after="0" w:line="170" w:lineRule="exact"/>
        <w:rPr>
          <w:sz w:val="20"/>
          <w:szCs w:val="20"/>
          <w:color w:val="auto"/>
        </w:rPr>
      </w:pPr>
    </w:p>
    <w:p>
      <w:pPr>
        <w:ind w:left="1140"/>
        <w:spacing w:after="0"/>
        <w:tabs>
          <w:tab w:leader="none" w:pos="22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4" w:lineRule="exact"/>
        <w:rPr>
          <w:sz w:val="20"/>
          <w:szCs w:val="20"/>
          <w:color w:val="auto"/>
        </w:rPr>
      </w:pPr>
    </w:p>
    <w:p>
      <w:pPr>
        <w:ind w:right="800" w:firstLine="1301"/>
        <w:spacing w:after="0" w:line="306" w:lineRule="auto"/>
        <w:tabs>
          <w:tab w:leader="none" w:pos="185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This Agreement shall terminate automatically upon the earlier of (i) the Lock-Up Expiration Time and (ii) if the Merger Agreement is validly terminated in accordance with its terms prior to the Effective Time, upon the date of such termination.</w:t>
      </w:r>
    </w:p>
    <w:p>
      <w:pPr>
        <w:spacing w:after="0" w:line="147" w:lineRule="exact"/>
        <w:rPr>
          <w:rFonts w:ascii="Arial" w:cs="Arial" w:eastAsia="Arial" w:hAnsi="Arial"/>
          <w:sz w:val="17"/>
          <w:szCs w:val="17"/>
          <w:color w:val="auto"/>
        </w:rPr>
      </w:pPr>
    </w:p>
    <w:p>
      <w:pPr>
        <w:jc w:val="both"/>
        <w:ind w:firstLine="1301"/>
        <w:spacing w:after="0" w:line="270" w:lineRule="auto"/>
        <w:tabs>
          <w:tab w:leader="none" w:pos="194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Securityholder hereby represents and warrants that (i) if it is a corporation, partnership , limited liability company or other business entity, it is duly organized and validly existing and in good standing under the laws of the jurisdiction of its incorporation or formation, (ii) he, she or it has full power and authority to enter into this Agreement, (iii) this Agreement has been duly and validly executed and delivered by the Securityholder and constitutes the legal, valid and binding obligation of the Securityholder, enforceable against the Securityholder in accordance with its terms, subject to laws of general application relating to bankruptcy, insolvency and the relief of debtors and rules of law governing specific performance, injunctive relief and other equitable remedies, and (iv), upon request, he, she or it will execute any additional documents necessary to ensure the validity or enforcement of this Agreement. All authority herein conferred or agreed to be conferred and any obligations of the Securityholder shall be binding upon the successors, assigns, heirs or personal representatives of the Securityholder.</w:t>
      </w:r>
    </w:p>
    <w:p>
      <w:pPr>
        <w:spacing w:after="0" w:line="178" w:lineRule="exact"/>
        <w:rPr>
          <w:rFonts w:ascii="Arial" w:cs="Arial" w:eastAsia="Arial" w:hAnsi="Arial"/>
          <w:sz w:val="17"/>
          <w:szCs w:val="17"/>
          <w:color w:val="auto"/>
        </w:rPr>
      </w:pPr>
    </w:p>
    <w:p>
      <w:pPr>
        <w:jc w:val="both"/>
        <w:ind w:firstLine="1301"/>
        <w:spacing w:after="0" w:line="278" w:lineRule="auto"/>
        <w:tabs>
          <w:tab w:leader="none" w:pos="1902"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Any attempted transfer in violation of this Agreement will be of no effect and null and void, regardless of whether the purported transferee has any actual or constructive knowledge of the transfer restrictions set forth in this Agreement, and will not be recorded on the share register of the Buyer. In order to ensure compliance with the restrictions referred to herein, the undersigned agrees that the Buyer and its transfer agent and registrar are hereby authorized to decline to make any such transfer if it would constitute a violation or breach of this Agreement.</w:t>
      </w:r>
    </w:p>
    <w:p>
      <w:pPr>
        <w:spacing w:after="0" w:line="170" w:lineRule="exact"/>
        <w:rPr>
          <w:rFonts w:ascii="Arial" w:cs="Arial" w:eastAsia="Arial" w:hAnsi="Arial"/>
          <w:sz w:val="17"/>
          <w:szCs w:val="17"/>
          <w:color w:val="auto"/>
        </w:rPr>
      </w:pPr>
    </w:p>
    <w:p>
      <w:pPr>
        <w:jc w:val="both"/>
        <w:ind w:firstLine="1301"/>
        <w:spacing w:after="0" w:line="269" w:lineRule="auto"/>
        <w:tabs>
          <w:tab w:leader="none" w:pos="1944"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Any person having rights under any provision of this Agreement shall be entitled to enforce such rights specifically, to recover damages caused by reason of any breach of any provision of this Agreement and to exercise all other rights existing in their favor. The parties hereto agree and acknowledge that money damages would not be an adequate remedy for any breach of the provisions of this Agreement and that any party hereto may in its sole discretion apply to any court of law or equity of competent jurisdiction for, and obtain from any such court, specific performance and/or injunctive relief (without posting any bond or other security) in order to enforce or prevent violation of the provisions of this Agreement and shall not be required to prove irreparable injury to such party or that such party does not have an adequate remedy at law with respect to any breach of this Agreement (each of which elements the parties admit). The parties hereto further agree and acknowledge that each and every obligation applicable to it contained in this Agreement shall be specifically enforceable against it and hereby waives and agrees not to assert any defenses against an action for specific performance of their respective obligations hereunder. All rights and remedies existing under this Agreement are cumulative to, and not exclusive of, any rights or remedies available under this Agreement or otherwise.</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82550</wp:posOffset>
            </wp:positionV>
            <wp:extent cx="724725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400" w:top="583" w:right="239" w:bottom="1440" w:gutter="0" w:footer="0" w:header="0"/>
        </w:sectPr>
      </w:pPr>
    </w:p>
    <w:bookmarkStart w:id="428" w:name="page429"/>
    <w:bookmarkEnd w:id="428"/>
    <w:p>
      <w:pPr>
        <w:jc w:val="both"/>
        <w:ind w:firstLine="1301"/>
        <w:spacing w:after="0" w:line="256" w:lineRule="auto"/>
        <w:tabs>
          <w:tab w:leader="none" w:pos="171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that Buyer may assign its rights and interests to any of its Affiliates (as defined in the Merger Agreement). Subject to the preceding sentence, this Agreement shall be binding upon, inure to the benefit of, and be enforceable by, the parties hereto and their respective successors and permitted assigns. Any purported assignment not permitted under this Section shall be null and void.</w:t>
      </w:r>
    </w:p>
    <w:p>
      <w:pPr>
        <w:spacing w:after="0" w:line="188" w:lineRule="exact"/>
        <w:rPr>
          <w:rFonts w:ascii="Arial" w:cs="Arial" w:eastAsia="Arial" w:hAnsi="Arial"/>
          <w:sz w:val="18"/>
          <w:szCs w:val="18"/>
          <w:color w:val="auto"/>
        </w:rPr>
      </w:pPr>
    </w:p>
    <w:p>
      <w:pPr>
        <w:jc w:val="both"/>
        <w:ind w:firstLine="1301"/>
        <w:spacing w:after="0" w:line="274" w:lineRule="auto"/>
        <w:tabs>
          <w:tab w:leader="none" w:pos="1705"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6" w:lineRule="exact"/>
        <w:rPr>
          <w:rFonts w:ascii="Arial" w:cs="Arial" w:eastAsia="Arial" w:hAnsi="Arial"/>
          <w:sz w:val="17"/>
          <w:szCs w:val="17"/>
          <w:color w:val="auto"/>
        </w:rPr>
      </w:pPr>
    </w:p>
    <w:p>
      <w:pPr>
        <w:ind w:firstLine="1301"/>
        <w:spacing w:after="0" w:line="276" w:lineRule="auto"/>
        <w:tabs>
          <w:tab w:leader="none" w:pos="181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of the parties to this Agreement agrees and acknowledges that this Agreement has been negotiated in good faith, at arm’s length, and not by any means prohibited by law.</w:t>
      </w:r>
    </w:p>
    <w:p>
      <w:pPr>
        <w:spacing w:after="0" w:line="169" w:lineRule="exact"/>
        <w:rPr>
          <w:rFonts w:ascii="Arial" w:cs="Arial" w:eastAsia="Arial" w:hAnsi="Arial"/>
          <w:sz w:val="18"/>
          <w:szCs w:val="18"/>
          <w:color w:val="auto"/>
        </w:rPr>
      </w:pPr>
    </w:p>
    <w:p>
      <w:pPr>
        <w:ind w:firstLine="1301"/>
        <w:spacing w:after="0" w:line="276" w:lineRule="auto"/>
        <w:tabs>
          <w:tab w:leader="none" w:pos="176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to be an original but all of which taken together shall constitute one and the same agreement).</w:t>
      </w:r>
    </w:p>
    <w:p>
      <w:pPr>
        <w:spacing w:after="0" w:line="169" w:lineRule="exact"/>
        <w:rPr>
          <w:rFonts w:ascii="Arial" w:cs="Arial" w:eastAsia="Arial" w:hAnsi="Arial"/>
          <w:sz w:val="18"/>
          <w:szCs w:val="18"/>
          <w:color w:val="auto"/>
        </w:rPr>
      </w:pPr>
    </w:p>
    <w:p>
      <w:pPr>
        <w:jc w:val="both"/>
        <w:ind w:firstLine="1301"/>
        <w:spacing w:after="0" w:line="256" w:lineRule="auto"/>
        <w:tabs>
          <w:tab w:leader="none" w:pos="1758"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of the parties to this Agreement specifically acknowledges that he, she or it (i) is a knowledgeable, informed, sophisticated Person capable of understanding and evaluating the provisions set forth in this Agreement, (ii) has had the opportunity to review this Agreement with counsel of his, her or its own choosing, (iii) has carefully read and fully understands all of the terms of this Agreement, and (iv) is under no disability or impairment that affects its, his or her decision to sign this Agreement and he, she or it knowingly and voluntarily intends to be legally bound by this Agreement.</w:t>
      </w:r>
    </w:p>
    <w:p>
      <w:pPr>
        <w:spacing w:after="0" w:line="188" w:lineRule="exact"/>
        <w:rPr>
          <w:rFonts w:ascii="Arial" w:cs="Arial" w:eastAsia="Arial" w:hAnsi="Arial"/>
          <w:sz w:val="18"/>
          <w:szCs w:val="18"/>
          <w:color w:val="auto"/>
        </w:rPr>
      </w:pPr>
    </w:p>
    <w:p>
      <w:pPr>
        <w:jc w:val="both"/>
        <w:ind w:firstLine="1301"/>
        <w:spacing w:after="0" w:line="254" w:lineRule="auto"/>
        <w:tabs>
          <w:tab w:leader="none" w:pos="17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follows: (a) if to Buyer or the Target, to the notice address listed in Section 10.8 of the Merger Agreement and (b) if to the Securityholder, to the address listed on the signature page hereto.</w:t>
      </w:r>
    </w:p>
    <w:p>
      <w:pPr>
        <w:spacing w:after="0" w:line="192" w:lineRule="exact"/>
        <w:rPr>
          <w:rFonts w:ascii="Arial" w:cs="Arial" w:eastAsia="Arial" w:hAnsi="Arial"/>
          <w:sz w:val="18"/>
          <w:szCs w:val="18"/>
          <w:color w:val="auto"/>
        </w:rPr>
      </w:pPr>
    </w:p>
    <w:p>
      <w:pPr>
        <w:jc w:val="both"/>
        <w:ind w:firstLine="1301"/>
        <w:spacing w:after="0" w:line="262" w:lineRule="auto"/>
        <w:tabs>
          <w:tab w:leader="none" w:pos="172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Securityholder agrees and consents to the entry of stop transfer instructions with the Buyer’s transfer agent and registrar against the transfer of Common Stock or securities convertible into or exchangeable or exercisable for Common Stock held by the Securityholder except in compliance with the foregoing restrictions.</w:t>
      </w:r>
    </w:p>
    <w:p>
      <w:pPr>
        <w:spacing w:after="0" w:line="18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82550</wp:posOffset>
            </wp:positionV>
            <wp:extent cx="724725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400" w:top="583" w:right="239" w:bottom="1440" w:gutter="0" w:footer="0" w:header="0"/>
        </w:sectPr>
      </w:pPr>
    </w:p>
    <w:bookmarkStart w:id="429" w:name="page430"/>
    <w:bookmarkEnd w:id="429"/>
    <w:p>
      <w:pPr>
        <w:jc w:val="both"/>
        <w:ind w:firstLine="1301"/>
        <w:spacing w:after="0" w:line="268" w:lineRule="auto"/>
        <w:tabs>
          <w:tab w:leader="none" w:pos="1734"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(a) irrevocably and unconditionally consents and submits to the exclusive jurisdiction and venue of the Court of Chancery of the State of Delaware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Arial" w:cs="Arial" w:eastAsia="Arial" w:hAnsi="Arial"/>
          <w:sz w:val="17"/>
          <w:szCs w:val="17"/>
          <w:u w:val="single" w:color="auto"/>
          <w:color w:val="auto"/>
        </w:rPr>
        <w:t>Section 2(l)</w:t>
      </w:r>
      <w:r>
        <w:rPr>
          <w:rFonts w:ascii="Arial" w:cs="Arial" w:eastAsia="Arial" w:hAnsi="Arial"/>
          <w:sz w:val="17"/>
          <w:szCs w:val="17"/>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7"/>
          <w:szCs w:val="17"/>
          <w:u w:val="single" w:color="auto"/>
          <w:color w:val="auto"/>
        </w:rPr>
        <w:t>Section 2(j)</w:t>
      </w:r>
      <w:r>
        <w:rPr>
          <w:rFonts w:ascii="Arial" w:cs="Arial" w:eastAsia="Arial" w:hAnsi="Arial"/>
          <w:sz w:val="17"/>
          <w:szCs w:val="17"/>
          <w:color w:val="auto"/>
        </w:rPr>
        <w:t xml:space="preserve"> of this Agreement; and (f) irrevocably and unconditionally waives the right to trial by jury. This Agreement, and any certificates, documents, instruments and writings that are delivered pursuant hereto, constitutes the entire agreement and understanding of the Parties in respect of the subject matter hereof and supersedes all prior understandings, agreements or representations by or among the Parties, written or oral, to the extent they relate in any way to the subject matter hereof.</w:t>
      </w:r>
    </w:p>
    <w:p>
      <w:pPr>
        <w:spacing w:after="0" w:line="179" w:lineRule="exact"/>
        <w:rPr>
          <w:rFonts w:ascii="Arial" w:cs="Arial" w:eastAsia="Arial" w:hAnsi="Arial"/>
          <w:sz w:val="17"/>
          <w:szCs w:val="17"/>
          <w:color w:val="auto"/>
        </w:rPr>
      </w:pPr>
    </w:p>
    <w:p>
      <w:pPr>
        <w:jc w:val="both"/>
        <w:ind w:firstLine="1301"/>
        <w:spacing w:after="0" w:line="262" w:lineRule="auto"/>
        <w:tabs>
          <w:tab w:leader="none" w:pos="187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Nothing herein shall grant to or create in any Person not a party hereto, or any such Person’s dependents, heirs, successors or assigns any right to any benefits hereunder or any remedies hereunder, and no such party shall be entitled to sue any party to this Agreement with respect thereto;</w:t>
      </w:r>
    </w:p>
    <w:p>
      <w:pPr>
        <w:spacing w:after="0" w:line="183" w:lineRule="exact"/>
        <w:rPr>
          <w:rFonts w:ascii="Arial" w:cs="Arial" w:eastAsia="Arial" w:hAnsi="Arial"/>
          <w:sz w:val="18"/>
          <w:szCs w:val="18"/>
          <w:color w:val="auto"/>
        </w:rPr>
      </w:pPr>
    </w:p>
    <w:p>
      <w:pPr>
        <w:jc w:val="both"/>
        <w:ind w:firstLine="1301"/>
        <w:spacing w:after="0" w:line="262" w:lineRule="auto"/>
        <w:tabs>
          <w:tab w:leader="none" w:pos="174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Any amendment, supplement or waiver of this Agreement shall be effective only if in a written instrument executed by each of the parties hereto. If any such amendment, supplement or waiver is to be entered into after the Closing, it shall have been approved in advance by a majority of the board of directors of Buyer, including at least one (1) Parent Designee (as defined in the Merger Agreement).</w:t>
      </w:r>
    </w:p>
    <w:p>
      <w:pPr>
        <w:spacing w:after="0" w:line="183" w:lineRule="exact"/>
        <w:rPr>
          <w:rFonts w:ascii="Arial" w:cs="Arial" w:eastAsia="Arial" w:hAnsi="Arial"/>
          <w:sz w:val="18"/>
          <w:szCs w:val="18"/>
          <w:color w:val="auto"/>
        </w:rPr>
      </w:pPr>
    </w:p>
    <w:p>
      <w:pPr>
        <w:jc w:val="both"/>
        <w:ind w:firstLine="1301"/>
        <w:spacing w:after="0" w:line="272" w:lineRule="auto"/>
        <w:tabs>
          <w:tab w:leader="none" w:pos="1745" w:val="left"/>
        </w:tabs>
        <w:numPr>
          <w:ilvl w:val="0"/>
          <w:numId w:val="37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2(n)</w:t>
      </w:r>
      <w:r>
        <w:rPr>
          <w:rFonts w:ascii="Arial" w:cs="Arial" w:eastAsia="Arial" w:hAnsi="Arial"/>
          <w:sz w:val="17"/>
          <w:szCs w:val="17"/>
          <w:color w:val="auto"/>
        </w:rPr>
        <w:t>, in the event that any holder of Common Stock or securities convertible into or exercisable or exchangeable for Common Stock that is subject to a substantially similar letter agreement entered into by such holder, other than Buyer or the undersigned, is permitted by Buyer to sell or otherwise transfer or dispose of shares of Common Stock or securities convertible into or exercisable or exchangeable for Common Stock for value other than as permitted by this Agreement or a substantially similar letter agreement entered into by such holder, the same percentage of shares of Common Stock or securities convertible into or exercisable or exchangeable for Common Stock held by the undersigned shall be immediately and fully released on the same terms from any remaining restrictions set forth herein.</w:t>
      </w:r>
    </w:p>
    <w:p>
      <w:pPr>
        <w:spacing w:after="0" w:line="17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82550</wp:posOffset>
            </wp:positionV>
            <wp:extent cx="724725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60"/>
          </w:cols>
          <w:pgMar w:left="400" w:top="582" w:right="239" w:bottom="1440" w:gutter="0" w:footer="0" w:header="0"/>
        </w:sectPr>
      </w:pPr>
    </w:p>
    <w:bookmarkStart w:id="430" w:name="page431"/>
    <w:bookmarkEnd w:id="430"/>
    <w:p>
      <w:pPr>
        <w:ind w:left="660"/>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AVIRAGEN THERAPEUTICS, INC.:</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64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4"/>
                <w:szCs w:val="24"/>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By:</w:t>
            </w:r>
          </w:p>
        </w:tc>
      </w:tr>
      <w:tr>
        <w:trPr>
          <w:trHeight w:val="63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4"/>
                <w:szCs w:val="24"/>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w w:val="86"/>
              </w:rPr>
              <w:t>Name:</w:t>
            </w:r>
          </w:p>
        </w:tc>
      </w:tr>
      <w:tr>
        <w:trPr>
          <w:trHeight w:val="424"/>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4"/>
                <w:szCs w:val="24"/>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-708660</wp:posOffset>
            </wp:positionV>
            <wp:extent cx="31108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7">
                      <a:extLst>
                        <a:ext uri="{28A0092B-C50C-407E-A947-70E740481C1C}"/>
                      </a:extLst>
                    </a:blip>
                    <a:srcRect/>
                    <a:stretch>
                      <a:fillRect/>
                    </a:stretch>
                  </pic:blipFill>
                  <pic:spPr bwMode="auto">
                    <a:xfrm>
                      <a:off x="0" y="0"/>
                      <a:ext cx="311086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-290195</wp:posOffset>
            </wp:positionV>
            <wp:extent cx="31108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8">
                      <a:extLst>
                        <a:ext uri="{28A0092B-C50C-407E-A947-70E740481C1C}"/>
                      </a:extLst>
                    </a:blip>
                    <a:srcRect/>
                    <a:stretch>
                      <a:fillRect/>
                    </a:stretch>
                  </pic:blipFill>
                  <pic:spPr bwMode="auto">
                    <a:xfrm>
                      <a:off x="0" y="0"/>
                      <a:ext cx="3110865" cy="825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-7620</wp:posOffset>
            </wp:positionV>
            <wp:extent cx="31108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9">
                      <a:extLst>
                        <a:ext uri="{28A0092B-C50C-407E-A947-70E740481C1C}"/>
                      </a:extLst>
                    </a:blip>
                    <a:srcRect/>
                    <a:stretch>
                      <a:fillRect/>
                    </a:stretch>
                  </pic:blipFill>
                  <pic:spPr bwMode="auto">
                    <a:xfrm>
                      <a:off x="0" y="0"/>
                      <a:ext cx="3110865" cy="8255"/>
                    </a:xfrm>
                    <a:prstGeom prst="rect">
                      <a:avLst/>
                    </a:prstGeom>
                    <a:noFill/>
                  </pic:spPr>
                </pic:pic>
              </a:graphicData>
            </a:graphic>
          </wp:anchor>
        </w:drawing>
      </w:r>
    </w:p>
    <w:p>
      <w:pPr>
        <w:spacing w:after="0" w:line="39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Notice Address: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3068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0">
                      <a:extLst>
                        <a:ext uri="{28A0092B-C50C-407E-A947-70E740481C1C}"/>
                      </a:extLst>
                    </a:blip>
                    <a:srcRect/>
                    <a:stretch>
                      <a:fillRect/>
                    </a:stretch>
                  </pic:blipFill>
                  <pic:spPr bwMode="auto">
                    <a:xfrm>
                      <a:off x="0" y="0"/>
                      <a:ext cx="3068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3068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1">
                      <a:extLst>
                        <a:ext uri="{28A0092B-C50C-407E-A947-70E740481C1C}"/>
                      </a:extLst>
                    </a:blip>
                    <a:srcRect/>
                    <a:stretch>
                      <a:fillRect/>
                    </a:stretch>
                  </pic:blipFill>
                  <pic:spPr bwMode="auto">
                    <a:xfrm>
                      <a:off x="0" y="0"/>
                      <a:ext cx="3068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3068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2">
                      <a:extLst>
                        <a:ext uri="{28A0092B-C50C-407E-A947-70E740481C1C}"/>
                      </a:extLst>
                    </a:blip>
                    <a:srcRect/>
                    <a:stretch>
                      <a:fillRect/>
                    </a:stretch>
                  </pic:blipFill>
                  <pic:spPr bwMode="auto">
                    <a:xfrm>
                      <a:off x="0" y="0"/>
                      <a:ext cx="3068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10219"/>
          </w:cols>
          <w:pgMar w:left="240" w:top="582" w:right="1440"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1095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316355" cy="4699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3">
                      <a:extLst>
                        <a:ext uri="{28A0092B-C50C-407E-A947-70E740481C1C}"/>
                      </a:extLst>
                    </a:blip>
                    <a:srcRect/>
                    <a:stretch>
                      <a:fillRect/>
                    </a:stretch>
                  </pic:blipFill>
                  <pic:spPr bwMode="auto">
                    <a:xfrm>
                      <a:off x="0" y="0"/>
                      <a:ext cx="1316355" cy="46990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New York, NY 10036-6797</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+1 212 698 3500 Main</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+1 212 698 3599 Fax</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142240</wp:posOffset>
            </wp:positionV>
            <wp:extent cx="18116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4">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4"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We have acted as counsel to Aviragen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on Form S-4 (including the proxy statement/prospectus/information statement forming a part thereof,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issuance of up to 62,509,974 shares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of Company common stock, par value $.01 per share, to be issued in connection with the merger contemplated by Agreement and Plan of Merger and Reorganization, dated as of October 27, 2017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by and among the Company, Vaxart, Inc., a Delaware corporation, and Agora Merger Sub, Inc., a Delaware corporation and wholly-owned subsidiary of the Company.</w:t>
      </w:r>
    </w:p>
    <w:p>
      <w:pPr>
        <w:spacing w:after="0" w:line="164"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This opinion is being furnished to the Company in connection with the requirements of Item 601(b)(5) of Regulation S-K under the Securities Act, and no opinion is expressed herein as to any matter pertaining to the contents of the Registration Statement or the proxy statement/prospectus/information statement forming a part of the Registration Statement, other than as expressly stated herein with respect to the Securities.</w:t>
      </w:r>
    </w:p>
    <w:p>
      <w:pPr>
        <w:spacing w:after="0" w:line="14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As your counsel, we have examined such documents and such matters of fact and law that we have deemed necessary for the purpose of rendering the opinion expressed herein. 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parties to all documents.</w:t>
      </w:r>
    </w:p>
    <w:p>
      <w:pPr>
        <w:spacing w:after="0" w:line="171"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color w:val="auto"/>
        </w:rPr>
        <w:t>Based on the foregoing, we advise you that, in our opinion the Securities, when issued in accordance with the Merger Agreement and pursuant to the Registration Statement,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2" w:name="page433"/>
    <w:bookmarkEnd w:id="432"/>
    <w:p>
      <w:pPr>
        <w:ind w:left="8560"/>
        <w:spacing w:after="0"/>
        <w:rPr>
          <w:sz w:val="20"/>
          <w:szCs w:val="20"/>
          <w:color w:val="auto"/>
        </w:rPr>
      </w:pPr>
      <w:r>
        <w:rPr>
          <w:rFonts w:ascii="Arial" w:cs="Arial" w:eastAsia="Arial" w:hAnsi="Arial"/>
          <w:sz w:val="18"/>
          <w:szCs w:val="18"/>
          <w:color w:val="auto"/>
        </w:rPr>
        <w:t>Aviragen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316355" cy="4699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6">
                      <a:extLst>
                        <a:ext uri="{28A0092B-C50C-407E-A947-70E740481C1C}"/>
                      </a:extLst>
                    </a:blip>
                    <a:srcRect/>
                    <a:stretch>
                      <a:fillRect/>
                    </a:stretch>
                  </pic:blipFill>
                  <pic:spPr bwMode="auto">
                    <a:xfrm>
                      <a:off x="0" y="0"/>
                      <a:ext cx="1316355" cy="46990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December 28, 2017</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We are members of the Bar of the State of New York and the foregoing opinion is limited to the General Corporation Law of the State of Delaware.</w:t>
      </w:r>
    </w:p>
    <w:p>
      <w:pPr>
        <w:spacing w:after="0" w:line="23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We hereby consent to the filing of this opinion as an exhibit to the Registration Statement and further consent to the reference to our name wherever it appears in the Registration Statement and in the proxy statement/prospectus/information statement included therein. In giving this consent, we do not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420"/>
          </w:cols>
          <w:pgMar w:left="240" w:top="583" w:right="2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7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1095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16355" cy="4699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extLst>
                        <a:ext uri="{28A0092B-C50C-407E-A947-70E740481C1C}"/>
                      </a:extLst>
                    </a:blip>
                    <a:srcRect/>
                    <a:stretch>
                      <a:fillRect/>
                    </a:stretch>
                  </pic:blipFill>
                  <pic:spPr bwMode="auto">
                    <a:xfrm>
                      <a:off x="0" y="0"/>
                      <a:ext cx="1316355" cy="46990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New York, NY 10036-6797</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+1 212 698 3500 Main</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+1 212 698 3599 Fax</w:t>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142240</wp:posOffset>
            </wp:positionV>
            <wp:extent cx="18116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8">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4"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We have acted as counsel to Aviragen Therapeutics, Inc., a Delaware corporation (“Aviragen”), in connection with the contemplated merger (the “Merger”) of Agora Merger Sub, Inc., a Delaware corporation and wholly owned subsidiary of Aviragen (“Merger Sub”) with and into Vaxart, Inc., a Delaware corporation (“Vaxart”) pursuant to the Agreement and Plan of Merger and Reorganization, dated as of October 27, 2017 (the “Merger Agreement”), by and among Aviragen, Merger Sub and Vaxart. At your request, we have examined the Joint Proxy Statement/Prospectus, contained in the Registration Statement on Form S-4 (the “Registration Statement”) filed by Aviragen with the Securities and Exchange Commission, relating to the proposed issuance of up to 62,509,974 shares of Aviragen common stock, in connection with the Merger. You have requested our opinion regarding the accuracy of the United States federal income tax matters described in the Registration Statement under the heading “Certain Material U.S. Federal Income Tax Consequences of the Merger.”</w:t>
      </w:r>
    </w:p>
    <w:p>
      <w:pPr>
        <w:spacing w:after="0" w:line="192"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color w:val="auto"/>
        </w:rPr>
        <w:t>In rendering this opinion, we have reviewed the Merger Agreement (including the exhibits thereto), the Registration Statement and such other documents and instruments as we have deemed necessary or appropriate for purposes of rendering this opinion. We have (without independent verification) relied upon the truth and accuracy at all relevant times of the facts, statements, covenants, representations and warranties contained in the Merger Agreement and the Registration Statement. In our examination of the foregoing documents and instruments, we have assumed the due execution and delivery of all documents by all parties, the authenticity of all agreements, documents, certificates and instruments submitted to us as originals, and the conformity to the original of documents submitted to us as copies, that the representations and covenants contained in tax representations letters delivered to us by Aviragen and Merger Sub and by Vaxart are true and accurate, and the due and valid execution and delivery of all such documents where due execution and delivery are a prerequisite to the effectiveness thereof. We have also assumed that the Merger will be consummated in accordance with the Merger Agreement (and without any waiver, breach or amendment of any of the provisions thereof) and as described in the Registration Statement, that the Merger will qualify as a merger under applicable state law, that no changes will be made to the terms and conditions of the Merger as set forth in the Merger Agreement, and that there are no understandings, arrangements or agreements among or between Aviragen, Merger Sub, Vaxart, and holders of the Vaxart common stock except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725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4" w:name="page435"/>
    <w:bookmarkEnd w:id="434"/>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379730</wp:posOffset>
            </wp:positionV>
            <wp:extent cx="1316355" cy="4699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1316355" cy="469900"/>
                    </a:xfrm>
                    <a:prstGeom prst="rect">
                      <a:avLst/>
                    </a:prstGeom>
                    <a:noFill/>
                  </pic:spPr>
                </pic:pic>
              </a:graphicData>
            </a:graphic>
          </wp:anchor>
        </w:drawing>
      </w:r>
    </w:p>
    <w:p>
      <w:pPr>
        <w:jc w:val="both"/>
        <w:ind w:firstLine="646"/>
        <w:spacing w:after="0" w:line="258" w:lineRule="auto"/>
        <w:rPr>
          <w:sz w:val="20"/>
          <w:szCs w:val="20"/>
          <w:color w:val="auto"/>
        </w:rPr>
      </w:pPr>
      <w:r>
        <w:rPr>
          <w:rFonts w:ascii="Arial" w:cs="Arial" w:eastAsia="Arial" w:hAnsi="Arial"/>
          <w:sz w:val="18"/>
          <w:szCs w:val="18"/>
          <w:color w:val="auto"/>
        </w:rPr>
        <w:t>Based upon the foregoing, we are of the opinion that the description in the Registration Statement, under the heading “Certain Material U.S. Federal Income Tax Consequences of the Merger,” to the extent it constitutes descriptions of legal matters or legal conclusions regarding the federal income tax laws of the United States, is a complete and accurate summary of the material United States federal income tax consequences of the Merger to a stockholder of Vaxart, subject to the limitations and qualifications set forth therein.</w:t>
      </w:r>
    </w:p>
    <w:p>
      <w:pPr>
        <w:spacing w:after="0" w:line="187"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This opinion is based upon the Internal Revenue Code of 1986, as amended (the “Code”), United States Treasury Regulations, judicial decisions, and administrative rulings and pronouncements of the Internal Revenue Service, all as in effect on the date hereof. This opinion represents and is based upon our best judgment regarding the application of the United States federal income tax laws arising under the Code, existing judicial decisions, administrative regulations and published and private rulings, procedures and other administrative releases. Our opinion is not binding upon the Internal Revenue Service or the courts, and there is no assurance that the Internal Revenue Service will not successfully assert a contrary position. Furthermore, no assurance can be given that future legislative, judicial or administrative changes, on either a prospective or retroactive basis, would not adversely affect the accuracy of the opinion stated herein. Nevertheless, we undertake no responsibility to advise you of any new developments in the application or interpretation of the United States federal income tax laws.</w:t>
      </w:r>
    </w:p>
    <w:p>
      <w:pPr>
        <w:spacing w:after="0" w:line="192"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This opinion addresses only the matters described above, and we express no opinion at this time as to any other tax consequences under federal, state, local foreign or other tax law of the Merger or of any other transaction taken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5" w:name="page436"/>
    <w:bookmarkEnd w:id="435"/>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379730</wp:posOffset>
            </wp:positionV>
            <wp:extent cx="1316355" cy="4699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1316355" cy="469900"/>
                    </a:xfrm>
                    <a:prstGeom prst="rect">
                      <a:avLst/>
                    </a:prstGeom>
                    <a:noFill/>
                  </pic:spPr>
                </pic:pic>
              </a:graphicData>
            </a:graphic>
          </wp:anchor>
        </w:drawing>
      </w:r>
    </w:p>
    <w:p>
      <w:pPr>
        <w:jc w:val="both"/>
        <w:ind w:firstLine="646"/>
        <w:spacing w:after="0" w:line="258" w:lineRule="auto"/>
        <w:rPr>
          <w:sz w:val="20"/>
          <w:szCs w:val="20"/>
          <w:color w:val="auto"/>
        </w:rPr>
      </w:pPr>
      <w:r>
        <w:rPr>
          <w:rFonts w:ascii="Arial" w:cs="Arial" w:eastAsia="Arial" w:hAnsi="Arial"/>
          <w:sz w:val="18"/>
          <w:szCs w:val="18"/>
          <w:color w:val="auto"/>
        </w:rPr>
        <w:t>We hereby consent to the filing of this opinion with the Securities and Exchange Commission as an exhibit to the Registration Statement and to the references made to us under the heading “Certain Material U.S. Federal Income Tax Consequences of the Merger” in the Registration Statement. In giving such consent we do not hereby admit that we are within the category of persons whose consent is required under Section 7 of the Securities Act of 1933, as amended, or the rules or regulations of the Securities and Exchange Commission thereunder.</w:t>
      </w:r>
    </w:p>
    <w:p>
      <w:pPr>
        <w:spacing w:after="0" w:line="200" w:lineRule="exact"/>
        <w:rPr>
          <w:sz w:val="20"/>
          <w:szCs w:val="20"/>
          <w:color w:val="auto"/>
        </w:rPr>
      </w:pPr>
    </w:p>
    <w:p>
      <w:pPr>
        <w:spacing w:after="0" w:line="20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Very truly yours,</w:t>
      </w:r>
    </w:p>
    <w:p>
      <w:pPr>
        <w:spacing w:after="0" w:line="22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420"/>
          </w:cols>
          <w:pgMar w:left="240" w:top="1440" w:right="2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623695" cy="640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1623695" cy="64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395 Oyster Point Boulevard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4"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We have acted as counsel to Vaxart, Inc., a Delaware corporation (“</w:t>
      </w:r>
      <w:r>
        <w:rPr>
          <w:rFonts w:ascii="Arial" w:cs="Arial" w:eastAsia="Arial" w:hAnsi="Arial"/>
          <w:sz w:val="17"/>
          <w:szCs w:val="17"/>
          <w:u w:val="single" w:color="auto"/>
          <w:color w:val="auto"/>
        </w:rPr>
        <w:t>Vaxart</w:t>
      </w:r>
      <w:r>
        <w:rPr>
          <w:rFonts w:ascii="Arial" w:cs="Arial" w:eastAsia="Arial" w:hAnsi="Arial"/>
          <w:sz w:val="17"/>
          <w:szCs w:val="17"/>
          <w:color w:val="auto"/>
        </w:rPr>
        <w:t>”), in connection with the transactions described in the Registration Statement on Form S-4 originally filed with the Securities and Exchange Commission on December 12, 2017, as amended through the date hereof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of which this exhibit is a part. All section references, unless otherwise indicated, are to the United States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Capitalized terms not defined herein have the meanings set forth in the Registration Statement.</w:t>
      </w:r>
    </w:p>
    <w:p>
      <w:pPr>
        <w:spacing w:after="0" w:line="171" w:lineRule="exact"/>
        <w:rPr>
          <w:sz w:val="20"/>
          <w:szCs w:val="20"/>
          <w:color w:val="auto"/>
        </w:rPr>
      </w:pPr>
    </w:p>
    <w:p>
      <w:pPr>
        <w:jc w:val="both"/>
        <w:ind w:firstLine="646"/>
        <w:spacing w:after="0" w:line="295" w:lineRule="auto"/>
        <w:rPr>
          <w:sz w:val="20"/>
          <w:szCs w:val="20"/>
          <w:color w:val="auto"/>
        </w:rPr>
      </w:pPr>
      <w:r>
        <w:rPr>
          <w:rFonts w:ascii="Arial" w:cs="Arial" w:eastAsia="Arial" w:hAnsi="Arial"/>
          <w:sz w:val="16"/>
          <w:szCs w:val="16"/>
          <w:color w:val="auto"/>
        </w:rPr>
        <w:t>In preparing this opinion, we have examined and relied upon the Registration Statement, including the Prospectus included therein, the Agreement and Plan of Merger and Reorganization dated as of October 27, 2017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Vaxart, Parent, and Merger Sub,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will be consummated in accordance with the description in the Registration Statement.</w:t>
      </w:r>
    </w:p>
    <w:p>
      <w:pPr>
        <w:spacing w:after="0" w:line="161"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In rendering this opinion, we have assumed without investigation or verification that the facts and statements set forth in the Registration Statement and the Merger Agreement are true, correct and complete in all material respects; that the Mergers will be completed in accordance with the Registration Statement and Merger Agreement; that the representations and covenants contained in tax representations letters delivered to us by Vaxart, Parent and Merger Sub are true and accurate; that there is no change in applicable law between the date hereof and the Effective Time of the Merger; that any representation in any of the documents referred to herein that is made “to the best of the knowledge and belief” (or similar qualification) of any person or party are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spacing w:after="0" w:line="381" w:lineRule="exact"/>
        <w:rPr>
          <w:sz w:val="20"/>
          <w:szCs w:val="20"/>
          <w:color w:val="auto"/>
        </w:rPr>
      </w:pPr>
    </w:p>
    <w:p>
      <w:pPr>
        <w:jc w:val="center"/>
        <w:spacing w:after="0"/>
        <w:tabs>
          <w:tab w:leader="none" w:pos="160" w:val="left"/>
          <w:tab w:leader="none" w:pos="160" w:val="left"/>
          <w:tab w:leader="none" w:pos="140" w:val="left"/>
        </w:tabs>
        <w:rPr>
          <w:sz w:val="20"/>
          <w:szCs w:val="20"/>
          <w:color w:val="auto"/>
        </w:rPr>
      </w:pPr>
      <w:r>
        <w:rPr>
          <w:rFonts w:ascii="Arial" w:cs="Arial" w:eastAsia="Arial" w:hAnsi="Arial"/>
          <w:sz w:val="14"/>
          <w:szCs w:val="14"/>
          <w:color w:val="auto"/>
        </w:rPr>
        <w:t>3175 HANOVER STREET, PALO ALTO, CA 94304-1130</w:t>
        <w:tab/>
        <w:t>T: (650) 843-5000</w:t>
        <w:tab/>
        <w:t>F</w:t>
      </w:r>
      <w:r>
        <w:rPr>
          <w:rFonts w:ascii="Arial" w:cs="Arial" w:eastAsia="Arial" w:hAnsi="Arial"/>
          <w:sz w:val="17"/>
          <w:szCs w:val="17"/>
          <w:color w:val="auto"/>
        </w:rPr>
        <w:t>:</w:t>
      </w:r>
      <w:r>
        <w:rPr>
          <w:rFonts w:ascii="Arial" w:cs="Arial" w:eastAsia="Arial" w:hAnsi="Arial"/>
          <w:sz w:val="14"/>
          <w:szCs w:val="14"/>
          <w:color w:val="auto"/>
        </w:rPr>
        <w:t xml:space="preserve"> (650) 849-7400</w:t>
      </w:r>
      <w:r>
        <w:rPr>
          <w:sz w:val="20"/>
          <w:szCs w:val="20"/>
          <w:color w:val="auto"/>
        </w:rPr>
        <w:tab/>
      </w:r>
      <w:r>
        <w:rPr>
          <w:rFonts w:ascii="Arial" w:cs="Arial" w:eastAsia="Arial" w:hAnsi="Arial"/>
          <w:sz w:val="13"/>
          <w:szCs w:val="13"/>
          <w:color w:val="auto"/>
        </w:rPr>
        <w:t>WWW.COOLEY.COM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7255"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7" w:name="page438"/>
    <w:bookmarkEnd w:id="43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379730</wp:posOffset>
            </wp:positionV>
            <wp:extent cx="1623695" cy="640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1623695" cy="6407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09" w:lineRule="exact"/>
        <w:rPr>
          <w:sz w:val="20"/>
          <w:szCs w:val="20"/>
          <w:color w:val="auto"/>
        </w:rPr>
      </w:pPr>
    </w:p>
    <w:p>
      <w:pPr>
        <w:jc w:val="both"/>
        <w:ind w:firstLine="646"/>
        <w:spacing w:after="0" w:line="278" w:lineRule="auto"/>
        <w:rPr>
          <w:sz w:val="20"/>
          <w:szCs w:val="20"/>
          <w:color w:val="auto"/>
        </w:rPr>
      </w:pPr>
      <w:r>
        <w:rPr>
          <w:rFonts w:ascii="Arial" w:cs="Arial" w:eastAsia="Arial" w:hAnsi="Arial"/>
          <w:sz w:val="17"/>
          <w:szCs w:val="17"/>
          <w:color w:val="auto"/>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the opinion expressed herein. We undertake no responsibility to advise of any such developments in the law.</w:t>
      </w:r>
    </w:p>
    <w:p>
      <w:pPr>
        <w:spacing w:after="0" w:line="171"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Based on our examination of the foregoing items and subject to the limitations, qualifications, assumptions and caveats set forth herein, we confirm that the statements in the Registration Statement under the heading “THE MERGER – Certain Material U.S. Federal Income Tax Consequences of the Merger,” subject to the limitations and qualifications described therein, insofar as they relate to matters of United States federal income tax law, constitute our opinion of the material United States federal income tax consequences of the Merger.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opinion is expressed as to any matter not discussed herein.</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We hereby consent to the use of our name under the heading “THE MERGER – Certain Material U.S. Federal Income Tax Consequences of the Merger,” in the Registration Statement and to the filing of this opinion as an exhibit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OOLEY LLP</w:t>
      </w: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w:t>
      </w:r>
      <w:r>
        <w:rPr>
          <w:rFonts w:ascii="Arial" w:cs="Arial" w:eastAsia="Arial" w:hAnsi="Arial"/>
          <w:sz w:val="12"/>
          <w:szCs w:val="12"/>
          <w:u w:val="single" w:color="auto"/>
          <w:color w:val="auto"/>
        </w:rPr>
        <w:t>ARK</w:t>
      </w:r>
      <w:r>
        <w:rPr>
          <w:rFonts w:ascii="Arial" w:cs="Arial" w:eastAsia="Arial" w:hAnsi="Arial"/>
          <w:sz w:val="18"/>
          <w:szCs w:val="18"/>
          <w:u w:val="single" w:color="auto"/>
          <w:color w:val="auto"/>
        </w:rPr>
        <w:t xml:space="preserve"> W</w:t>
      </w:r>
      <w:r>
        <w:rPr>
          <w:rFonts w:ascii="Arial" w:cs="Arial" w:eastAsia="Arial" w:hAnsi="Arial"/>
          <w:sz w:val="12"/>
          <w:szCs w:val="12"/>
          <w:u w:val="single" w:color="auto"/>
          <w:color w:val="auto"/>
        </w:rPr>
        <w:t>INDFELD</w:t>
      </w:r>
      <w:r>
        <w:rPr>
          <w:rFonts w:ascii="Arial" w:cs="Arial" w:eastAsia="Arial" w:hAnsi="Arial"/>
          <w:sz w:val="18"/>
          <w:szCs w:val="18"/>
          <w:u w:val="single" w:color="auto"/>
          <w:color w:val="auto"/>
        </w:rPr>
        <w:t>-H</w:t>
      </w:r>
      <w:r>
        <w:rPr>
          <w:rFonts w:ascii="Arial" w:cs="Arial" w:eastAsia="Arial" w:hAnsi="Arial"/>
          <w:sz w:val="12"/>
          <w:szCs w:val="12"/>
          <w:u w:val="single" w:color="auto"/>
          <w:color w:val="auto"/>
        </w:rPr>
        <w:t>ANSEN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Windfeld-Hansen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tabs>
          <w:tab w:leader="none" w:pos="160" w:val="left"/>
          <w:tab w:leader="none" w:pos="160" w:val="left"/>
          <w:tab w:leader="none" w:pos="140" w:val="left"/>
        </w:tabs>
        <w:rPr>
          <w:sz w:val="20"/>
          <w:szCs w:val="20"/>
          <w:color w:val="auto"/>
        </w:rPr>
      </w:pPr>
      <w:r>
        <w:rPr>
          <w:rFonts w:ascii="Arial" w:cs="Arial" w:eastAsia="Arial" w:hAnsi="Arial"/>
          <w:sz w:val="14"/>
          <w:szCs w:val="14"/>
          <w:color w:val="auto"/>
        </w:rPr>
        <w:t>3175 HANOVER STREET, PALO ALTO, CA 94304-1130</w:t>
        <w:tab/>
        <w:t>T: (650) 843-5000</w:t>
        <w:tab/>
        <w:t>F</w:t>
      </w:r>
      <w:r>
        <w:rPr>
          <w:rFonts w:ascii="Arial" w:cs="Arial" w:eastAsia="Arial" w:hAnsi="Arial"/>
          <w:sz w:val="17"/>
          <w:szCs w:val="17"/>
          <w:color w:val="auto"/>
        </w:rPr>
        <w:t>:</w:t>
      </w:r>
      <w:r>
        <w:rPr>
          <w:rFonts w:ascii="Arial" w:cs="Arial" w:eastAsia="Arial" w:hAnsi="Arial"/>
          <w:sz w:val="14"/>
          <w:szCs w:val="14"/>
          <w:color w:val="auto"/>
        </w:rPr>
        <w:t xml:space="preserve"> (650) 849-7400</w:t>
      </w:r>
      <w:r>
        <w:rPr>
          <w:sz w:val="20"/>
          <w:szCs w:val="20"/>
          <w:color w:val="auto"/>
        </w:rPr>
        <w:tab/>
      </w:r>
      <w:r>
        <w:rPr>
          <w:rFonts w:ascii="Arial" w:cs="Arial" w:eastAsia="Arial" w:hAnsi="Arial"/>
          <w:sz w:val="13"/>
          <w:szCs w:val="13"/>
          <w:color w:val="auto"/>
        </w:rPr>
        <w:t>WWW.COOLEY.COM</w:t>
      </w:r>
    </w:p>
    <w:p>
      <w:pPr>
        <w:sectPr>
          <w:pgSz w:w="11900" w:h="16838" w:orient="portrait"/>
          <w:cols w:equalWidth="0" w:num="1">
            <w:col w:w="11420"/>
          </w:cols>
          <w:pgMar w:left="240" w:top="1440" w:right="2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170815</wp:posOffset>
            </wp:positionV>
            <wp:extent cx="1017270" cy="529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1017270" cy="52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7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646"/>
        <w:spacing w:after="0" w:line="280"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NDEMNITY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w:t>
      </w:r>
      <w:r>
        <w:rPr>
          <w:rFonts w:ascii="Arial" w:cs="Arial" w:eastAsia="Arial" w:hAnsi="Arial"/>
          <w:sz w:val="12"/>
          <w:szCs w:val="12"/>
          <w:b w:val="1"/>
          <w:bCs w:val="1"/>
          <w:i w:val="1"/>
          <w:iCs w:val="1"/>
          <w:color w:val="auto"/>
        </w:rPr>
        <w:t>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IS MADE AND ENTERED INTO AS OF</w:t>
      </w:r>
      <w:r>
        <w:rPr>
          <w:rFonts w:ascii="Arial" w:cs="Arial" w:eastAsia="Arial" w:hAnsi="Arial"/>
          <w:sz w:val="18"/>
          <w:szCs w:val="18"/>
          <w:b w:val="1"/>
          <w:bCs w:val="1"/>
          <w:color w:val="auto"/>
        </w:rPr>
        <w:t xml:space="preserve"> </w:t>
      </w:r>
      <w:r>
        <w:rPr>
          <w:rFonts w:ascii="Arial" w:cs="Arial" w:eastAsia="Arial" w:hAnsi="Arial"/>
          <w:sz w:val="18"/>
          <w:szCs w:val="18"/>
          <w:color w:val="auto"/>
        </w:rPr>
        <w:t>[•], 2015,</w:t>
      </w:r>
      <w:r>
        <w:rPr>
          <w:rFonts w:ascii="Arial" w:cs="Arial" w:eastAsia="Arial" w:hAnsi="Arial"/>
          <w:sz w:val="18"/>
          <w:szCs w:val="18"/>
          <w:b w:val="1"/>
          <w:bCs w:val="1"/>
          <w:color w:val="auto"/>
        </w:rPr>
        <w:t xml:space="preserve"> </w:t>
      </w:r>
      <w:r>
        <w:rPr>
          <w:rFonts w:ascii="Arial" w:cs="Arial" w:eastAsia="Arial" w:hAnsi="Arial"/>
          <w:sz w:val="12"/>
          <w:szCs w:val="12"/>
          <w:color w:val="auto"/>
        </w:rPr>
        <w:t>BETWEEN</w:t>
      </w:r>
      <w:r>
        <w:rPr>
          <w:rFonts w:ascii="Arial" w:cs="Arial" w:eastAsia="Arial" w:hAnsi="Arial"/>
          <w:sz w:val="18"/>
          <w:szCs w:val="18"/>
          <w:b w:val="1"/>
          <w:bCs w:val="1"/>
          <w:color w:val="auto"/>
        </w:rPr>
        <w:t xml:space="preserve"> </w:t>
      </w:r>
      <w:r>
        <w:rPr>
          <w:rFonts w:ascii="Arial" w:cs="Arial" w:eastAsia="Arial" w:hAnsi="Arial"/>
          <w:sz w:val="18"/>
          <w:szCs w:val="18"/>
          <w:color w:val="auto"/>
        </w:rPr>
        <w:t>V</w:t>
      </w:r>
      <w:r>
        <w:rPr>
          <w:rFonts w:ascii="Arial" w:cs="Arial" w:eastAsia="Arial" w:hAnsi="Arial"/>
          <w:sz w:val="12"/>
          <w:szCs w:val="12"/>
          <w:color w:val="auto"/>
        </w:rPr>
        <w:t>AXART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A</w:t>
      </w:r>
      <w:r>
        <w:rPr>
          <w:rFonts w:ascii="Arial" w:cs="Arial" w:eastAsia="Arial" w:hAnsi="Arial"/>
          <w:sz w:val="18"/>
          <w:szCs w:val="18"/>
          <w:b w:val="1"/>
          <w:bCs w:val="1"/>
          <w:color w:val="auto"/>
        </w:rPr>
        <w:t xml:space="preserve"> </w:t>
      </w:r>
      <w:r>
        <w:rPr>
          <w:rFonts w:ascii="Arial" w:cs="Arial" w:eastAsia="Arial" w:hAnsi="Arial"/>
          <w:sz w:val="18"/>
          <w:szCs w:val="18"/>
          <w:color w:val="auto"/>
        </w:rPr>
        <w:t>D</w:t>
      </w:r>
      <w:r>
        <w:rPr>
          <w:rFonts w:ascii="Arial" w:cs="Arial" w:eastAsia="Arial" w:hAnsi="Arial"/>
          <w:sz w:val="12"/>
          <w:szCs w:val="12"/>
          <w:color w:val="auto"/>
        </w:rPr>
        <w:t>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w:t>
      </w:r>
      <w:r>
        <w:rPr>
          <w:rFonts w:ascii="Arial" w:cs="Arial" w:eastAsia="Arial" w:hAnsi="Arial"/>
          <w:sz w:val="12"/>
          <w:szCs w:val="12"/>
          <w:b w:val="1"/>
          <w:bCs w:val="1"/>
          <w:i w:val="1"/>
          <w:iCs w:val="1"/>
          <w:color w:val="auto"/>
        </w:rPr>
        <w:t>OMPANY</w:t>
      </w:r>
      <w:r>
        <w:rPr>
          <w:rFonts w:ascii="Arial" w:cs="Arial" w:eastAsia="Arial" w:hAnsi="Arial"/>
          <w:sz w:val="18"/>
          <w:szCs w:val="18"/>
          <w:color w:val="auto"/>
        </w:rPr>
        <w:t xml:space="preserve">”), </w:t>
      </w:r>
      <w:r>
        <w:rPr>
          <w:rFonts w:ascii="Arial" w:cs="Arial" w:eastAsia="Arial" w:hAnsi="Arial"/>
          <w:sz w:val="12"/>
          <w:szCs w:val="12"/>
          <w:color w:val="auto"/>
        </w:rPr>
        <w:t>AND</w:t>
      </w:r>
      <w:r>
        <w:rPr>
          <w:rFonts w:ascii="Arial" w:cs="Arial" w:eastAsia="Arial" w:hAnsi="Arial"/>
          <w:sz w:val="18"/>
          <w:szCs w:val="18"/>
          <w:color w:val="auto"/>
        </w:rPr>
        <w:t xml:space="preserve"> [•] (“</w:t>
      </w:r>
      <w:r>
        <w:rPr>
          <w:rFonts w:ascii="Arial" w:cs="Arial" w:eastAsia="Arial" w:hAnsi="Arial"/>
          <w:sz w:val="18"/>
          <w:szCs w:val="18"/>
          <w:b w:val="1"/>
          <w:bCs w:val="1"/>
          <w:i w:val="1"/>
          <w:iCs w:val="1"/>
          <w:color w:val="auto"/>
        </w:rPr>
        <w:t>I</w:t>
      </w:r>
      <w:r>
        <w:rPr>
          <w:rFonts w:ascii="Arial" w:cs="Arial" w:eastAsia="Arial" w:hAnsi="Arial"/>
          <w:sz w:val="12"/>
          <w:szCs w:val="12"/>
          <w:b w:val="1"/>
          <w:bCs w:val="1"/>
          <w:i w:val="1"/>
          <w:iCs w:val="1"/>
          <w:color w:val="auto"/>
        </w:rPr>
        <w:t>NDEMNITEE</w:t>
      </w:r>
      <w:r>
        <w:rPr>
          <w:rFonts w:ascii="Arial" w:cs="Arial" w:eastAsia="Arial" w:hAnsi="Arial"/>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8" w:lineRule="exact"/>
        <w:rPr>
          <w:sz w:val="20"/>
          <w:szCs w:val="20"/>
          <w:color w:val="auto"/>
        </w:rPr>
      </w:pPr>
    </w:p>
    <w:p>
      <w:pPr>
        <w:jc w:val="both"/>
        <w:ind w:firstLine="654"/>
        <w:spacing w:after="0" w:line="262" w:lineRule="auto"/>
        <w:tabs>
          <w:tab w:leader="none" w:pos="1155"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Highly competent persons have become more reluctant to serve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83" w:lineRule="exact"/>
        <w:rPr>
          <w:rFonts w:ascii="Arial" w:cs="Arial" w:eastAsia="Arial" w:hAnsi="Arial"/>
          <w:sz w:val="18"/>
          <w:szCs w:val="18"/>
          <w:b w:val="1"/>
          <w:bCs w:val="1"/>
          <w:color w:val="auto"/>
        </w:rPr>
      </w:pPr>
    </w:p>
    <w:p>
      <w:pPr>
        <w:jc w:val="both"/>
        <w:ind w:firstLine="654"/>
        <w:spacing w:after="0" w:line="269" w:lineRule="auto"/>
        <w:tabs>
          <w:tab w:leader="none" w:pos="1151"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Although the furnishing of such insurance to protect persons serving a corporation and its subsidiaries from certain liabilities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Bylaws,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81" w:lineRule="exact"/>
        <w:rPr>
          <w:rFonts w:ascii="Arial" w:cs="Arial" w:eastAsia="Arial" w:hAnsi="Arial"/>
          <w:sz w:val="17"/>
          <w:szCs w:val="17"/>
          <w:b w:val="1"/>
          <w:bCs w:val="1"/>
          <w:color w:val="auto"/>
        </w:rPr>
      </w:pPr>
    </w:p>
    <w:p>
      <w:pPr>
        <w:ind w:left="1180" w:hanging="526"/>
        <w:spacing w:after="0"/>
        <w:tabs>
          <w:tab w:leader="none" w:pos="1180"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The uncertainties relating to such liability insurance and to indemnification have increased the difficulty of attracting and retaining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persons;</w:t>
      </w:r>
    </w:p>
    <w:p>
      <w:pPr>
        <w:spacing w:after="0" w:line="209" w:lineRule="exact"/>
        <w:rPr>
          <w:rFonts w:ascii="Arial" w:cs="Arial" w:eastAsia="Arial" w:hAnsi="Arial"/>
          <w:sz w:val="17"/>
          <w:szCs w:val="17"/>
          <w:b w:val="1"/>
          <w:bCs w:val="1"/>
          <w:color w:val="auto"/>
        </w:rPr>
      </w:pPr>
    </w:p>
    <w:p>
      <w:pPr>
        <w:ind w:firstLine="654"/>
        <w:spacing w:after="0" w:line="306" w:lineRule="auto"/>
        <w:tabs>
          <w:tab w:leader="none" w:pos="1173"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47" w:lineRule="exact"/>
        <w:rPr>
          <w:rFonts w:ascii="Arial" w:cs="Arial" w:eastAsia="Arial" w:hAnsi="Arial"/>
          <w:sz w:val="17"/>
          <w:szCs w:val="17"/>
          <w:b w:val="1"/>
          <w:bCs w:val="1"/>
          <w:color w:val="auto"/>
        </w:rPr>
      </w:pPr>
    </w:p>
    <w:p>
      <w:pPr>
        <w:jc w:val="both"/>
        <w:ind w:firstLine="654"/>
        <w:spacing w:after="0" w:line="262" w:lineRule="auto"/>
        <w:tabs>
          <w:tab w:leader="none" w:pos="1037"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It is reasonable, prudent and necessary for the Company to contractually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83" w:lineRule="exact"/>
        <w:rPr>
          <w:rFonts w:ascii="Arial" w:cs="Arial" w:eastAsia="Arial" w:hAnsi="Arial"/>
          <w:sz w:val="18"/>
          <w:szCs w:val="18"/>
          <w:b w:val="1"/>
          <w:bCs w:val="1"/>
          <w:color w:val="auto"/>
        </w:rPr>
      </w:pPr>
    </w:p>
    <w:p>
      <w:pPr>
        <w:ind w:right="20" w:firstLine="654"/>
        <w:spacing w:after="0" w:line="306" w:lineRule="auto"/>
        <w:tabs>
          <w:tab w:leader="none" w:pos="1108"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This Agreement is a supplement to and in furtherance of the Bylaws and Certificate of Incorporation of the Company and any resolutions adopted pursuant thereto and shall not be deemed a substitute therefor, nor to diminish or abrogate any rights of Indemnitee thereunder; and</w:t>
      </w:r>
    </w:p>
    <w:p>
      <w:pPr>
        <w:spacing w:after="0" w:line="147" w:lineRule="exact"/>
        <w:rPr>
          <w:rFonts w:ascii="Arial" w:cs="Arial" w:eastAsia="Arial" w:hAnsi="Arial"/>
          <w:sz w:val="17"/>
          <w:szCs w:val="17"/>
          <w:b w:val="1"/>
          <w:bCs w:val="1"/>
          <w:color w:val="auto"/>
        </w:rPr>
      </w:pPr>
    </w:p>
    <w:p>
      <w:pPr>
        <w:jc w:val="both"/>
        <w:ind w:firstLine="654"/>
        <w:spacing w:after="0" w:line="258" w:lineRule="auto"/>
        <w:tabs>
          <w:tab w:leader="none" w:pos="1071"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Indemnitee does not regard the protection available under the Company’s Bylaws and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or she be so indemnified;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9" w:name="page440"/>
    <w:bookmarkEnd w:id="439"/>
    <w:p>
      <w:pPr>
        <w:jc w:val="both"/>
        <w:ind w:firstLine="654"/>
        <w:spacing w:after="0" w:line="310" w:lineRule="auto"/>
        <w:tabs>
          <w:tab w:leader="none" w:pos="1097" w:val="left"/>
        </w:tabs>
        <w:numPr>
          <w:ilvl w:val="0"/>
          <w:numId w:val="37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Indemnitee may have certain rights to indemnification and/or insurance provided by other entities and/or organizations which Indemnitee and such other entities and/or organizations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48" w:lineRule="exact"/>
        <w:rPr>
          <w:rFonts w:ascii="Arial" w:cs="Arial" w:eastAsia="Arial" w:hAnsi="Arial"/>
          <w:sz w:val="16"/>
          <w:szCs w:val="16"/>
          <w:b w:val="1"/>
          <w:bCs w:val="1"/>
          <w:color w:val="auto"/>
        </w:rPr>
      </w:pPr>
    </w:p>
    <w:p>
      <w:pPr>
        <w:ind w:left="1080" w:hanging="426"/>
        <w:spacing w:after="0"/>
        <w:tabs>
          <w:tab w:leader="none" w:pos="1080" w:val="left"/>
        </w:tabs>
        <w:numPr>
          <w:ilvl w:val="0"/>
          <w:numId w:val="378"/>
        </w:numPr>
        <w:rPr>
          <w:rFonts w:ascii="Arial" w:cs="Arial" w:eastAsia="Arial" w:hAnsi="Arial"/>
          <w:sz w:val="16"/>
          <w:szCs w:val="16"/>
          <w:b w:val="1"/>
          <w:bCs w:val="1"/>
          <w:color w:val="auto"/>
        </w:rPr>
      </w:pPr>
      <w:r>
        <w:rPr>
          <w:rFonts w:ascii="Arial" w:cs="Arial" w:eastAsia="Arial" w:hAnsi="Arial"/>
          <w:sz w:val="16"/>
          <w:szCs w:val="16"/>
          <w:color w:val="auto"/>
        </w:rPr>
        <w:t>This Agreement supersedes and replaces in its entirety any previous Indemnification Agreement entered into between the Company and the</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Indemnitee.</w:t>
      </w:r>
    </w:p>
    <w:p>
      <w:pPr>
        <w:spacing w:after="0" w:line="205" w:lineRule="exact"/>
        <w:rPr>
          <w:sz w:val="20"/>
          <w:szCs w:val="20"/>
          <w:color w:val="auto"/>
        </w:rPr>
      </w:pPr>
    </w:p>
    <w:p>
      <w:pPr>
        <w:ind w:firstLine="646"/>
        <w:spacing w:after="0" w:line="280"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IN CONSIDERATION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w:t>
      </w:r>
      <w:r>
        <w:rPr>
          <w:rFonts w:ascii="Arial" w:cs="Arial" w:eastAsia="Arial" w:hAnsi="Arial"/>
          <w:sz w:val="12"/>
          <w:szCs w:val="12"/>
          <w:color w:val="auto"/>
        </w:rPr>
        <w:t>NDEMNITEE</w:t>
      </w:r>
      <w:r>
        <w:rPr>
          <w:rFonts w:ascii="Arial" w:cs="Arial" w:eastAsia="Arial" w:hAnsi="Arial"/>
          <w:sz w:val="18"/>
          <w:szCs w:val="18"/>
          <w:color w:val="auto"/>
        </w:rPr>
        <w:t>’</w:t>
      </w:r>
      <w:r>
        <w:rPr>
          <w:rFonts w:ascii="Arial" w:cs="Arial" w:eastAsia="Arial" w:hAnsi="Arial"/>
          <w:sz w:val="12"/>
          <w:szCs w:val="12"/>
          <w:color w:val="auto"/>
        </w:rPr>
        <w:t>S AGREEMENT TO SERVE AS AN OFFICER OR A DIRECTOR FROM AND AFTER THE DATE HEREOF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THE PARTIES HERETO</w:t>
      </w:r>
      <w:r>
        <w:rPr>
          <w:rFonts w:ascii="Arial" w:cs="Arial" w:eastAsia="Arial" w:hAnsi="Arial"/>
          <w:sz w:val="18"/>
          <w:szCs w:val="18"/>
          <w:b w:val="1"/>
          <w:bCs w:val="1"/>
          <w:color w:val="auto"/>
        </w:rPr>
        <w:t xml:space="preserve"> </w:t>
      </w:r>
      <w:r>
        <w:rPr>
          <w:rFonts w:ascii="Arial" w:cs="Arial" w:eastAsia="Arial" w:hAnsi="Arial"/>
          <w:sz w:val="12"/>
          <w:szCs w:val="12"/>
          <w:color w:val="auto"/>
        </w:rPr>
        <w:t>AGREE AS FOLLOWS</w:t>
      </w:r>
      <w:r>
        <w:rPr>
          <w:rFonts w:ascii="Arial" w:cs="Arial" w:eastAsia="Arial" w:hAnsi="Arial"/>
          <w:sz w:val="17"/>
          <w:szCs w:val="17"/>
          <w:color w:val="auto"/>
        </w:rPr>
        <w:t>:</w:t>
      </w:r>
    </w:p>
    <w:p>
      <w:pPr>
        <w:spacing w:after="0" w:line="163" w:lineRule="exact"/>
        <w:rPr>
          <w:sz w:val="20"/>
          <w:szCs w:val="20"/>
          <w:color w:val="auto"/>
        </w:rPr>
      </w:pPr>
    </w:p>
    <w:p>
      <w:pPr>
        <w:jc w:val="both"/>
        <w:ind w:firstLine="654"/>
        <w:spacing w:after="0" w:line="265" w:lineRule="auto"/>
        <w:tabs>
          <w:tab w:leader="none" w:pos="1053"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Indemnity of Indemnitee. </w:t>
      </w:r>
      <w:r>
        <w:rPr>
          <w:rFonts w:ascii="Arial" w:cs="Arial" w:eastAsia="Arial" w:hAnsi="Arial"/>
          <w:sz w:val="18"/>
          <w:szCs w:val="18"/>
          <w:color w:val="auto"/>
        </w:rPr>
        <w:t>The Company hereby agrees to hold harmless and indemnify Indemnitee to the fullest extent permitted by law,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may be amended from time to time pursuant to, and in accordance with, the terms of this Agreement. In furtherance of the foregoing indemnification, and without limiting the generality thereof:</w:t>
      </w:r>
    </w:p>
    <w:p>
      <w:pPr>
        <w:spacing w:after="0" w:line="175" w:lineRule="exact"/>
        <w:rPr>
          <w:rFonts w:ascii="Arial" w:cs="Arial" w:eastAsia="Arial" w:hAnsi="Arial"/>
          <w:sz w:val="18"/>
          <w:szCs w:val="18"/>
          <w:b w:val="1"/>
          <w:bCs w:val="1"/>
          <w:color w:val="auto"/>
        </w:rPr>
      </w:pPr>
    </w:p>
    <w:p>
      <w:pPr>
        <w:jc w:val="both"/>
        <w:ind w:firstLine="1300"/>
        <w:spacing w:after="0" w:line="254" w:lineRule="auto"/>
        <w:tabs>
          <w:tab w:leader="none" w:pos="1932" w:val="left"/>
        </w:tabs>
        <w:numPr>
          <w:ilvl w:val="1"/>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Proceedings Other Than Proceedings by or in the Right of the Company. </w:t>
      </w:r>
      <w:r>
        <w:rPr>
          <w:rFonts w:ascii="Arial" w:cs="Arial" w:eastAsia="Arial" w:hAnsi="Arial"/>
          <w:sz w:val="18"/>
          <w:szCs w:val="18"/>
          <w:color w:val="auto"/>
        </w:rPr>
        <w:t>Indemnitee shall be entitled to the rights of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provided in this Section 1(a) if, by reason of his or her Corporate Status, the Indemnitee is, or is threatened to be made, a party to or participant in any Proceeding other than a Proceeding by or in the right of the Company. Pursuant to this Section 1(a), Indemnitee shall be indemnified against all Expenses, judgments, penalties, fines and amounts paid in settlement actually and reasonably incurred by him or her, or on his or her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89" w:lineRule="exact"/>
        <w:rPr>
          <w:rFonts w:ascii="Arial" w:cs="Arial" w:eastAsia="Arial" w:hAnsi="Arial"/>
          <w:sz w:val="18"/>
          <w:szCs w:val="18"/>
          <w:b w:val="1"/>
          <w:bCs w:val="1"/>
          <w:color w:val="auto"/>
        </w:rPr>
      </w:pPr>
    </w:p>
    <w:p>
      <w:pPr>
        <w:jc w:val="both"/>
        <w:ind w:firstLine="1300"/>
        <w:spacing w:after="0" w:line="291" w:lineRule="auto"/>
        <w:tabs>
          <w:tab w:leader="none" w:pos="1844" w:val="left"/>
        </w:tabs>
        <w:numPr>
          <w:ilvl w:val="1"/>
          <w:numId w:val="3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Proceedings by or in the Right of the Company. </w:t>
      </w:r>
      <w:r>
        <w:rPr>
          <w:rFonts w:ascii="Arial" w:cs="Arial" w:eastAsia="Arial" w:hAnsi="Arial"/>
          <w:sz w:val="16"/>
          <w:szCs w:val="16"/>
          <w:color w:val="auto"/>
        </w:rPr>
        <w:t>Indemnitee shall be entitled to the rights of indemnification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1(b) if, by reason of his Corporate Status, the Indemnitee is, or is threatened to be made, a party to or participant in any Proceeding brought by or in the right of the Company. Pursuant to this Section 1(b),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61" w:lineRule="exact"/>
        <w:rPr>
          <w:rFonts w:ascii="Arial" w:cs="Arial" w:eastAsia="Arial" w:hAnsi="Arial"/>
          <w:sz w:val="16"/>
          <w:szCs w:val="16"/>
          <w:b w:val="1"/>
          <w:bCs w:val="1"/>
          <w:color w:val="auto"/>
        </w:rPr>
      </w:pPr>
    </w:p>
    <w:p>
      <w:pPr>
        <w:jc w:val="both"/>
        <w:ind w:firstLine="1300"/>
        <w:spacing w:after="0" w:line="271" w:lineRule="auto"/>
        <w:tabs>
          <w:tab w:leader="none" w:pos="1867" w:val="left"/>
        </w:tabs>
        <w:numPr>
          <w:ilvl w:val="1"/>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for Expenses of a Party Who is Wholly or Partly Successful. </w:t>
      </w:r>
      <w:r>
        <w:rPr>
          <w:rFonts w:ascii="Arial" w:cs="Arial" w:eastAsia="Arial" w:hAnsi="Arial"/>
          <w:sz w:val="17"/>
          <w:szCs w:val="17"/>
          <w:color w:val="auto"/>
        </w:rPr>
        <w:t>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the extent that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40" w:name="page441"/>
    <w:bookmarkEnd w:id="440"/>
    <w:p>
      <w:pPr>
        <w:jc w:val="both"/>
        <w:ind w:firstLine="654"/>
        <w:spacing w:after="0" w:line="272" w:lineRule="auto"/>
        <w:tabs>
          <w:tab w:leader="none" w:pos="995"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 xml:space="preserve">Additional Indemnity. </w:t>
      </w:r>
      <w:r>
        <w:rPr>
          <w:rFonts w:ascii="Arial" w:cs="Arial" w:eastAsia="Arial" w:hAnsi="Arial"/>
          <w:sz w:val="17"/>
          <w:szCs w:val="17"/>
          <w:color w:val="auto"/>
        </w:rPr>
        <w:t>In addition to, and without regard to any limitations on, the indemnification provided for in Section 1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any and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Sections 6 and 7 hereof) to be unlawful.</w:t>
      </w:r>
    </w:p>
    <w:p>
      <w:pPr>
        <w:spacing w:after="0" w:line="171" w:lineRule="exact"/>
        <w:rPr>
          <w:rFonts w:ascii="Arial" w:cs="Arial" w:eastAsia="Arial" w:hAnsi="Arial"/>
          <w:sz w:val="17"/>
          <w:szCs w:val="17"/>
          <w:b w:val="1"/>
          <w:bCs w:val="1"/>
          <w:color w:val="auto"/>
        </w:rPr>
      </w:pPr>
    </w:p>
    <w:p>
      <w:pPr>
        <w:ind w:left="1020" w:hanging="366"/>
        <w:spacing w:after="0"/>
        <w:tabs>
          <w:tab w:leader="none" w:pos="102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w:t>
      </w:r>
    </w:p>
    <w:p>
      <w:pPr>
        <w:spacing w:after="0" w:line="227" w:lineRule="exact"/>
        <w:rPr>
          <w:rFonts w:ascii="Arial" w:cs="Arial" w:eastAsia="Arial" w:hAnsi="Arial"/>
          <w:sz w:val="18"/>
          <w:szCs w:val="18"/>
          <w:b w:val="1"/>
          <w:bCs w:val="1"/>
          <w:color w:val="auto"/>
        </w:rPr>
      </w:pPr>
    </w:p>
    <w:p>
      <w:pPr>
        <w:jc w:val="both"/>
        <w:ind w:firstLine="1300"/>
        <w:spacing w:after="0" w:line="290" w:lineRule="auto"/>
        <w:tabs>
          <w:tab w:leader="none" w:pos="1875" w:val="left"/>
        </w:tabs>
        <w:numPr>
          <w:ilvl w:val="1"/>
          <w:numId w:val="380"/>
        </w:numPr>
        <w:rPr>
          <w:rFonts w:ascii="Arial" w:cs="Arial" w:eastAsia="Arial" w:hAnsi="Arial"/>
          <w:sz w:val="16"/>
          <w:szCs w:val="16"/>
          <w:b w:val="1"/>
          <w:bCs w:val="1"/>
          <w:color w:val="auto"/>
        </w:rPr>
      </w:pPr>
      <w:r>
        <w:rPr>
          <w:rFonts w:ascii="Arial" w:cs="Arial" w:eastAsia="Arial" w:hAnsi="Arial"/>
          <w:sz w:val="16"/>
          <w:szCs w:val="16"/>
          <w:color w:val="auto"/>
        </w:rPr>
        <w:t>Whether or not the indemnification provided in Sections 1 and 2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 The Company shall not settle any action or claim in a manner that would impose any penalty or admission of guilt or liability on Indemnitee without Indemnitee’s written consent.</w:t>
      </w:r>
    </w:p>
    <w:p>
      <w:pPr>
        <w:spacing w:after="0" w:line="166" w:lineRule="exact"/>
        <w:rPr>
          <w:rFonts w:ascii="Arial" w:cs="Arial" w:eastAsia="Arial" w:hAnsi="Arial"/>
          <w:sz w:val="16"/>
          <w:szCs w:val="16"/>
          <w:b w:val="1"/>
          <w:bCs w:val="1"/>
          <w:color w:val="auto"/>
        </w:rPr>
      </w:pPr>
    </w:p>
    <w:p>
      <w:pPr>
        <w:jc w:val="both"/>
        <w:ind w:firstLine="1300"/>
        <w:spacing w:after="0" w:line="285" w:lineRule="auto"/>
        <w:tabs>
          <w:tab w:leader="none" w:pos="1893" w:val="left"/>
        </w:tabs>
        <w:numPr>
          <w:ilvl w:val="1"/>
          <w:numId w:val="380"/>
        </w:numPr>
        <w:rPr>
          <w:rFonts w:ascii="Arial" w:cs="Arial" w:eastAsia="Arial" w:hAnsi="Arial"/>
          <w:sz w:val="16"/>
          <w:szCs w:val="16"/>
          <w:b w:val="1"/>
          <w:bCs w:val="1"/>
          <w:color w:val="auto"/>
        </w:rPr>
      </w:pPr>
      <w:r>
        <w:rPr>
          <w:rFonts w:ascii="Arial" w:cs="Arial" w:eastAsia="Arial" w:hAnsi="Arial"/>
          <w:sz w:val="16"/>
          <w:szCs w:val="16"/>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respective conduct is active or passive.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1" w:name="page442"/>
    <w:bookmarkEnd w:id="44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r>
    </w:p>
    <w:p>
      <w:pPr>
        <w:ind w:firstLine="1300"/>
        <w:spacing w:after="0" w:line="276" w:lineRule="auto"/>
        <w:tabs>
          <w:tab w:leader="none" w:pos="1734" w:val="left"/>
        </w:tabs>
        <w:numPr>
          <w:ilvl w:val="2"/>
          <w:numId w:val="381"/>
        </w:numPr>
        <w:rPr>
          <w:rFonts w:ascii="Arial" w:cs="Arial" w:eastAsia="Arial" w:hAnsi="Arial"/>
          <w:sz w:val="18"/>
          <w:szCs w:val="18"/>
          <w:b w:val="1"/>
          <w:bCs w:val="1"/>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69" w:lineRule="exact"/>
        <w:rPr>
          <w:rFonts w:ascii="Arial" w:cs="Arial" w:eastAsia="Arial" w:hAnsi="Arial"/>
          <w:sz w:val="18"/>
          <w:szCs w:val="18"/>
          <w:b w:val="1"/>
          <w:bCs w:val="1"/>
          <w:color w:val="auto"/>
        </w:rPr>
      </w:pPr>
    </w:p>
    <w:p>
      <w:pPr>
        <w:jc w:val="both"/>
        <w:ind w:firstLine="1300"/>
        <w:spacing w:after="0" w:line="254" w:lineRule="auto"/>
        <w:tabs>
          <w:tab w:leader="none" w:pos="1887" w:val="left"/>
        </w:tabs>
        <w:numPr>
          <w:ilvl w:val="2"/>
          <w:numId w:val="381"/>
        </w:numPr>
        <w:rPr>
          <w:rFonts w:ascii="Arial" w:cs="Arial" w:eastAsia="Arial" w:hAnsi="Arial"/>
          <w:sz w:val="18"/>
          <w:szCs w:val="18"/>
          <w:b w:val="1"/>
          <w:bCs w:val="1"/>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5" w:lineRule="exact"/>
        <w:rPr>
          <w:rFonts w:ascii="Arial" w:cs="Arial" w:eastAsia="Arial" w:hAnsi="Arial"/>
          <w:sz w:val="18"/>
          <w:szCs w:val="18"/>
          <w:b w:val="1"/>
          <w:bCs w:val="1"/>
          <w:color w:val="auto"/>
        </w:rPr>
      </w:pPr>
    </w:p>
    <w:p>
      <w:pPr>
        <w:jc w:val="both"/>
        <w:ind w:firstLine="654"/>
        <w:spacing w:after="0" w:line="287" w:lineRule="auto"/>
        <w:tabs>
          <w:tab w:leader="none" w:pos="1005" w:val="left"/>
        </w:tabs>
        <w:numPr>
          <w:ilvl w:val="1"/>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for Expenses of a Witness. </w:t>
      </w:r>
      <w:r>
        <w:rPr>
          <w:rFonts w:ascii="Arial" w:cs="Arial" w:eastAsia="Arial" w:hAnsi="Arial"/>
          <w:sz w:val="17"/>
          <w:szCs w:val="17"/>
          <w:color w:val="auto"/>
        </w:rPr>
        <w:t>Notwithstanding any other provision of this Agreement, to the extent that Indemnitee is,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160" w:lineRule="exact"/>
        <w:rPr>
          <w:rFonts w:ascii="Arial" w:cs="Arial" w:eastAsia="Arial" w:hAnsi="Arial"/>
          <w:sz w:val="17"/>
          <w:szCs w:val="17"/>
          <w:b w:val="1"/>
          <w:bCs w:val="1"/>
          <w:color w:val="auto"/>
        </w:rPr>
      </w:pPr>
    </w:p>
    <w:p>
      <w:pPr>
        <w:jc w:val="both"/>
        <w:ind w:firstLine="654"/>
        <w:spacing w:after="0" w:line="293" w:lineRule="auto"/>
        <w:tabs>
          <w:tab w:leader="none" w:pos="1005" w:val="left"/>
        </w:tabs>
        <w:numPr>
          <w:ilvl w:val="1"/>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Advancement of Expenses. </w:t>
      </w:r>
      <w:r>
        <w:rPr>
          <w:rFonts w:ascii="Arial" w:cs="Arial" w:eastAsia="Arial" w:hAnsi="Arial"/>
          <w:sz w:val="16"/>
          <w:szCs w:val="16"/>
          <w:color w:val="auto"/>
        </w:rPr>
        <w:t>Notwithstanding any other provision of this Agreement, the Company shall advance all Expenses incurred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Indemnitee in connection with any Proceeding by reason of Indemnitee’s Corporate Status within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5 shall be unsecured and interest free.</w:t>
      </w:r>
    </w:p>
    <w:p>
      <w:pPr>
        <w:spacing w:after="0" w:line="159" w:lineRule="exact"/>
        <w:rPr>
          <w:rFonts w:ascii="Arial" w:cs="Arial" w:eastAsia="Arial" w:hAnsi="Arial"/>
          <w:sz w:val="16"/>
          <w:szCs w:val="16"/>
          <w:b w:val="1"/>
          <w:bCs w:val="1"/>
          <w:color w:val="auto"/>
        </w:rPr>
      </w:pPr>
    </w:p>
    <w:p>
      <w:pPr>
        <w:jc w:val="both"/>
        <w:ind w:firstLine="654"/>
        <w:spacing w:after="0" w:line="260" w:lineRule="auto"/>
        <w:tabs>
          <w:tab w:leader="none" w:pos="1155" w:val="left"/>
        </w:tabs>
        <w:numPr>
          <w:ilvl w:val="1"/>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Procedures and Presumptions for Determination of Entitlement to Indemnification. </w:t>
      </w:r>
      <w:r>
        <w:rPr>
          <w:rFonts w:ascii="Arial" w:cs="Arial" w:eastAsia="Arial" w:hAnsi="Arial"/>
          <w:sz w:val="18"/>
          <w:szCs w:val="18"/>
          <w:color w:val="auto"/>
        </w:rPr>
        <w:t>It is the intent of this Agreement to secure for</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83" w:lineRule="exact"/>
        <w:rPr>
          <w:rFonts w:ascii="Arial" w:cs="Arial" w:eastAsia="Arial" w:hAnsi="Arial"/>
          <w:sz w:val="18"/>
          <w:szCs w:val="18"/>
          <w:b w:val="1"/>
          <w:bCs w:val="1"/>
          <w:color w:val="auto"/>
        </w:rPr>
      </w:pPr>
    </w:p>
    <w:p>
      <w:pPr>
        <w:jc w:val="both"/>
        <w:ind w:firstLine="1300"/>
        <w:spacing w:after="0" w:line="272" w:lineRule="auto"/>
        <w:tabs>
          <w:tab w:leader="none" w:pos="1829" w:val="left"/>
        </w:tabs>
        <w:numPr>
          <w:ilvl w:val="2"/>
          <w:numId w:val="382"/>
        </w:numPr>
        <w:rPr>
          <w:rFonts w:ascii="Arial" w:cs="Arial" w:eastAsia="Arial" w:hAnsi="Arial"/>
          <w:sz w:val="17"/>
          <w:szCs w:val="17"/>
          <w:b w:val="1"/>
          <w:bCs w:val="1"/>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78" w:lineRule="exact"/>
        <w:rPr>
          <w:rFonts w:ascii="Arial" w:cs="Arial" w:eastAsia="Arial" w:hAnsi="Arial"/>
          <w:sz w:val="17"/>
          <w:szCs w:val="17"/>
          <w:b w:val="1"/>
          <w:bCs w:val="1"/>
          <w:color w:val="auto"/>
        </w:rPr>
      </w:pPr>
    </w:p>
    <w:p>
      <w:pPr>
        <w:jc w:val="both"/>
        <w:ind w:firstLine="1300"/>
        <w:spacing w:after="0" w:line="290" w:lineRule="auto"/>
        <w:tabs>
          <w:tab w:leader="none" w:pos="1811" w:val="left"/>
        </w:tabs>
        <w:numPr>
          <w:ilvl w:val="2"/>
          <w:numId w:val="382"/>
        </w:numPr>
        <w:rPr>
          <w:rFonts w:ascii="Arial" w:cs="Arial" w:eastAsia="Arial" w:hAnsi="Arial"/>
          <w:sz w:val="16"/>
          <w:szCs w:val="16"/>
          <w:b w:val="1"/>
          <w:bCs w:val="1"/>
          <w:color w:val="auto"/>
        </w:rPr>
      </w:pPr>
      <w:r>
        <w:rPr>
          <w:rFonts w:ascii="Arial" w:cs="Arial" w:eastAsia="Arial" w:hAnsi="Arial"/>
          <w:sz w:val="16"/>
          <w:szCs w:val="16"/>
          <w:color w:val="auto"/>
        </w:rPr>
        <w:t>Upon written request by Indemnitee for indemnification pursuant to the first sentence of Section 6(a) hereof, a determination with respect to Indemnitee’s entitlement thereto shall be made in the specific case by one of the following four methods, which shall be at the election of the Board:</w:t>
      </w:r>
    </w:p>
    <w:p>
      <w:pPr>
        <w:jc w:val="both"/>
        <w:ind w:firstLine="8"/>
        <w:spacing w:after="0" w:line="280" w:lineRule="auto"/>
        <w:tabs>
          <w:tab w:leader="none" w:pos="231" w:val="left"/>
        </w:tabs>
        <w:numPr>
          <w:ilvl w:val="0"/>
          <w:numId w:val="383"/>
        </w:numPr>
        <w:rPr>
          <w:rFonts w:ascii="Arial" w:cs="Arial" w:eastAsia="Arial" w:hAnsi="Arial"/>
          <w:sz w:val="16"/>
          <w:szCs w:val="16"/>
          <w:color w:val="auto"/>
        </w:rPr>
      </w:pPr>
      <w:r>
        <w:rPr>
          <w:rFonts w:ascii="Arial" w:cs="Arial" w:eastAsia="Arial" w:hAnsi="Arial"/>
          <w:sz w:val="16"/>
          <w:szCs w:val="16"/>
          <w:color w:val="auto"/>
        </w:rPr>
        <w:t>unless a Change in Control has occurred: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the Indemnitee, or</w:t>
      </w:r>
    </w:p>
    <w:p>
      <w:pPr>
        <w:spacing w:after="0" w:line="2"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(4) if so directed by the Board, by the stockholders of the Company; and (ii) if a Change in Control has occurred, then by Independent Counsel in a written opinion to the Board, a copy of which shall be delivered to the Indemnitee. For purposes hereof, Disinterested Directors are those members of the Board who are not parties to the action, suit or proceeding in respect of which indemnification is sought by Indemnitee.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2" w:name="page443"/>
    <w:bookmarkEnd w:id="44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r>
    </w:p>
    <w:p>
      <w:pPr>
        <w:jc w:val="both"/>
        <w:ind w:firstLine="1300"/>
        <w:spacing w:after="0" w:line="267" w:lineRule="auto"/>
        <w:tabs>
          <w:tab w:leader="none" w:pos="1816" w:val="left"/>
        </w:tabs>
        <w:numPr>
          <w:ilvl w:val="0"/>
          <w:numId w:val="384"/>
        </w:numPr>
        <w:rPr>
          <w:rFonts w:ascii="Arial" w:cs="Arial" w:eastAsia="Arial" w:hAnsi="Arial"/>
          <w:sz w:val="17"/>
          <w:szCs w:val="17"/>
          <w:b w:val="1"/>
          <w:bCs w:val="1"/>
          <w:color w:val="auto"/>
        </w:rPr>
      </w:pPr>
      <w:r>
        <w:rPr>
          <w:rFonts w:ascii="Arial" w:cs="Arial" w:eastAsia="Arial" w:hAnsi="Arial"/>
          <w:sz w:val="17"/>
          <w:szCs w:val="17"/>
          <w:color w:val="auto"/>
        </w:rPr>
        <w:t>If the determination of entitlement to indemnification is to be made by Independent Counsel pursuant to Section 6(b) hereof, the Independent Counsel shall be selected as provided in this Section 6(c). The Independent Counsel shall be selected by the Board.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as defined in Section 13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Section 6(a)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shall pay any and all reasonable fees and expenses of Independent Counsel incurred by such Independent Counsel in connection with acting pursuant to Section 6(b) hereof, and the Company shall pay all reasonable fees and expenses incident to the procedures of this Section 6(c), regardless of the manner in which such Independent Counsel was selected or appointed. In no event shall Indemnitee be liable for fees and expenses incurred by such Independent Counsel, subject to the limitations on indemnification set forth herein.</w:t>
      </w:r>
    </w:p>
    <w:p>
      <w:pPr>
        <w:spacing w:after="0" w:line="181" w:lineRule="exact"/>
        <w:rPr>
          <w:rFonts w:ascii="Arial" w:cs="Arial" w:eastAsia="Arial" w:hAnsi="Arial"/>
          <w:sz w:val="17"/>
          <w:szCs w:val="17"/>
          <w:b w:val="1"/>
          <w:bCs w:val="1"/>
          <w:color w:val="auto"/>
        </w:rPr>
      </w:pPr>
    </w:p>
    <w:p>
      <w:pPr>
        <w:jc w:val="both"/>
        <w:ind w:firstLine="1300"/>
        <w:spacing w:after="0" w:line="254" w:lineRule="auto"/>
        <w:tabs>
          <w:tab w:leader="none" w:pos="1832"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Board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Board or Independent Counsel) that Indemnitee has not met such applicable standard of conduct, shall be a defense to the action or create a presumption that Indemnitee has not met the applicable standard of conduct.</w:t>
      </w:r>
    </w:p>
    <w:p>
      <w:pPr>
        <w:spacing w:after="0" w:line="189" w:lineRule="exact"/>
        <w:rPr>
          <w:rFonts w:ascii="Arial" w:cs="Arial" w:eastAsia="Arial" w:hAnsi="Arial"/>
          <w:sz w:val="18"/>
          <w:szCs w:val="18"/>
          <w:b w:val="1"/>
          <w:bCs w:val="1"/>
          <w:color w:val="auto"/>
        </w:rPr>
      </w:pPr>
    </w:p>
    <w:p>
      <w:pPr>
        <w:jc w:val="both"/>
        <w:ind w:firstLine="1300"/>
        <w:spacing w:after="0" w:line="270" w:lineRule="auto"/>
        <w:tabs>
          <w:tab w:leader="none" w:pos="1804" w:val="left"/>
        </w:tabs>
        <w:numPr>
          <w:ilvl w:val="0"/>
          <w:numId w:val="384"/>
        </w:numPr>
        <w:rPr>
          <w:rFonts w:ascii="Arial" w:cs="Arial" w:eastAsia="Arial" w:hAnsi="Arial"/>
          <w:sz w:val="17"/>
          <w:szCs w:val="17"/>
          <w:b w:val="1"/>
          <w:bCs w:val="1"/>
          <w:color w:val="auto"/>
        </w:rPr>
      </w:pPr>
      <w:r>
        <w:rPr>
          <w:rFonts w:ascii="Arial" w:cs="Arial" w:eastAsia="Arial" w:hAnsi="Arial"/>
          <w:sz w:val="17"/>
          <w:szCs w:val="17"/>
          <w:color w:val="auto"/>
        </w:rPr>
        <w:t>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3" w:name="page444"/>
    <w:bookmarkEnd w:id="44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r>
    </w:p>
    <w:p>
      <w:pPr>
        <w:jc w:val="both"/>
        <w:ind w:firstLine="1300"/>
        <w:spacing w:after="0" w:line="286" w:lineRule="auto"/>
        <w:tabs>
          <w:tab w:leader="none" w:pos="1712"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If the person, persons or entity empowered or selected under Section 6 to determine whether Indemnitee is entitled to indemnification shall not have made a determination within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 day period may be extended for a reasonable time, not to exceed an additional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Section 6(f) shall not apply if the determination of entitlement to indemnification is to be made by the stockholders pursuant to Section 6(b) of this Agreement and if (A) within 15 days after receipt by the Company of the request for such determination, the Board or the Disinterested Directors, if appropriate, resolve to submit such determination to the stockholders for their consideration at an annual meeting thereof to be held within 75 days after such receipt and such determination is made thereat, or (B) a special meeting of stockholders is called within 15 days after such receipt for the purpose of making such determination, such meeting is held for such purpose within 60 days after having been so called and such determination is made thereat.</w:t>
      </w:r>
    </w:p>
    <w:p>
      <w:pPr>
        <w:spacing w:after="0" w:line="168" w:lineRule="exact"/>
        <w:rPr>
          <w:rFonts w:ascii="Arial" w:cs="Arial" w:eastAsia="Arial" w:hAnsi="Arial"/>
          <w:sz w:val="16"/>
          <w:szCs w:val="16"/>
          <w:b w:val="1"/>
          <w:bCs w:val="1"/>
          <w:color w:val="auto"/>
        </w:rPr>
      </w:pPr>
    </w:p>
    <w:p>
      <w:pPr>
        <w:jc w:val="both"/>
        <w:ind w:firstLine="1300"/>
        <w:spacing w:after="0" w:line="290" w:lineRule="auto"/>
        <w:tabs>
          <w:tab w:leader="none" w:pos="1772"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6" w:lineRule="exact"/>
        <w:rPr>
          <w:rFonts w:ascii="Arial" w:cs="Arial" w:eastAsia="Arial" w:hAnsi="Arial"/>
          <w:sz w:val="16"/>
          <w:szCs w:val="16"/>
          <w:b w:val="1"/>
          <w:bCs w:val="1"/>
          <w:color w:val="auto"/>
        </w:rPr>
      </w:pPr>
    </w:p>
    <w:p>
      <w:pPr>
        <w:jc w:val="both"/>
        <w:ind w:firstLine="1300"/>
        <w:spacing w:after="0" w:line="295" w:lineRule="auto"/>
        <w:tabs>
          <w:tab w:leader="none" w:pos="1777" w:val="left"/>
        </w:tabs>
        <w:numPr>
          <w:ilvl w:val="0"/>
          <w:numId w:val="385"/>
        </w:numPr>
        <w:rPr>
          <w:rFonts w:ascii="Arial" w:cs="Arial" w:eastAsia="Arial" w:hAnsi="Arial"/>
          <w:sz w:val="16"/>
          <w:szCs w:val="16"/>
          <w:b w:val="1"/>
          <w:bCs w:val="1"/>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4" w:name="page445"/>
    <w:bookmarkEnd w:id="44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r>
    </w:p>
    <w:p>
      <w:pPr>
        <w:jc w:val="both"/>
        <w:ind w:firstLine="1300"/>
        <w:spacing w:after="0" w:line="256" w:lineRule="auto"/>
        <w:tabs>
          <w:tab w:leader="none" w:pos="1684" w:val="left"/>
        </w:tabs>
        <w:numPr>
          <w:ilvl w:val="1"/>
          <w:numId w:val="386"/>
        </w:numPr>
        <w:rPr>
          <w:rFonts w:ascii="Arial" w:cs="Arial" w:eastAsia="Arial" w:hAnsi="Arial"/>
          <w:sz w:val="18"/>
          <w:szCs w:val="18"/>
          <w:b w:val="1"/>
          <w:bCs w:val="1"/>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4" w:lineRule="exact"/>
        <w:rPr>
          <w:rFonts w:ascii="Arial" w:cs="Arial" w:eastAsia="Arial" w:hAnsi="Arial"/>
          <w:sz w:val="18"/>
          <w:szCs w:val="18"/>
          <w:b w:val="1"/>
          <w:bCs w:val="1"/>
          <w:color w:val="auto"/>
        </w:rPr>
      </w:pPr>
    </w:p>
    <w:p>
      <w:pPr>
        <w:ind w:left="1020" w:hanging="366"/>
        <w:spacing w:after="0"/>
        <w:tabs>
          <w:tab w:leader="none" w:pos="10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227" w:lineRule="exact"/>
        <w:rPr>
          <w:rFonts w:ascii="Arial" w:cs="Arial" w:eastAsia="Arial" w:hAnsi="Arial"/>
          <w:sz w:val="18"/>
          <w:szCs w:val="18"/>
          <w:b w:val="1"/>
          <w:bCs w:val="1"/>
          <w:color w:val="auto"/>
        </w:rPr>
      </w:pPr>
    </w:p>
    <w:p>
      <w:pPr>
        <w:jc w:val="both"/>
        <w:ind w:firstLine="1300"/>
        <w:spacing w:after="0" w:line="269" w:lineRule="auto"/>
        <w:tabs>
          <w:tab w:leader="none" w:pos="1740" w:val="left"/>
        </w:tabs>
        <w:numPr>
          <w:ilvl w:val="1"/>
          <w:numId w:val="387"/>
        </w:numPr>
        <w:rPr>
          <w:rFonts w:ascii="Arial" w:cs="Arial" w:eastAsia="Arial" w:hAnsi="Arial"/>
          <w:sz w:val="17"/>
          <w:szCs w:val="17"/>
          <w:b w:val="1"/>
          <w:bCs w:val="1"/>
          <w:color w:val="auto"/>
        </w:rPr>
      </w:pPr>
      <w:r>
        <w:rPr>
          <w:rFonts w:ascii="Arial" w:cs="Arial" w:eastAsia="Arial" w:hAnsi="Arial"/>
          <w:sz w:val="17"/>
          <w:szCs w:val="17"/>
          <w:color w:val="auto"/>
        </w:rPr>
        <w:t>In the event that (i) a determination is made pursuant to Section 6 of this Agreement that Indemnitee is not entitled to indemnification under this Agreement, (ii) advancement of Expenses is not timely made pursuant to Section 5 of this Agreement, (iii) no determination of entitlement to indemnification is made pursuant to Section 6(b) of this Agreement within 90 days after receipt by the Company of the request for indemnification, (iv) payment of indemnification is not made pursuant to this Agreement within 10 days after receipt by the Company of a written request therefor or (v) payment of indemnification is not made within 10 days after a determination has been made that Indemnitee is entitled to indemnification or such determination is deemed to have been made pursuant to Section 6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 year following the date on which Indemnitee first has the right to commence such proceeding pursuant to this Section 7(a). The Company shall not oppose Indemnitee’s right to seek any such adjudication.</w:t>
      </w:r>
    </w:p>
    <w:p>
      <w:pPr>
        <w:spacing w:after="0" w:line="181" w:lineRule="exact"/>
        <w:rPr>
          <w:rFonts w:ascii="Arial" w:cs="Arial" w:eastAsia="Arial" w:hAnsi="Arial"/>
          <w:sz w:val="17"/>
          <w:szCs w:val="17"/>
          <w:b w:val="1"/>
          <w:bCs w:val="1"/>
          <w:color w:val="auto"/>
        </w:rPr>
      </w:pPr>
    </w:p>
    <w:p>
      <w:pPr>
        <w:jc w:val="both"/>
        <w:ind w:firstLine="1300"/>
        <w:spacing w:after="0" w:line="262" w:lineRule="auto"/>
        <w:tabs>
          <w:tab w:leader="none" w:pos="1788"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In the event that a determination shall have been made pursuant to Section 6(b) of this Agreement that Indemnitee is not entitled to indemnification, any judicial proceeding commenced pursuant to this Section 7 shall be conducted in all respects as a de novo trial on the merits, and Indemnitee shall not be prejudiced by reason of the adverse determination under Section 6(b).</w:t>
      </w:r>
    </w:p>
    <w:p>
      <w:pPr>
        <w:spacing w:after="0" w:line="183" w:lineRule="exact"/>
        <w:rPr>
          <w:rFonts w:ascii="Arial" w:cs="Arial" w:eastAsia="Arial" w:hAnsi="Arial"/>
          <w:sz w:val="18"/>
          <w:szCs w:val="18"/>
          <w:b w:val="1"/>
          <w:bCs w:val="1"/>
          <w:color w:val="auto"/>
        </w:rPr>
      </w:pPr>
    </w:p>
    <w:p>
      <w:pPr>
        <w:jc w:val="both"/>
        <w:ind w:firstLine="1300"/>
        <w:spacing w:after="0" w:line="258" w:lineRule="auto"/>
        <w:tabs>
          <w:tab w:leader="none" w:pos="1739"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If a determination shall have been made pursuant to Section 6(b) of this Agreement that Indemnitee is entitled to indemnification, the Company shall be bound by such determination in any judicial proceeding commenced pursuant to this Section 7,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86" w:lineRule="exact"/>
        <w:rPr>
          <w:rFonts w:ascii="Arial" w:cs="Arial" w:eastAsia="Arial" w:hAnsi="Arial"/>
          <w:sz w:val="18"/>
          <w:szCs w:val="18"/>
          <w:b w:val="1"/>
          <w:bCs w:val="1"/>
          <w:color w:val="auto"/>
        </w:rPr>
      </w:pPr>
    </w:p>
    <w:p>
      <w:pPr>
        <w:jc w:val="both"/>
        <w:ind w:firstLine="1300"/>
        <w:spacing w:after="0" w:line="256" w:lineRule="auto"/>
        <w:tabs>
          <w:tab w:leader="none" w:pos="1758" w:val="left"/>
        </w:tabs>
        <w:numPr>
          <w:ilvl w:val="1"/>
          <w:numId w:val="387"/>
        </w:numPr>
        <w:rPr>
          <w:rFonts w:ascii="Arial" w:cs="Arial" w:eastAsia="Arial" w:hAnsi="Arial"/>
          <w:sz w:val="18"/>
          <w:szCs w:val="18"/>
          <w:b w:val="1"/>
          <w:bCs w:val="1"/>
          <w:color w:val="auto"/>
        </w:rPr>
      </w:pPr>
      <w:r>
        <w:rPr>
          <w:rFonts w:ascii="Arial" w:cs="Arial" w:eastAsia="Arial" w:hAnsi="Arial"/>
          <w:sz w:val="18"/>
          <w:szCs w:val="18"/>
          <w:color w:val="auto"/>
        </w:rPr>
        <w:t>In the event that Indemnitee, pursuant to this Section 7, seeks a judicial adjudication of his or her rights under, or to recover damages for breach of, this Agreement, or to recover under any directors’ and officers’ liability insurance policies maintained by the Company, the Company shall pay on his or her behalf, in advance, any and all expenses (of the types described in the definition of Expenses in Section 13 of this Agreement) actually and reasonably incurred by him or her in such judicial adjudication, regardless of whether Indemnitee ultimately is determined to be entitled to such indemnification, advancement of expenses or insurance recovery.</w:t>
      </w:r>
    </w:p>
    <w:p>
      <w:pPr>
        <w:spacing w:after="0" w:line="188" w:lineRule="exact"/>
        <w:rPr>
          <w:rFonts w:ascii="Arial" w:cs="Arial" w:eastAsia="Arial" w:hAnsi="Arial"/>
          <w:sz w:val="18"/>
          <w:szCs w:val="18"/>
          <w:b w:val="1"/>
          <w:bCs w:val="1"/>
          <w:color w:val="auto"/>
        </w:rPr>
      </w:pPr>
    </w:p>
    <w:p>
      <w:pPr>
        <w:jc w:val="both"/>
        <w:ind w:firstLine="1300"/>
        <w:spacing w:after="0" w:line="271" w:lineRule="auto"/>
        <w:tabs>
          <w:tab w:leader="none" w:pos="1743" w:val="left"/>
        </w:tabs>
        <w:numPr>
          <w:ilvl w:val="1"/>
          <w:numId w:val="387"/>
        </w:numPr>
        <w:rPr>
          <w:rFonts w:ascii="Arial" w:cs="Arial" w:eastAsia="Arial" w:hAnsi="Arial"/>
          <w:sz w:val="17"/>
          <w:szCs w:val="17"/>
          <w:b w:val="1"/>
          <w:bCs w:val="1"/>
          <w:color w:val="auto"/>
        </w:rPr>
      </w:pPr>
      <w:r>
        <w:rPr>
          <w:rFonts w:ascii="Arial" w:cs="Arial" w:eastAsia="Arial" w:hAnsi="Arial"/>
          <w:sz w:val="17"/>
          <w:szCs w:val="17"/>
          <w:color w:val="auto"/>
        </w:rPr>
        <w:t>The Company shall be precluded from asserting in any judicial proceeding commenced pursuant to this Section 7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5" w:name="page446"/>
    <w:bookmarkEnd w:id="445"/>
    <w:p>
      <w:pPr>
        <w:ind w:firstLine="1300"/>
        <w:spacing w:after="0" w:line="276" w:lineRule="auto"/>
        <w:tabs>
          <w:tab w:leader="none" w:pos="1878"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Notwithstanding anything in this Agreement to the contrary, no determination as to entitlement to indemnification under this Agreement shall be required to be made prior to the final disposition of the Proceeding.</w:t>
      </w:r>
    </w:p>
    <w:p>
      <w:pPr>
        <w:spacing w:after="0" w:line="165" w:lineRule="exact"/>
        <w:rPr>
          <w:rFonts w:ascii="Arial" w:cs="Arial" w:eastAsia="Arial" w:hAnsi="Arial"/>
          <w:sz w:val="18"/>
          <w:szCs w:val="18"/>
          <w:b w:val="1"/>
          <w:bCs w:val="1"/>
          <w:color w:val="auto"/>
        </w:rPr>
      </w:pPr>
    </w:p>
    <w:p>
      <w:pPr>
        <w:ind w:left="1020" w:hanging="366"/>
        <w:spacing w:after="0"/>
        <w:tabs>
          <w:tab w:leader="none" w:pos="10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Primacy of Indemnification; Subrogation.</w:t>
      </w:r>
    </w:p>
    <w:p>
      <w:pPr>
        <w:spacing w:after="0" w:line="227" w:lineRule="exact"/>
        <w:rPr>
          <w:rFonts w:ascii="Arial" w:cs="Arial" w:eastAsia="Arial" w:hAnsi="Arial"/>
          <w:sz w:val="18"/>
          <w:szCs w:val="18"/>
          <w:b w:val="1"/>
          <w:bCs w:val="1"/>
          <w:color w:val="auto"/>
        </w:rPr>
      </w:pPr>
    </w:p>
    <w:p>
      <w:pPr>
        <w:jc w:val="both"/>
        <w:ind w:firstLine="1300"/>
        <w:spacing w:after="0" w:line="288" w:lineRule="auto"/>
        <w:tabs>
          <w:tab w:leader="none" w:pos="1765" w:val="left"/>
        </w:tabs>
        <w:numPr>
          <w:ilvl w:val="1"/>
          <w:numId w:val="389"/>
        </w:numPr>
        <w:rPr>
          <w:rFonts w:ascii="Arial" w:cs="Arial" w:eastAsia="Arial" w:hAnsi="Arial"/>
          <w:sz w:val="16"/>
          <w:szCs w:val="16"/>
          <w:b w:val="1"/>
          <w:bCs w:val="1"/>
          <w:color w:val="auto"/>
        </w:rPr>
      </w:pPr>
      <w:r>
        <w:rPr>
          <w:rFonts w:ascii="Arial" w:cs="Arial" w:eastAsia="Arial" w:hAnsi="Arial"/>
          <w:sz w:val="16"/>
          <w:szCs w:val="16"/>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Board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all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66" w:lineRule="exact"/>
        <w:rPr>
          <w:rFonts w:ascii="Arial" w:cs="Arial" w:eastAsia="Arial" w:hAnsi="Arial"/>
          <w:sz w:val="16"/>
          <w:szCs w:val="16"/>
          <w:b w:val="1"/>
          <w:bCs w:val="1"/>
          <w:color w:val="auto"/>
        </w:rPr>
      </w:pPr>
    </w:p>
    <w:p>
      <w:pPr>
        <w:jc w:val="both"/>
        <w:ind w:firstLine="1300"/>
        <w:spacing w:after="0" w:line="270" w:lineRule="auto"/>
        <w:tabs>
          <w:tab w:leader="none" w:pos="1897" w:val="left"/>
        </w:tabs>
        <w:numPr>
          <w:ilvl w:val="1"/>
          <w:numId w:val="389"/>
        </w:numPr>
        <w:rPr>
          <w:rFonts w:ascii="Arial" w:cs="Arial" w:eastAsia="Arial" w:hAnsi="Arial"/>
          <w:sz w:val="17"/>
          <w:szCs w:val="17"/>
          <w:b w:val="1"/>
          <w:bCs w:val="1"/>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the Company shall procure such insurance policy or policies under which the Indemnitee shall be covered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8" w:lineRule="exact"/>
        <w:rPr>
          <w:rFonts w:ascii="Arial" w:cs="Arial" w:eastAsia="Arial" w:hAnsi="Arial"/>
          <w:sz w:val="17"/>
          <w:szCs w:val="17"/>
          <w:b w:val="1"/>
          <w:bCs w:val="1"/>
          <w:color w:val="auto"/>
        </w:rPr>
      </w:pPr>
    </w:p>
    <w:p>
      <w:pPr>
        <w:jc w:val="both"/>
        <w:ind w:firstLine="1300"/>
        <w:spacing w:after="0" w:line="267" w:lineRule="auto"/>
        <w:tabs>
          <w:tab w:leader="none" w:pos="1756" w:val="left"/>
        </w:tabs>
        <w:numPr>
          <w:ilvl w:val="1"/>
          <w:numId w:val="389"/>
        </w:numPr>
        <w:rPr>
          <w:rFonts w:ascii="Arial" w:cs="Arial" w:eastAsia="Arial" w:hAnsi="Arial"/>
          <w:sz w:val="17"/>
          <w:szCs w:val="17"/>
          <w:b w:val="1"/>
          <w:bCs w:val="1"/>
          <w:color w:val="auto"/>
        </w:rPr>
      </w:pPr>
      <w:r>
        <w:rPr>
          <w:rFonts w:ascii="Arial" w:cs="Arial" w:eastAsia="Arial" w:hAnsi="Arial"/>
          <w:sz w:val="17"/>
          <w:szCs w:val="17"/>
          <w:color w:val="auto"/>
        </w:rPr>
        <w:t>The Company hereby acknowledges that Indemnitee has or may have in the future certain rights to indemnification, advancement of expenses and/or insurance provided by other entities and/or organizations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The Company hereby agrees (i)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8(c).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46" w:name="page447"/>
    <w:bookmarkEnd w:id="446"/>
    <w:p>
      <w:pPr>
        <w:jc w:val="both"/>
        <w:ind w:firstLine="1300"/>
        <w:spacing w:after="0" w:line="258" w:lineRule="auto"/>
        <w:tabs>
          <w:tab w:leader="none" w:pos="1750"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Except as provided in Section 8(c) above, 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186" w:lineRule="exact"/>
        <w:rPr>
          <w:rFonts w:ascii="Arial" w:cs="Arial" w:eastAsia="Arial" w:hAnsi="Arial"/>
          <w:sz w:val="18"/>
          <w:szCs w:val="18"/>
          <w:b w:val="1"/>
          <w:bCs w:val="1"/>
          <w:color w:val="auto"/>
        </w:rPr>
      </w:pPr>
    </w:p>
    <w:p>
      <w:pPr>
        <w:jc w:val="both"/>
        <w:ind w:firstLine="1300"/>
        <w:spacing w:after="0" w:line="262" w:lineRule="auto"/>
        <w:tabs>
          <w:tab w:leader="none" w:pos="1783"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8(c)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83" w:lineRule="exact"/>
        <w:rPr>
          <w:rFonts w:ascii="Arial" w:cs="Arial" w:eastAsia="Arial" w:hAnsi="Arial"/>
          <w:sz w:val="18"/>
          <w:szCs w:val="18"/>
          <w:b w:val="1"/>
          <w:bCs w:val="1"/>
          <w:color w:val="auto"/>
        </w:rPr>
      </w:pPr>
    </w:p>
    <w:p>
      <w:pPr>
        <w:jc w:val="both"/>
        <w:ind w:firstLine="1300"/>
        <w:spacing w:after="0" w:line="278" w:lineRule="auto"/>
        <w:tabs>
          <w:tab w:leader="none" w:pos="1695" w:val="left"/>
        </w:tabs>
        <w:numPr>
          <w:ilvl w:val="1"/>
          <w:numId w:val="390"/>
        </w:numPr>
        <w:rPr>
          <w:rFonts w:ascii="Arial" w:cs="Arial" w:eastAsia="Arial" w:hAnsi="Arial"/>
          <w:sz w:val="17"/>
          <w:szCs w:val="17"/>
          <w:b w:val="1"/>
          <w:bCs w:val="1"/>
          <w:color w:val="auto"/>
        </w:rPr>
      </w:pPr>
      <w:r>
        <w:rPr>
          <w:rFonts w:ascii="Arial" w:cs="Arial" w:eastAsia="Arial" w:hAnsi="Arial"/>
          <w:sz w:val="17"/>
          <w:szCs w:val="17"/>
          <w:color w:val="auto"/>
        </w:rPr>
        <w:t>Except as provided in Section 8(c)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66" w:lineRule="exact"/>
        <w:rPr>
          <w:rFonts w:ascii="Arial" w:cs="Arial" w:eastAsia="Arial" w:hAnsi="Arial"/>
          <w:sz w:val="17"/>
          <w:szCs w:val="17"/>
          <w:b w:val="1"/>
          <w:bCs w:val="1"/>
          <w:color w:val="auto"/>
        </w:rPr>
      </w:pPr>
    </w:p>
    <w:p>
      <w:pPr>
        <w:ind w:firstLine="654"/>
        <w:spacing w:after="0" w:line="280" w:lineRule="auto"/>
        <w:tabs>
          <w:tab w:leader="none" w:pos="1086"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Right of Indemnification. </w:t>
      </w:r>
      <w:r>
        <w:rPr>
          <w:rFonts w:ascii="Arial" w:cs="Arial" w:eastAsia="Arial" w:hAnsi="Arial"/>
          <w:sz w:val="18"/>
          <w:szCs w:val="18"/>
          <w:color w:val="auto"/>
        </w:rPr>
        <w:t>Notwithstanding any provision in this Agreement, the Company shall not be obligated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make any indemnity in connection with any claim made against Indemnitee:</w:t>
      </w:r>
    </w:p>
    <w:p>
      <w:pPr>
        <w:spacing w:after="0" w:line="167" w:lineRule="exact"/>
        <w:rPr>
          <w:rFonts w:ascii="Arial" w:cs="Arial" w:eastAsia="Arial" w:hAnsi="Arial"/>
          <w:sz w:val="18"/>
          <w:szCs w:val="18"/>
          <w:b w:val="1"/>
          <w:bCs w:val="1"/>
          <w:color w:val="auto"/>
        </w:rPr>
      </w:pPr>
    </w:p>
    <w:p>
      <w:pPr>
        <w:jc w:val="both"/>
        <w:ind w:firstLine="1300"/>
        <w:spacing w:after="0" w:line="262" w:lineRule="auto"/>
        <w:tabs>
          <w:tab w:leader="none" w:pos="1793"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Secondary Indemnitors set forth in Section 8(c) above;</w:t>
      </w:r>
    </w:p>
    <w:p>
      <w:pPr>
        <w:spacing w:after="0" w:line="183" w:lineRule="exact"/>
        <w:rPr>
          <w:rFonts w:ascii="Arial" w:cs="Arial" w:eastAsia="Arial" w:hAnsi="Arial"/>
          <w:sz w:val="18"/>
          <w:szCs w:val="18"/>
          <w:b w:val="1"/>
          <w:bCs w:val="1"/>
          <w:color w:val="auto"/>
        </w:rPr>
      </w:pPr>
    </w:p>
    <w:p>
      <w:pPr>
        <w:ind w:right="20" w:firstLine="1300"/>
        <w:spacing w:after="0" w:line="276" w:lineRule="auto"/>
        <w:tabs>
          <w:tab w:leader="none" w:pos="1829"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w:t>
      </w:r>
    </w:p>
    <w:p>
      <w:pPr>
        <w:spacing w:after="0" w:line="169" w:lineRule="exact"/>
        <w:rPr>
          <w:rFonts w:ascii="Arial" w:cs="Arial" w:eastAsia="Arial" w:hAnsi="Arial"/>
          <w:sz w:val="18"/>
          <w:szCs w:val="18"/>
          <w:b w:val="1"/>
          <w:bCs w:val="1"/>
          <w:color w:val="auto"/>
        </w:rPr>
      </w:pPr>
    </w:p>
    <w:p>
      <w:pPr>
        <w:jc w:val="both"/>
        <w:ind w:firstLine="1300"/>
        <w:spacing w:after="0" w:line="258" w:lineRule="auto"/>
        <w:tabs>
          <w:tab w:leader="none" w:pos="1756" w:val="left"/>
        </w:tabs>
        <w:numPr>
          <w:ilvl w:val="1"/>
          <w:numId w:val="391"/>
        </w:numPr>
        <w:rPr>
          <w:rFonts w:ascii="Arial" w:cs="Arial" w:eastAsia="Arial" w:hAnsi="Arial"/>
          <w:sz w:val="18"/>
          <w:szCs w:val="18"/>
          <w:b w:val="1"/>
          <w:bCs w:val="1"/>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86" w:lineRule="exact"/>
        <w:rPr>
          <w:rFonts w:ascii="Arial" w:cs="Arial" w:eastAsia="Arial" w:hAnsi="Arial"/>
          <w:sz w:val="18"/>
          <w:szCs w:val="18"/>
          <w:b w:val="1"/>
          <w:bCs w:val="1"/>
          <w:color w:val="auto"/>
        </w:rPr>
      </w:pPr>
    </w:p>
    <w:p>
      <w:pPr>
        <w:jc w:val="both"/>
        <w:ind w:firstLine="1300"/>
        <w:spacing w:after="0" w:line="278" w:lineRule="auto"/>
        <w:tabs>
          <w:tab w:leader="none" w:pos="1937" w:val="left"/>
        </w:tabs>
        <w:numPr>
          <w:ilvl w:val="1"/>
          <w:numId w:val="391"/>
        </w:numPr>
        <w:rPr>
          <w:rFonts w:ascii="Arial" w:cs="Arial" w:eastAsia="Arial" w:hAnsi="Arial"/>
          <w:sz w:val="17"/>
          <w:szCs w:val="17"/>
          <w:b w:val="1"/>
          <w:bCs w:val="1"/>
          <w:color w:val="auto"/>
        </w:rPr>
      </w:pPr>
      <w:r>
        <w:rPr>
          <w:rFonts w:ascii="Arial" w:cs="Arial" w:eastAsia="Arial" w:hAnsi="Arial"/>
          <w:sz w:val="17"/>
          <w:szCs w:val="17"/>
          <w:color w:val="auto"/>
        </w:rPr>
        <w:t>with respect to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the last paragraph of this Section 9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47" w:name="page448"/>
    <w:bookmarkEnd w:id="447"/>
    <w:p>
      <w:pPr>
        <w:ind w:right="20" w:firstLine="1300"/>
        <w:spacing w:after="0" w:line="276" w:lineRule="auto"/>
        <w:tabs>
          <w:tab w:leader="none" w:pos="1787"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a final judgment or other final adjudication is made that Indemnitee’s conduct was in bad faith, knowingly fraudulent or deliberately dishonest or constituted willful misconduct (but only to the extent of such specific determination);</w:t>
      </w:r>
    </w:p>
    <w:p>
      <w:pPr>
        <w:spacing w:after="0" w:line="169" w:lineRule="exact"/>
        <w:rPr>
          <w:rFonts w:ascii="Arial" w:cs="Arial" w:eastAsia="Arial" w:hAnsi="Arial"/>
          <w:sz w:val="18"/>
          <w:szCs w:val="18"/>
          <w:b w:val="1"/>
          <w:bCs w:val="1"/>
          <w:color w:val="auto"/>
        </w:rPr>
      </w:pPr>
    </w:p>
    <w:p>
      <w:pPr>
        <w:jc w:val="both"/>
        <w:ind w:firstLine="1300"/>
        <w:spacing w:after="0" w:line="256" w:lineRule="auto"/>
        <w:tabs>
          <w:tab w:leader="none" w:pos="1709"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in connection with any claim for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or the payment to the Company of profits arising from the purchase and sale by Indemnitee of securities in violation of Section 306 of the Sarbanes-Oxley Act), if Indemnitee is held liable therefor (including pursuant to any settlement); or</w:t>
      </w:r>
    </w:p>
    <w:p>
      <w:pPr>
        <w:spacing w:after="0" w:line="188" w:lineRule="exact"/>
        <w:rPr>
          <w:rFonts w:ascii="Arial" w:cs="Arial" w:eastAsia="Arial" w:hAnsi="Arial"/>
          <w:sz w:val="18"/>
          <w:szCs w:val="18"/>
          <w:b w:val="1"/>
          <w:bCs w:val="1"/>
          <w:color w:val="auto"/>
        </w:rPr>
      </w:pPr>
    </w:p>
    <w:p>
      <w:pPr>
        <w:ind w:firstLine="1300"/>
        <w:spacing w:after="0" w:line="276" w:lineRule="auto"/>
        <w:tabs>
          <w:tab w:leader="none" w:pos="1751"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on account of conduct that is established by a final judgment as constituting a breach of Indemnitee’s duty of loyalty to the Company or resulting in any personal profit or advantage to which Indemnitee is not legally entitled.</w:t>
      </w:r>
    </w:p>
    <w:p>
      <w:pPr>
        <w:spacing w:after="0" w:line="170"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For purposes of this Section 9,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70"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color w:val="auto"/>
        </w:rPr>
        <w:t>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or in any registration statement filed with the SEC under the Securities Act. Indemnitee acknowledges that paragraph (h) of Item 512 of Regulation S-K promulgated under the Securities Act currently generally requires the Company to undertake, in connection with any registration statement filed under the Securities Act, to submit the issue of the enforceability of Indemnitee’s rights under this Agreement in connection with any liability under the Securities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74" w:lineRule="exact"/>
        <w:rPr>
          <w:sz w:val="20"/>
          <w:szCs w:val="20"/>
          <w:color w:val="auto"/>
        </w:rPr>
      </w:pPr>
    </w:p>
    <w:p>
      <w:pPr>
        <w:jc w:val="both"/>
        <w:ind w:firstLine="654"/>
        <w:spacing w:after="0" w:line="254" w:lineRule="auto"/>
        <w:tabs>
          <w:tab w:leader="none" w:pos="1133"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Duration of Agreement. </w:t>
      </w:r>
      <w:r>
        <w:rPr>
          <w:rFonts w:ascii="Arial" w:cs="Arial" w:eastAsia="Arial" w:hAnsi="Arial"/>
          <w:sz w:val="18"/>
          <w:szCs w:val="18"/>
          <w:color w:val="auto"/>
        </w:rPr>
        <w:t>All agreements and obligations of the Company contained herein shall continue during the period Indemnitee is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Section 7 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85" w:lineRule="exact"/>
        <w:rPr>
          <w:rFonts w:ascii="Arial" w:cs="Arial" w:eastAsia="Arial" w:hAnsi="Arial"/>
          <w:sz w:val="18"/>
          <w:szCs w:val="18"/>
          <w:b w:val="1"/>
          <w:bCs w:val="1"/>
          <w:color w:val="auto"/>
        </w:rPr>
      </w:pPr>
    </w:p>
    <w:p>
      <w:pPr>
        <w:jc w:val="both"/>
        <w:ind w:firstLine="654"/>
        <w:spacing w:after="0" w:line="265" w:lineRule="auto"/>
        <w:tabs>
          <w:tab w:leader="none" w:pos="1152"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To the extent requested by Indemnitee and approved by the Board, the Company may at any time and from time to time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448" w:name="page449"/>
    <w:bookmarkEnd w:id="448"/>
    <w:p>
      <w:pPr>
        <w:ind w:left="1100" w:hanging="446"/>
        <w:spacing w:after="0"/>
        <w:tabs>
          <w:tab w:leader="none" w:pos="110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Enforcement.</w:t>
      </w:r>
    </w:p>
    <w:p>
      <w:pPr>
        <w:spacing w:after="0" w:line="227" w:lineRule="exact"/>
        <w:rPr>
          <w:rFonts w:ascii="Arial" w:cs="Arial" w:eastAsia="Arial" w:hAnsi="Arial"/>
          <w:sz w:val="18"/>
          <w:szCs w:val="18"/>
          <w:b w:val="1"/>
          <w:bCs w:val="1"/>
          <w:color w:val="auto"/>
        </w:rPr>
      </w:pPr>
    </w:p>
    <w:p>
      <w:pPr>
        <w:jc w:val="both"/>
        <w:ind w:firstLine="1300"/>
        <w:spacing w:after="0" w:line="262" w:lineRule="auto"/>
        <w:tabs>
          <w:tab w:leader="none" w:pos="1733"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3" w:lineRule="exact"/>
        <w:rPr>
          <w:rFonts w:ascii="Arial" w:cs="Arial" w:eastAsia="Arial" w:hAnsi="Arial"/>
          <w:sz w:val="18"/>
          <w:szCs w:val="18"/>
          <w:b w:val="1"/>
          <w:bCs w:val="1"/>
          <w:color w:val="auto"/>
        </w:rPr>
      </w:pPr>
    </w:p>
    <w:p>
      <w:pPr>
        <w:jc w:val="both"/>
        <w:ind w:firstLine="1300"/>
        <w:spacing w:after="0" w:line="262" w:lineRule="auto"/>
        <w:tabs>
          <w:tab w:leader="none" w:pos="1765"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Other than as provided herein,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9" w:lineRule="exact"/>
        <w:rPr>
          <w:rFonts w:ascii="Arial" w:cs="Arial" w:eastAsia="Arial" w:hAnsi="Arial"/>
          <w:sz w:val="18"/>
          <w:szCs w:val="18"/>
          <w:b w:val="1"/>
          <w:bCs w:val="1"/>
          <w:color w:val="auto"/>
        </w:rPr>
      </w:pPr>
    </w:p>
    <w:p>
      <w:pPr>
        <w:ind w:left="1100" w:hanging="446"/>
        <w:spacing w:after="0"/>
        <w:tabs>
          <w:tab w:leader="none" w:pos="110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w:t>
      </w:r>
    </w:p>
    <w:p>
      <w:pPr>
        <w:spacing w:after="0" w:line="227" w:lineRule="exact"/>
        <w:rPr>
          <w:rFonts w:ascii="Arial" w:cs="Arial" w:eastAsia="Arial" w:hAnsi="Arial"/>
          <w:sz w:val="18"/>
          <w:szCs w:val="18"/>
          <w:b w:val="1"/>
          <w:bCs w:val="1"/>
          <w:color w:val="auto"/>
        </w:rPr>
      </w:pPr>
    </w:p>
    <w:p>
      <w:pPr>
        <w:jc w:val="both"/>
        <w:ind w:right="20" w:firstLine="1300"/>
        <w:spacing w:after="0" w:line="262" w:lineRule="auto"/>
        <w:tabs>
          <w:tab w:leader="none" w:pos="1833"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83" w:lineRule="exact"/>
        <w:rPr>
          <w:rFonts w:ascii="Arial" w:cs="Arial" w:eastAsia="Arial" w:hAnsi="Arial"/>
          <w:sz w:val="18"/>
          <w:szCs w:val="18"/>
          <w:b w:val="1"/>
          <w:bCs w:val="1"/>
          <w:color w:val="auto"/>
        </w:rPr>
      </w:pPr>
    </w:p>
    <w:p>
      <w:pPr>
        <w:ind w:left="1740" w:hanging="440"/>
        <w:spacing w:after="0"/>
        <w:tabs>
          <w:tab w:leader="none" w:pos="1740"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3" w:lineRule="exact"/>
        <w:rPr>
          <w:rFonts w:ascii="Arial" w:cs="Arial" w:eastAsia="Arial" w:hAnsi="Arial"/>
          <w:sz w:val="18"/>
          <w:szCs w:val="18"/>
          <w:b w:val="1"/>
          <w:bCs w:val="1"/>
          <w:color w:val="auto"/>
        </w:rPr>
      </w:pPr>
    </w:p>
    <w:p>
      <w:pPr>
        <w:ind w:left="1720" w:hanging="420"/>
        <w:spacing w:after="0"/>
        <w:tabs>
          <w:tab w:leader="none" w:pos="1720" w:val="left"/>
        </w:tabs>
        <w:numPr>
          <w:ilvl w:val="1"/>
          <w:numId w:val="39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earliest to occur after the date of this Agreement of any of the following events:</w:t>
      </w:r>
    </w:p>
    <w:p>
      <w:pPr>
        <w:spacing w:after="0" w:line="219" w:lineRule="exact"/>
        <w:rPr>
          <w:rFonts w:ascii="Arial" w:cs="Arial" w:eastAsia="Arial" w:hAnsi="Arial"/>
          <w:sz w:val="18"/>
          <w:szCs w:val="18"/>
          <w:b w:val="1"/>
          <w:bCs w:val="1"/>
          <w:color w:val="auto"/>
        </w:rPr>
      </w:pPr>
    </w:p>
    <w:p>
      <w:pPr>
        <w:ind w:firstLine="1946"/>
        <w:spacing w:after="0" w:line="311" w:lineRule="auto"/>
        <w:tabs>
          <w:tab w:leader="none" w:pos="2450" w:val="left"/>
        </w:tabs>
        <w:numPr>
          <w:ilvl w:val="2"/>
          <w:numId w:val="3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 of Stock by Third Party. </w:t>
      </w:r>
      <w:r>
        <w:rPr>
          <w:rFonts w:ascii="Arial" w:cs="Arial" w:eastAsia="Arial" w:hAnsi="Arial"/>
          <w:sz w:val="17"/>
          <w:szCs w:val="17"/>
          <w:color w:val="auto"/>
        </w:rPr>
        <w:t>Any Person is or becomes the Beneficial Owner (as defined above),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of securities of the Company representing 25% or more of the combined voting power of the Company's then outstanding securities;</w:t>
      </w:r>
    </w:p>
    <w:p>
      <w:pPr>
        <w:spacing w:after="0" w:line="139" w:lineRule="exact"/>
        <w:rPr>
          <w:rFonts w:ascii="Arial" w:cs="Arial" w:eastAsia="Arial" w:hAnsi="Arial"/>
          <w:sz w:val="17"/>
          <w:szCs w:val="17"/>
          <w:b w:val="1"/>
          <w:bCs w:val="1"/>
          <w:color w:val="auto"/>
        </w:rPr>
      </w:pPr>
    </w:p>
    <w:p>
      <w:pPr>
        <w:jc w:val="both"/>
        <w:ind w:firstLine="1946"/>
        <w:spacing w:after="0" w:line="255" w:lineRule="auto"/>
        <w:tabs>
          <w:tab w:leader="none" w:pos="2526" w:val="left"/>
        </w:tabs>
        <w:numPr>
          <w:ilvl w:val="2"/>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Board. </w:t>
      </w:r>
      <w:r>
        <w:rPr>
          <w:rFonts w:ascii="Arial" w:cs="Arial" w:eastAsia="Arial" w:hAnsi="Arial"/>
          <w:sz w:val="18"/>
          <w:szCs w:val="18"/>
          <w:color w:val="auto"/>
        </w:rPr>
        <w:t>During any period of 2 consecutive years (not including any period prior to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individuals who at the beginning of such period constitute the Board, and any new director (other than a director designated by a person who has entered into an agreement with the Company to effect a transaction described in clause (i), (ii) or (iv) of this definition of Change in control)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least a majority of the members of the Board;</w:t>
      </w:r>
    </w:p>
    <w:p>
      <w:pPr>
        <w:spacing w:after="0" w:line="187" w:lineRule="exact"/>
        <w:rPr>
          <w:rFonts w:ascii="Arial" w:cs="Arial" w:eastAsia="Arial" w:hAnsi="Arial"/>
          <w:sz w:val="18"/>
          <w:szCs w:val="18"/>
          <w:b w:val="1"/>
          <w:bCs w:val="1"/>
          <w:color w:val="auto"/>
        </w:rPr>
      </w:pPr>
    </w:p>
    <w:p>
      <w:pPr>
        <w:jc w:val="both"/>
        <w:ind w:firstLine="1946"/>
        <w:spacing w:after="0" w:line="257" w:lineRule="auto"/>
        <w:tabs>
          <w:tab w:leader="none" w:pos="2431" w:val="left"/>
        </w:tabs>
        <w:numPr>
          <w:ilvl w:val="2"/>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The effective date of a merger or consolidation of the Company with any other entity,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or other governing body of such surviving entity;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4" w:right="239" w:bottom="1440" w:gutter="0" w:footer="0" w:header="0"/>
        </w:sectPr>
      </w:pPr>
    </w:p>
    <w:bookmarkStart w:id="449" w:name="page450"/>
    <w:bookmarkEnd w:id="449"/>
    <w:p>
      <w:pPr>
        <w:ind w:right="20" w:firstLine="1946"/>
        <w:spacing w:after="0" w:line="280" w:lineRule="auto"/>
        <w:tabs>
          <w:tab w:leader="none" w:pos="2448" w:val="left"/>
        </w:tabs>
        <w:numPr>
          <w:ilvl w:val="1"/>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 xml:space="preserve">Liquidation. </w:t>
      </w:r>
      <w:r>
        <w:rPr>
          <w:rFonts w:ascii="Arial" w:cs="Arial" w:eastAsia="Arial" w:hAnsi="Arial"/>
          <w:sz w:val="18"/>
          <w:szCs w:val="18"/>
          <w:color w:val="auto"/>
        </w:rPr>
        <w:t>The approval by the stockholders of the Company of a complete liquidation of the Company or 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or disposition by the Company of all or substantially all of the Company's assets; and</w:t>
      </w:r>
    </w:p>
    <w:p>
      <w:pPr>
        <w:spacing w:after="0" w:line="163" w:lineRule="exact"/>
        <w:rPr>
          <w:rFonts w:ascii="Arial" w:cs="Arial" w:eastAsia="Arial" w:hAnsi="Arial"/>
          <w:sz w:val="18"/>
          <w:szCs w:val="18"/>
          <w:b w:val="1"/>
          <w:bCs w:val="1"/>
          <w:color w:val="auto"/>
        </w:rPr>
      </w:pPr>
    </w:p>
    <w:p>
      <w:pPr>
        <w:jc w:val="both"/>
        <w:ind w:firstLine="1946"/>
        <w:spacing w:after="0" w:line="265" w:lineRule="auto"/>
        <w:tabs>
          <w:tab w:leader="none" w:pos="2439" w:val="left"/>
        </w:tabs>
        <w:numPr>
          <w:ilvl w:val="1"/>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Events. </w:t>
      </w:r>
      <w:r>
        <w:rPr>
          <w:rFonts w:ascii="Arial" w:cs="Arial" w:eastAsia="Arial" w:hAnsi="Arial"/>
          <w:sz w:val="18"/>
          <w:szCs w:val="18"/>
          <w:color w:val="auto"/>
        </w:rPr>
        <w:t>There occurs any other event of a nature that would be required to be reported in response to Item 6(e)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14A of Regulation 14A (or a response to any similar item on any similar schedule or form) promulgated under the Exchange Act, whether or not the Company is then subject to such reporting requirement.</w:t>
      </w:r>
    </w:p>
    <w:p>
      <w:pPr>
        <w:spacing w:after="0" w:line="179" w:lineRule="exact"/>
        <w:rPr>
          <w:rFonts w:ascii="Arial" w:cs="Arial" w:eastAsia="Arial" w:hAnsi="Arial"/>
          <w:sz w:val="18"/>
          <w:szCs w:val="18"/>
          <w:b w:val="1"/>
          <w:bCs w:val="1"/>
          <w:color w:val="auto"/>
        </w:rPr>
      </w:pPr>
    </w:p>
    <w:p>
      <w:pPr>
        <w:jc w:val="both"/>
        <w:ind w:firstLine="1300"/>
        <w:spacing w:after="0" w:line="262" w:lineRule="auto"/>
        <w:tabs>
          <w:tab w:leader="none" w:pos="1749"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183" w:lineRule="exact"/>
        <w:rPr>
          <w:rFonts w:ascii="Arial" w:cs="Arial" w:eastAsia="Arial" w:hAnsi="Arial"/>
          <w:sz w:val="18"/>
          <w:szCs w:val="18"/>
          <w:b w:val="1"/>
          <w:bCs w:val="1"/>
          <w:color w:val="auto"/>
        </w:rPr>
      </w:pPr>
    </w:p>
    <w:p>
      <w:pPr>
        <w:ind w:firstLine="1300"/>
        <w:spacing w:after="0" w:line="276" w:lineRule="auto"/>
        <w:tabs>
          <w:tab w:leader="none" w:pos="1742"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non-executive director of the Company who is not and was not a party to the Proceeding in respect of which indemnification is sought by Indemnitee.</w:t>
      </w:r>
    </w:p>
    <w:p>
      <w:pPr>
        <w:spacing w:after="0" w:line="169" w:lineRule="exact"/>
        <w:rPr>
          <w:rFonts w:ascii="Arial" w:cs="Arial" w:eastAsia="Arial" w:hAnsi="Arial"/>
          <w:sz w:val="18"/>
          <w:szCs w:val="18"/>
          <w:b w:val="1"/>
          <w:bCs w:val="1"/>
          <w:color w:val="auto"/>
        </w:rPr>
      </w:pPr>
    </w:p>
    <w:p>
      <w:pPr>
        <w:ind w:firstLine="1300"/>
        <w:spacing w:after="0" w:line="306" w:lineRule="auto"/>
        <w:tabs>
          <w:tab w:leader="none" w:pos="1790" w:val="left"/>
        </w:tabs>
        <w:numPr>
          <w:ilvl w:val="0"/>
          <w:numId w:val="39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Enterprise</w:t>
      </w:r>
      <w:r>
        <w:rPr>
          <w:rFonts w:ascii="Arial" w:cs="Arial" w:eastAsia="Arial" w:hAnsi="Arial"/>
          <w:sz w:val="17"/>
          <w:szCs w:val="17"/>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47" w:lineRule="exact"/>
        <w:rPr>
          <w:rFonts w:ascii="Arial" w:cs="Arial" w:eastAsia="Arial" w:hAnsi="Arial"/>
          <w:sz w:val="17"/>
          <w:szCs w:val="17"/>
          <w:b w:val="1"/>
          <w:bCs w:val="1"/>
          <w:color w:val="auto"/>
        </w:rPr>
      </w:pPr>
    </w:p>
    <w:p>
      <w:pPr>
        <w:ind w:left="1740" w:hanging="440"/>
        <w:spacing w:after="0"/>
        <w:tabs>
          <w:tab w:leader="none" w:pos="174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3" w:lineRule="exact"/>
        <w:rPr>
          <w:rFonts w:ascii="Arial" w:cs="Arial" w:eastAsia="Arial" w:hAnsi="Arial"/>
          <w:sz w:val="18"/>
          <w:szCs w:val="18"/>
          <w:b w:val="1"/>
          <w:bCs w:val="1"/>
          <w:color w:val="auto"/>
        </w:rPr>
      </w:pPr>
    </w:p>
    <w:p>
      <w:pPr>
        <w:jc w:val="both"/>
        <w:ind w:firstLine="1300"/>
        <w:spacing w:after="0" w:line="270" w:lineRule="auto"/>
        <w:tabs>
          <w:tab w:leader="none" w:pos="1735" w:val="left"/>
        </w:tabs>
        <w:numPr>
          <w:ilvl w:val="0"/>
          <w:numId w:val="39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include all documented and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8" w:lineRule="exact"/>
        <w:rPr>
          <w:rFonts w:ascii="Arial" w:cs="Arial" w:eastAsia="Arial" w:hAnsi="Arial"/>
          <w:sz w:val="17"/>
          <w:szCs w:val="17"/>
          <w:b w:val="1"/>
          <w:bCs w:val="1"/>
          <w:color w:val="auto"/>
        </w:rPr>
      </w:pPr>
    </w:p>
    <w:p>
      <w:pPr>
        <w:jc w:val="both"/>
        <w:ind w:firstLine="1300"/>
        <w:spacing w:after="0" w:line="270" w:lineRule="auto"/>
        <w:tabs>
          <w:tab w:leader="none" w:pos="1739" w:val="left"/>
        </w:tabs>
        <w:numPr>
          <w:ilvl w:val="0"/>
          <w:numId w:val="39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78" w:lineRule="exact"/>
        <w:rPr>
          <w:rFonts w:ascii="Arial" w:cs="Arial" w:eastAsia="Arial" w:hAnsi="Arial"/>
          <w:sz w:val="17"/>
          <w:szCs w:val="17"/>
          <w:b w:val="1"/>
          <w:bCs w:val="1"/>
          <w:color w:val="auto"/>
        </w:rPr>
      </w:pPr>
    </w:p>
    <w:p>
      <w:pPr>
        <w:jc w:val="both"/>
        <w:ind w:right="20" w:firstLine="1300"/>
        <w:spacing w:after="0" w:line="258" w:lineRule="auto"/>
        <w:tabs>
          <w:tab w:leader="none" w:pos="1695"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for purposes of the definition of Beneficial Owner and Change in Control set forth above,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3" w:right="239" w:bottom="1440" w:gutter="0" w:footer="0" w:header="0"/>
        </w:sectPr>
      </w:pPr>
    </w:p>
    <w:bookmarkStart w:id="450" w:name="page451"/>
    <w:bookmarkEnd w:id="450"/>
    <w:p>
      <w:pPr>
        <w:jc w:val="both"/>
        <w:ind w:firstLine="1300"/>
        <w:spacing w:after="0" w:line="252" w:lineRule="auto"/>
        <w:tabs>
          <w:tab w:leader="none" w:pos="1924"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him or her or of any inaction on his or her part while acting as an officer or director of the Company, or by reason of the fact that he or she is or was serving at the request of the Company as a director, officer, employee, agent or fiduciary of another corporation, partnership, joint venture, trust or other Enterprise;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pursuant to Section 7 of this Agreement to enforce his or her rights under this Agreement.</w:t>
      </w:r>
    </w:p>
    <w:p>
      <w:pPr>
        <w:spacing w:after="0" w:line="197" w:lineRule="exact"/>
        <w:rPr>
          <w:rFonts w:ascii="Arial" w:cs="Arial" w:eastAsia="Arial" w:hAnsi="Arial"/>
          <w:sz w:val="18"/>
          <w:szCs w:val="18"/>
          <w:b w:val="1"/>
          <w:bCs w:val="1"/>
          <w:color w:val="auto"/>
        </w:rPr>
      </w:pPr>
    </w:p>
    <w:p>
      <w:pPr>
        <w:ind w:left="1700" w:hanging="400"/>
        <w:spacing w:after="0"/>
        <w:tabs>
          <w:tab w:leader="none" w:pos="1700"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shall mean the Sarbanes-Oxley Act of 2002, as amended.</w:t>
      </w:r>
    </w:p>
    <w:p>
      <w:pPr>
        <w:spacing w:after="0" w:line="223" w:lineRule="exact"/>
        <w:rPr>
          <w:rFonts w:ascii="Arial" w:cs="Arial" w:eastAsia="Arial" w:hAnsi="Arial"/>
          <w:sz w:val="18"/>
          <w:szCs w:val="18"/>
          <w:b w:val="1"/>
          <w:bCs w:val="1"/>
          <w:color w:val="auto"/>
        </w:rPr>
      </w:pPr>
    </w:p>
    <w:p>
      <w:pPr>
        <w:ind w:left="1800" w:hanging="500"/>
        <w:spacing w:after="0"/>
        <w:tabs>
          <w:tab w:leader="none" w:pos="1800"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shall mean the Securities and Exchange Commission.</w:t>
      </w:r>
    </w:p>
    <w:p>
      <w:pPr>
        <w:spacing w:after="0" w:line="223" w:lineRule="exact"/>
        <w:rPr>
          <w:rFonts w:ascii="Arial" w:cs="Arial" w:eastAsia="Arial" w:hAnsi="Arial"/>
          <w:sz w:val="18"/>
          <w:szCs w:val="18"/>
          <w:b w:val="1"/>
          <w:bCs w:val="1"/>
          <w:color w:val="auto"/>
        </w:rPr>
      </w:pPr>
    </w:p>
    <w:p>
      <w:pPr>
        <w:ind w:left="1740" w:hanging="440"/>
        <w:spacing w:after="0"/>
        <w:tabs>
          <w:tab w:leader="none" w:pos="1740" w:val="left"/>
        </w:tabs>
        <w:numPr>
          <w:ilvl w:val="1"/>
          <w:numId w:val="39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19" w:lineRule="exact"/>
        <w:rPr>
          <w:rFonts w:ascii="Arial" w:cs="Arial" w:eastAsia="Arial" w:hAnsi="Arial"/>
          <w:sz w:val="18"/>
          <w:szCs w:val="18"/>
          <w:b w:val="1"/>
          <w:bCs w:val="1"/>
          <w:color w:val="auto"/>
        </w:rPr>
      </w:pPr>
    </w:p>
    <w:p>
      <w:pPr>
        <w:jc w:val="both"/>
        <w:ind w:firstLine="654"/>
        <w:spacing w:after="0" w:line="276" w:lineRule="auto"/>
        <w:tabs>
          <w:tab w:leader="none" w:pos="1202"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invalidity or unenforceability of any provision hereof shall in no way affect the validity or enforceability of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Further, the invalidity or unenforceability of any provision hereof as to the Indemnitee shall in no way affect the validity or enforceability of any provision hereof as to the other.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68" w:lineRule="exact"/>
        <w:rPr>
          <w:rFonts w:ascii="Arial" w:cs="Arial" w:eastAsia="Arial" w:hAnsi="Arial"/>
          <w:sz w:val="17"/>
          <w:szCs w:val="17"/>
          <w:b w:val="1"/>
          <w:bCs w:val="1"/>
          <w:color w:val="auto"/>
        </w:rPr>
      </w:pPr>
    </w:p>
    <w:p>
      <w:pPr>
        <w:jc w:val="both"/>
        <w:ind w:firstLine="654"/>
        <w:spacing w:after="0" w:line="265" w:lineRule="auto"/>
        <w:tabs>
          <w:tab w:leader="none" w:pos="1171"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Modification and Waiver. </w:t>
      </w:r>
      <w:r>
        <w:rPr>
          <w:rFonts w:ascii="Arial" w:cs="Arial" w:eastAsia="Arial" w:hAnsi="Arial"/>
          <w:sz w:val="18"/>
          <w:szCs w:val="18"/>
          <w:color w:val="auto"/>
        </w:rPr>
        <w:t>No supplement, modification, termination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Arial" w:cs="Arial" w:eastAsia="Arial" w:hAnsi="Arial"/>
          <w:sz w:val="18"/>
          <w:szCs w:val="18"/>
          <w:b w:val="1"/>
          <w:bCs w:val="1"/>
          <w:color w:val="auto"/>
        </w:rPr>
      </w:pPr>
    </w:p>
    <w:p>
      <w:pPr>
        <w:jc w:val="both"/>
        <w:ind w:firstLine="654"/>
        <w:spacing w:after="0" w:line="280" w:lineRule="auto"/>
        <w:tabs>
          <w:tab w:leader="none" w:pos="1191"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By Indemnitee. </w:t>
      </w:r>
      <w:r>
        <w:rPr>
          <w:rFonts w:ascii="Arial" w:cs="Arial" w:eastAsia="Arial" w:hAnsi="Arial"/>
          <w:sz w:val="17"/>
          <w:szCs w:val="17"/>
          <w:color w:val="auto"/>
        </w:rPr>
        <w:t>Indemnitee agrees promptly to notify the Company in writing upon being served with or otherwise receiving any</w:t>
      </w:r>
      <w:r>
        <w:rPr>
          <w:rFonts w:ascii="Arial" w:cs="Arial" w:eastAsia="Arial" w:hAnsi="Arial"/>
          <w:sz w:val="17"/>
          <w:szCs w:val="17"/>
          <w:b w:val="1"/>
          <w:bCs w:val="1"/>
          <w:color w:val="auto"/>
        </w:rPr>
        <w:t xml:space="preserve"> </w:t>
      </w:r>
      <w:r>
        <w:rPr>
          <w:rFonts w:ascii="Arial" w:cs="Arial" w:eastAsia="Arial" w:hAnsi="Arial"/>
          <w:sz w:val="17"/>
          <w:szCs w:val="17"/>
          <w:color w:val="auto"/>
        </w:rPr>
        <w:t>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7" w:right="239" w:bottom="1440" w:gutter="0" w:footer="0" w:header="0"/>
        </w:sectPr>
      </w:pPr>
    </w:p>
    <w:bookmarkStart w:id="451" w:name="page452"/>
    <w:bookmarkEnd w:id="451"/>
    <w:p>
      <w:pPr>
        <w:ind w:left="1140" w:hanging="486"/>
        <w:spacing w:after="0"/>
        <w:tabs>
          <w:tab w:leader="none" w:pos="1140"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6387465</wp:posOffset>
            </wp:positionH>
            <wp:positionV relativeFrom="page">
              <wp:posOffset>242570</wp:posOffset>
            </wp:positionV>
            <wp:extent cx="1017270" cy="529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 xml:space="preserve">Notices. </w:t>
      </w:r>
      <w:r>
        <w:rPr>
          <w:rFonts w:ascii="Arial" w:cs="Arial" w:eastAsia="Arial" w:hAnsi="Arial"/>
          <w:sz w:val="16"/>
          <w:szCs w:val="16"/>
          <w:color w:val="auto"/>
        </w:rPr>
        <w:t>All notices and other communications given or made pursuant to this Agreement shall be in writing and shall be deemed effectively</w:t>
      </w:r>
    </w:p>
    <w:p>
      <w:pPr>
        <w:spacing w:after="0" w:line="49" w:lineRule="exact"/>
        <w:rPr>
          <w:rFonts w:ascii="Arial" w:cs="Arial" w:eastAsia="Arial" w:hAnsi="Arial"/>
          <w:sz w:val="16"/>
          <w:szCs w:val="16"/>
          <w:b w:val="1"/>
          <w:bCs w:val="1"/>
          <w:color w:val="auto"/>
        </w:rPr>
      </w:pPr>
    </w:p>
    <w:p>
      <w:pPr>
        <w:jc w:val="both"/>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given: (a) upon personal delivery to the party to be notified, (b) when sent by confirmed electronic mail or facsimile if sent during normal business hours of the recipient, and if not so confirmed, then on the next business day, (c)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92" w:lineRule="exact"/>
        <w:rPr>
          <w:rFonts w:ascii="Arial" w:cs="Arial" w:eastAsia="Arial" w:hAnsi="Arial"/>
          <w:sz w:val="16"/>
          <w:szCs w:val="16"/>
          <w:b w:val="1"/>
          <w:bCs w:val="1"/>
          <w:color w:val="auto"/>
        </w:rPr>
      </w:pPr>
    </w:p>
    <w:p>
      <w:pPr>
        <w:ind w:left="1780" w:hanging="480"/>
        <w:spacing w:after="0"/>
        <w:tabs>
          <w:tab w:leader="none" w:pos="1780"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t>To Indemnitee at the address set forth below Indemnitee’s signature hereto.</w:t>
      </w:r>
    </w:p>
    <w:p>
      <w:pPr>
        <w:spacing w:after="0" w:line="250" w:lineRule="exact"/>
        <w:rPr>
          <w:rFonts w:ascii="Arial" w:cs="Arial" w:eastAsia="Arial" w:hAnsi="Arial"/>
          <w:sz w:val="18"/>
          <w:szCs w:val="18"/>
          <w:b w:val="1"/>
          <w:bCs w:val="1"/>
          <w:color w:val="auto"/>
        </w:rPr>
      </w:pPr>
    </w:p>
    <w:p>
      <w:pPr>
        <w:ind w:left="1780" w:hanging="480"/>
        <w:spacing w:after="0"/>
        <w:tabs>
          <w:tab w:leader="none" w:pos="1780" w:val="left"/>
        </w:tabs>
        <w:numPr>
          <w:ilvl w:val="1"/>
          <w:numId w:val="399"/>
        </w:numPr>
        <w:rPr>
          <w:rFonts w:ascii="Arial" w:cs="Arial" w:eastAsia="Arial" w:hAnsi="Arial"/>
          <w:sz w:val="18"/>
          <w:szCs w:val="18"/>
          <w:b w:val="1"/>
          <w:bCs w:val="1"/>
          <w:color w:val="auto"/>
        </w:rPr>
      </w:pPr>
      <w:r>
        <w:rPr>
          <w:rFonts w:ascii="Arial" w:cs="Arial" w:eastAsia="Arial" w:hAnsi="Arial"/>
          <w:sz w:val="18"/>
          <w:szCs w:val="18"/>
          <w:color w:val="auto"/>
        </w:rPr>
        <w:t>To the Company at:</w:t>
      </w:r>
    </w:p>
    <w:p>
      <w:pPr>
        <w:spacing w:after="0" w:line="25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385 Oyster Point Blvd., Suite 9a</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South San Francisco, CA 94080</w:t>
      </w:r>
    </w:p>
    <w:p>
      <w:pPr>
        <w:spacing w:after="0" w:line="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Attention: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220" w:lineRule="exact"/>
        <w:rPr>
          <w:sz w:val="20"/>
          <w:szCs w:val="20"/>
          <w:color w:val="auto"/>
        </w:rPr>
      </w:pPr>
    </w:p>
    <w:p>
      <w:pPr>
        <w:jc w:val="both"/>
        <w:ind w:firstLine="654"/>
        <w:spacing w:after="0" w:line="292" w:lineRule="auto"/>
        <w:tabs>
          <w:tab w:leader="none" w:pos="1162"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two or more counterparts, each of which shall be deemed an original, but all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shall constitute one and the same Agreement. This Agreement may also be executed and delivered by facsimile signature, electronic mail (including</w:t>
      </w:r>
    </w:p>
    <w:p>
      <w:pPr>
        <w:spacing w:after="0" w:line="1" w:lineRule="exact"/>
        <w:rPr>
          <w:rFonts w:ascii="Arial" w:cs="Arial" w:eastAsia="Arial" w:hAnsi="Arial"/>
          <w:sz w:val="16"/>
          <w:szCs w:val="16"/>
          <w:b w:val="1"/>
          <w:bCs w:val="1"/>
          <w:color w:val="auto"/>
        </w:rPr>
      </w:pPr>
    </w:p>
    <w:p>
      <w:pPr>
        <w:jc w:val="both"/>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 xml:space="preserve">.pdf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in two or more counterparts, each of which shall be deemed an original, but all of which together shall constitute one and the same instrument and be deemed to have been duly and validly delivered and be valid and effective for all purposes.</w:t>
      </w:r>
    </w:p>
    <w:p>
      <w:pPr>
        <w:spacing w:after="0" w:line="185" w:lineRule="exact"/>
        <w:rPr>
          <w:rFonts w:ascii="Arial" w:cs="Arial" w:eastAsia="Arial" w:hAnsi="Arial"/>
          <w:sz w:val="16"/>
          <w:szCs w:val="16"/>
          <w:b w:val="1"/>
          <w:bCs w:val="1"/>
          <w:color w:val="auto"/>
        </w:rPr>
      </w:pPr>
    </w:p>
    <w:p>
      <w:pPr>
        <w:ind w:firstLine="654"/>
        <w:spacing w:after="0" w:line="280" w:lineRule="auto"/>
        <w:tabs>
          <w:tab w:leader="none" w:pos="1135"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163" w:lineRule="exact"/>
        <w:rPr>
          <w:rFonts w:ascii="Arial" w:cs="Arial" w:eastAsia="Arial" w:hAnsi="Arial"/>
          <w:sz w:val="18"/>
          <w:szCs w:val="18"/>
          <w:b w:val="1"/>
          <w:bCs w:val="1"/>
          <w:color w:val="auto"/>
        </w:rPr>
      </w:pPr>
    </w:p>
    <w:p>
      <w:pPr>
        <w:jc w:val="both"/>
        <w:ind w:firstLine="654"/>
        <w:spacing w:after="0" w:line="269" w:lineRule="auto"/>
        <w:tabs>
          <w:tab w:leader="none" w:pos="1121" w:val="left"/>
        </w:tabs>
        <w:numPr>
          <w:ilvl w:val="0"/>
          <w:numId w:val="4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Consent to Jurisdiction. </w:t>
      </w:r>
      <w:r>
        <w:rPr>
          <w:rFonts w:ascii="Arial" w:cs="Arial" w:eastAsia="Arial" w:hAnsi="Arial"/>
          <w:sz w:val="17"/>
          <w:szCs w:val="17"/>
          <w:color w:val="auto"/>
        </w:rPr>
        <w:t>This Agreement and the legal relations among the parties shall be governed by, and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7"/>
          <w:szCs w:val="17"/>
          <w:b w:val="1"/>
          <w:bCs w:val="1"/>
          <w:i w:val="1"/>
          <w:iCs w:val="1"/>
          <w:color w:val="auto"/>
        </w:rPr>
        <w:t>Delaware Court</w:t>
      </w:r>
      <w:r>
        <w:rPr>
          <w:rFonts w:ascii="Arial" w:cs="Arial" w:eastAsia="Arial" w:hAnsi="Arial"/>
          <w:sz w:val="17"/>
          <w:szCs w:val="17"/>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as its agent in the State of Delaware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413" w:right="23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6387465</wp:posOffset>
            </wp:positionH>
            <wp:positionV relativeFrom="page">
              <wp:posOffset>243205</wp:posOffset>
            </wp:positionV>
            <wp:extent cx="1017270" cy="529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1017270" cy="52959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2"/>
          <w:szCs w:val="12"/>
          <w:color w:val="auto"/>
        </w:rPr>
        <w:t>THE PARTIES HERETO HAVE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GREEMENT ON AND AS OF THE DAY AND YEAR FIRST ABOVE WRITTEN</w:t>
      </w:r>
      <w:r>
        <w:rPr>
          <w:rFonts w:ascii="Arial" w:cs="Arial" w:eastAsia="Arial" w:hAnsi="Arial"/>
          <w:sz w:val="18"/>
          <w:szCs w:val="18"/>
          <w:color w:val="auto"/>
        </w:rPr>
        <w:t>.</w:t>
      </w: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AXART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14605</wp:posOffset>
            </wp:positionV>
            <wp:extent cx="25298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6">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Wouter Latour</w:t>
      </w:r>
    </w:p>
    <w:p>
      <w:pPr>
        <w:spacing w:after="0" w:line="22"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INDEMNITEE</w:t>
      </w:r>
    </w:p>
    <w:p>
      <w:pPr>
        <w:spacing w:after="0" w:line="200" w:lineRule="exact"/>
        <w:rPr>
          <w:sz w:val="20"/>
          <w:szCs w:val="20"/>
          <w:color w:val="auto"/>
        </w:rPr>
      </w:pPr>
    </w:p>
    <w:p>
      <w:pPr>
        <w:spacing w:after="0" w:line="25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-130175</wp:posOffset>
            </wp:positionV>
            <wp:extent cx="27520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7">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151130</wp:posOffset>
            </wp:positionV>
            <wp:extent cx="27520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275209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296545</wp:posOffset>
            </wp:positionV>
            <wp:extent cx="27520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2752090"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441960</wp:posOffset>
            </wp:positionV>
            <wp:extent cx="27520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ectPr>
          <w:pgSz w:w="11900" w:h="16838" w:orient="portrait"/>
          <w:cols w:equalWidth="0" w:num="1">
            <w:col w:w="9559"/>
          </w:cols>
          <w:pgMar w:left="900" w:top="1414" w:right="1440"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10.24</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WEST COAST BIOLOGICALS,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July 13, 2007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December 14, 2009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February 28, 2012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on July 18, 2013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May 8,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July 17,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July 23,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March 25, 2016</w:t>
      </w:r>
    </w:p>
    <w:p>
      <w:pPr>
        <w:spacing w:after="0" w:line="200" w:lineRule="exact"/>
        <w:rPr>
          <w:sz w:val="20"/>
          <w:szCs w:val="20"/>
          <w:color w:val="auto"/>
        </w:rPr>
      </w:pPr>
    </w:p>
    <w:p>
      <w:pPr>
        <w:spacing w:after="0" w:line="221" w:lineRule="exact"/>
        <w:rPr>
          <w:sz w:val="20"/>
          <w:szCs w:val="20"/>
          <w:color w:val="auto"/>
        </w:rPr>
      </w:pPr>
    </w:p>
    <w:p>
      <w:pPr>
        <w:jc w:val="both"/>
        <w:ind w:firstLine="654"/>
        <w:spacing w:after="0" w:line="273" w:lineRule="auto"/>
        <w:tabs>
          <w:tab w:leader="none" w:pos="1126"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this Plan is to provide incentives to attract, retain and motivate eligible persons whose present and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contributions are important to the success of the Company, its Parent and Subsidiaries, by offering them an opportunity to participate in the Company’s future performance through awards of Options and Restricted Stock. Capitalized terms not defined in the text are defined in Section 22 hereof. Although this Plan is intended to be a written compensatory benefit plan within the meaning of Rule 701 promulgated under the Securities Act, grants may be made pursuant to this plan which do not qualify for exemption under Rule 701 or Section 25102(o) of the California Corporations Code. Any requirement of this Plan which is required in law only because of Section 25102(o) need not apply if the Committee so provides.</w:t>
      </w:r>
    </w:p>
    <w:p>
      <w:pPr>
        <w:spacing w:after="0" w:line="173" w:lineRule="exact"/>
        <w:rPr>
          <w:rFonts w:ascii="Arial" w:cs="Arial" w:eastAsia="Arial" w:hAnsi="Arial"/>
          <w:sz w:val="17"/>
          <w:szCs w:val="17"/>
          <w:b w:val="1"/>
          <w:bCs w:val="1"/>
          <w:color w:val="auto"/>
        </w:rPr>
      </w:pPr>
    </w:p>
    <w:p>
      <w:pPr>
        <w:ind w:left="1020" w:hanging="366"/>
        <w:spacing w:after="0"/>
        <w:tabs>
          <w:tab w:leader="none" w:pos="102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Number of Shares Available</w:t>
      </w:r>
      <w:r>
        <w:rPr>
          <w:rFonts w:ascii="Arial" w:cs="Arial" w:eastAsia="Arial" w:hAnsi="Arial"/>
          <w:sz w:val="18"/>
          <w:szCs w:val="18"/>
          <w:color w:val="auto"/>
        </w:rPr>
        <w:t>. Subject to Sections 2.2 and 17, the total number of Shares reserved and available for grant and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Plan will be 12,276,285 Shares plus (a) any authorized shares not issued or subject to outstanding grants under the 2004 Equity Incentive Plan of West Coats Biologicals, Inc., a California corporation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on the Effective Date (as defined in Section 19 below); (b) shares that are subject to issuance upon exercise of an option granted under the Prior Plan outstanding as of the Effective Date but cease to be subject to such option for any reason other than exercise of such option; and (c) shares that were issued under the Prior Plan which are repurchased by the Company at the original issue price or forfeited or such lesser number of Shares as permitted under Section 260.140.45 of Title 10 of the California Code of Regulations, for a total maximum plan of 20,772,285 Shares.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Sections 2.2, 5.10 and 17 hereof, Shares subject to Awards previously granted will again be available for grant and issuance in connection with future Awards under this Plan to the extent such Shares: (i) cease to be subject to issuance upon exercise of an Option, other than due to exercise of such Option; (ii) are subject to an Award granted hereunder but the Shares subject to such Award are forfeited or repurchased by the Company at the original issue price; or (iii) are subject to an Award that otherwise terminates without Shares being issued. At all times the Company will reserve and keep available a sufficient number of Shares as will be required to satisfy the requirements of all Awards granted and outstanding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54" w:name="page455"/>
    <w:bookmarkEnd w:id="454"/>
    <w:p>
      <w:pPr>
        <w:jc w:val="both"/>
        <w:ind w:firstLine="1292"/>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Adjustment of Shares</w:t>
      </w:r>
      <w:r>
        <w:rPr>
          <w:rFonts w:ascii="Arial" w:cs="Arial" w:eastAsia="Arial" w:hAnsi="Arial"/>
          <w:sz w:val="16"/>
          <w:szCs w:val="16"/>
          <w:color w:val="auto"/>
        </w:rPr>
        <w:t>. In the event that the number of outstanding shares of the Company’s Common Stock is changed by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recapitalization, stock split, reverse stock split, subdivision, combination, reclassification or similar change in the capital structure of the Company without consideration, then (i) the number of Shares reserved for issuance under this Plan, (ii) the Exercise Prices of and number of Shares subject to outstanding Options and (iii) the Purchase Prices of and number of Shares subject to other outstanding Awards will be proportionately adjusted, subject to any required action by the Board or the stockholders of the Company and compliance with applicable securities laws; provided, however, that fractions of a Share will not be issued but will either be paid in cash at the Fair Market Value of such fraction of a Share or will be rounded down to the nearest whole Share, as determined by the Committee; and provided, further, that the Exercise Price of any Option may not be decreased to below the par value of the Shares.</w:t>
      </w:r>
    </w:p>
    <w:p>
      <w:pPr>
        <w:spacing w:after="0" w:line="161" w:lineRule="exact"/>
        <w:rPr>
          <w:sz w:val="20"/>
          <w:szCs w:val="20"/>
          <w:color w:val="auto"/>
        </w:rPr>
      </w:pPr>
    </w:p>
    <w:p>
      <w:pPr>
        <w:jc w:val="both"/>
        <w:ind w:firstLine="654"/>
        <w:spacing w:after="0" w:line="257" w:lineRule="auto"/>
        <w:tabs>
          <w:tab w:leader="none" w:pos="1139"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ISOs (as defined in Section 5 hereof) may be granted only to employees (including officers and directors who are also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or of a Parent or Subsidiary of the Company. NQSOs (as defined in Section 5 hereof) and Restricted Stock Awards may be granted to employees, officers, directors and consultants of the Company or any Parent or Subsidiary of the Company; provided such consultants render bona fide services not in connection with the offer and sale of securities in a capital-raising transaction. A person may be granted more than one Award under this Plan.</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Company grants an Award to any Participant, which such Award would constitute with respect to such Participant (taking into account all shares of Common Stock, Awards and other purchase rights held by such Participant) one percent (1%) or more of the Company’s then outstanding Common Stock (treating for this purpose all shares of Common Stock issuable upon exercise of or conversion of outstanding options, warrants or convertible securities, as if exercised or converted), the Company shall, as a condition to such grant, cause such Participant to execute a counterpart signature page to that certain Amended and Restated Voting Agreement, by and among the Company and the parties identified therein, dated as of July 24, 2013 and as may be amended and restated from time to time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as a “Key Stockholder” thereunder (as defined in the Voting Agreement), and such person shall thereby be bound by, and subject to all the terms and provisions of the Voting Agreement applicable to a Key Stockholder.</w:t>
      </w:r>
    </w:p>
    <w:p>
      <w:pPr>
        <w:spacing w:after="0" w:line="162" w:lineRule="exact"/>
        <w:rPr>
          <w:sz w:val="20"/>
          <w:szCs w:val="20"/>
          <w:color w:val="auto"/>
        </w:rPr>
      </w:pPr>
    </w:p>
    <w:p>
      <w:pPr>
        <w:ind w:left="1020" w:hanging="366"/>
        <w:spacing w:after="0"/>
        <w:tabs>
          <w:tab w:leader="none" w:pos="102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 This Plan will be administered by the Committee or the Board if no Committee is created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general purposes, terms and conditions of this Plan, and to the direction of the Board, the Committee will have full power to implement and carry out this Plan. Without limitation, the Committee will have the authority to:</w:t>
      </w:r>
    </w:p>
    <w:p>
      <w:pPr>
        <w:spacing w:after="0" w:line="180" w:lineRule="exact"/>
        <w:rPr>
          <w:sz w:val="20"/>
          <w:szCs w:val="20"/>
          <w:color w:val="auto"/>
        </w:rPr>
      </w:pPr>
    </w:p>
    <w:p>
      <w:pPr>
        <w:ind w:left="5660" w:right="100" w:hanging="3714"/>
        <w:spacing w:after="0" w:line="525" w:lineRule="auto"/>
        <w:tabs>
          <w:tab w:leader="none" w:pos="23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construe and interpret this Plan, any Award Agreement and any other agreement or document executed pursuant to this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725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55" w:name="page456"/>
    <w:bookmarkEnd w:id="455"/>
    <w:p>
      <w:pPr>
        <w:ind w:left="2380" w:hanging="434"/>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w:t>
      </w:r>
    </w:p>
    <w:p>
      <w:pPr>
        <w:spacing w:after="0" w:line="223" w:lineRule="exact"/>
        <w:rPr>
          <w:rFonts w:ascii="Arial" w:cs="Arial" w:eastAsia="Arial" w:hAnsi="Arial"/>
          <w:sz w:val="18"/>
          <w:szCs w:val="18"/>
          <w:color w:val="auto"/>
        </w:rPr>
      </w:pPr>
    </w:p>
    <w:p>
      <w:pPr>
        <w:ind w:left="2360" w:hanging="414"/>
        <w:spacing w:after="0"/>
        <w:tabs>
          <w:tab w:leader="none" w:pos="2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approve persons to receive Awards;</w:t>
      </w:r>
    </w:p>
    <w:p>
      <w:pPr>
        <w:spacing w:after="0" w:line="223" w:lineRule="exact"/>
        <w:rPr>
          <w:rFonts w:ascii="Arial" w:cs="Arial" w:eastAsia="Arial" w:hAnsi="Arial"/>
          <w:sz w:val="18"/>
          <w:szCs w:val="18"/>
          <w:color w:val="auto"/>
        </w:rPr>
      </w:pPr>
    </w:p>
    <w:p>
      <w:pPr>
        <w:ind w:left="2380" w:hanging="434"/>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223" w:lineRule="exact"/>
        <w:rPr>
          <w:rFonts w:ascii="Arial" w:cs="Arial" w:eastAsia="Arial" w:hAnsi="Arial"/>
          <w:sz w:val="18"/>
          <w:szCs w:val="18"/>
          <w:color w:val="auto"/>
        </w:rPr>
      </w:pPr>
    </w:p>
    <w:p>
      <w:pPr>
        <w:ind w:left="2360" w:hanging="414"/>
        <w:spacing w:after="0"/>
        <w:tabs>
          <w:tab w:leader="none" w:pos="2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223" w:lineRule="exact"/>
        <w:rPr>
          <w:rFonts w:ascii="Arial" w:cs="Arial" w:eastAsia="Arial" w:hAnsi="Arial"/>
          <w:sz w:val="18"/>
          <w:szCs w:val="18"/>
          <w:color w:val="auto"/>
        </w:rPr>
      </w:pPr>
    </w:p>
    <w:p>
      <w:pPr>
        <w:ind w:firstLine="1946"/>
        <w:spacing w:after="0" w:line="340" w:lineRule="auto"/>
        <w:tabs>
          <w:tab w:leader="none" w:pos="2385" w:val="left"/>
        </w:tabs>
        <w:numPr>
          <w:ilvl w:val="0"/>
          <w:numId w:val="405"/>
        </w:numPr>
        <w:rPr>
          <w:rFonts w:ascii="Arial" w:cs="Arial" w:eastAsia="Arial" w:hAnsi="Arial"/>
          <w:sz w:val="16"/>
          <w:szCs w:val="16"/>
          <w:color w:val="auto"/>
        </w:rPr>
      </w:pPr>
      <w:r>
        <w:rPr>
          <w:rFonts w:ascii="Arial" w:cs="Arial" w:eastAsia="Arial" w:hAnsi="Arial"/>
          <w:sz w:val="16"/>
          <w:szCs w:val="16"/>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24" w:lineRule="exact"/>
        <w:rPr>
          <w:rFonts w:ascii="Arial" w:cs="Arial" w:eastAsia="Arial" w:hAnsi="Arial"/>
          <w:sz w:val="16"/>
          <w:szCs w:val="16"/>
          <w:color w:val="auto"/>
        </w:rPr>
      </w:pPr>
    </w:p>
    <w:p>
      <w:pPr>
        <w:ind w:left="2380" w:hanging="434"/>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grant waivers of any conditions of this Plan or any Award;</w:t>
      </w:r>
    </w:p>
    <w:p>
      <w:pPr>
        <w:spacing w:after="0" w:line="223" w:lineRule="exact"/>
        <w:rPr>
          <w:rFonts w:ascii="Arial" w:cs="Arial" w:eastAsia="Arial" w:hAnsi="Arial"/>
          <w:sz w:val="18"/>
          <w:szCs w:val="18"/>
          <w:color w:val="auto"/>
        </w:rPr>
      </w:pPr>
    </w:p>
    <w:p>
      <w:pPr>
        <w:ind w:left="2380" w:hanging="434"/>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determine the terms of vesting, exercisability and payment of Awards;</w:t>
      </w:r>
    </w:p>
    <w:p>
      <w:pPr>
        <w:spacing w:after="0" w:line="223" w:lineRule="exact"/>
        <w:rPr>
          <w:rFonts w:ascii="Arial" w:cs="Arial" w:eastAsia="Arial" w:hAnsi="Arial"/>
          <w:sz w:val="18"/>
          <w:szCs w:val="18"/>
          <w:color w:val="auto"/>
        </w:rPr>
      </w:pPr>
    </w:p>
    <w:p>
      <w:pPr>
        <w:ind w:firstLine="1946"/>
        <w:spacing w:after="0" w:line="276" w:lineRule="auto"/>
        <w:tabs>
          <w:tab w:leader="none" w:pos="237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any Award Agreement, any Exercise Agreement or any Restricted Stock Purchase Agreement;</w:t>
      </w:r>
    </w:p>
    <w:p>
      <w:pPr>
        <w:spacing w:after="0" w:line="169" w:lineRule="exact"/>
        <w:rPr>
          <w:rFonts w:ascii="Arial" w:cs="Arial" w:eastAsia="Arial" w:hAnsi="Arial"/>
          <w:sz w:val="18"/>
          <w:szCs w:val="18"/>
          <w:color w:val="auto"/>
        </w:rPr>
      </w:pPr>
    </w:p>
    <w:p>
      <w:pPr>
        <w:ind w:left="2340" w:hanging="394"/>
        <w:spacing w:after="0"/>
        <w:tabs>
          <w:tab w:leader="none" w:pos="23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223" w:lineRule="exact"/>
        <w:rPr>
          <w:rFonts w:ascii="Arial" w:cs="Arial" w:eastAsia="Arial" w:hAnsi="Arial"/>
          <w:sz w:val="18"/>
          <w:szCs w:val="18"/>
          <w:color w:val="auto"/>
        </w:rPr>
      </w:pPr>
    </w:p>
    <w:p>
      <w:pPr>
        <w:ind w:left="2380" w:hanging="434"/>
        <w:spacing w:after="0"/>
        <w:tabs>
          <w:tab w:leader="none" w:pos="238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223" w:lineRule="exact"/>
        <w:rPr>
          <w:rFonts w:ascii="Arial" w:cs="Arial" w:eastAsia="Arial" w:hAnsi="Arial"/>
          <w:sz w:val="18"/>
          <w:szCs w:val="18"/>
          <w:color w:val="auto"/>
        </w:rPr>
      </w:pPr>
    </w:p>
    <w:p>
      <w:pPr>
        <w:ind w:left="2340" w:hanging="394"/>
        <w:spacing w:after="0"/>
        <w:tabs>
          <w:tab w:leader="none" w:pos="23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extend the vesting period beyond a Participant’s Termination Date.</w:t>
      </w:r>
    </w:p>
    <w:p>
      <w:pPr>
        <w:spacing w:after="0" w:line="220"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Committee Discretion</w:t>
      </w:r>
      <w:r>
        <w:rPr>
          <w:rFonts w:ascii="Arial" w:cs="Arial" w:eastAsia="Arial" w:hAnsi="Arial"/>
          <w:sz w:val="18"/>
          <w:szCs w:val="18"/>
          <w:color w:val="auto"/>
        </w:rPr>
        <w:t>. Unless in contravention of any express terms of this Plan or Award, any determination made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with respect to any Award will be made in its sole discretion either (i) at the time of grant of the Award, or (ii) subject to Section 5.9 hereof, at any later time. Any such determination will be final and binding on the Company and on all persons having an interest in any Award under this Plan. The Committee may delegate to one or more officers of the Company the authority to grant an Award under this Plan, provided such officer or officers are members of the Board.</w:t>
      </w:r>
    </w:p>
    <w:p>
      <w:pPr>
        <w:spacing w:after="0" w:line="184" w:lineRule="exact"/>
        <w:rPr>
          <w:sz w:val="20"/>
          <w:szCs w:val="20"/>
          <w:color w:val="auto"/>
        </w:rPr>
      </w:pPr>
    </w:p>
    <w:p>
      <w:pPr>
        <w:jc w:val="both"/>
        <w:ind w:firstLine="654"/>
        <w:spacing w:after="0" w:line="260" w:lineRule="auto"/>
        <w:tabs>
          <w:tab w:leader="none" w:pos="1032"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grant Options to eligible persons described in Section 3 hereof and will determine whether such Options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Incentive Stock Options within the meaning of the Code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or Nonqualified Stock Options (“</w:t>
      </w:r>
      <w:r>
        <w:rPr>
          <w:rFonts w:ascii="Arial" w:cs="Arial" w:eastAsia="Arial" w:hAnsi="Arial"/>
          <w:sz w:val="18"/>
          <w:szCs w:val="18"/>
          <w:b w:val="1"/>
          <w:bCs w:val="1"/>
          <w:i w:val="1"/>
          <w:iCs w:val="1"/>
          <w:color w:val="auto"/>
        </w:rPr>
        <w:t>NQSOs</w:t>
      </w:r>
      <w:r>
        <w:rPr>
          <w:rFonts w:ascii="Arial" w:cs="Arial" w:eastAsia="Arial" w:hAnsi="Arial"/>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80" w:lineRule="exact"/>
        <w:rPr>
          <w:sz w:val="20"/>
          <w:szCs w:val="20"/>
          <w:color w:val="auto"/>
        </w:rPr>
      </w:pPr>
    </w:p>
    <w:p>
      <w:pPr>
        <w:jc w:val="both"/>
        <w:ind w:firstLine="1292"/>
        <w:spacing w:after="0" w:line="313"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Form of Option Grant</w:t>
      </w:r>
      <w:r>
        <w:rPr>
          <w:rFonts w:ascii="Arial" w:cs="Arial" w:eastAsia="Arial" w:hAnsi="Arial"/>
          <w:sz w:val="16"/>
          <w:szCs w:val="16"/>
          <w:color w:val="auto"/>
        </w:rPr>
        <w:t>. Each Option granted under this Plan will be evidenced by an Award Agreement which will expressly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as an 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56" w:name="page457"/>
    <w:bookmarkEnd w:id="456"/>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a later date is otherwise specified by the Committee. The Stock Option Agreement and a copy of this Plan will be delivered to the Participant within a reasonable time after the granting of the Option.</w:t>
      </w:r>
    </w:p>
    <w:p>
      <w:pPr>
        <w:spacing w:after="0" w:line="176"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Exercise Period</w:t>
      </w:r>
      <w:r>
        <w:rPr>
          <w:rFonts w:ascii="Arial" w:cs="Arial" w:eastAsia="Arial" w:hAnsi="Arial"/>
          <w:sz w:val="17"/>
          <w:szCs w:val="17"/>
          <w:color w:val="auto"/>
        </w:rPr>
        <w:t>. Options may be exercisable immediately but subject to repurchase pursuant to Section 11 hereof or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within the times or upon the events determined by the Committee as set forth in the Stock Option Agreement governing such Option; provided, however, that no Option will be exercisable after the expiration of ten (10) years from the date the Option is granted; and provided further that no ISO granted to a person who directly or by attribution owns more than ten percent (10%) of the total combined voting power of all classes of stock of the Company or of any Parent or Subsidiary of the Company (“</w:t>
      </w:r>
      <w:r>
        <w:rPr>
          <w:rFonts w:ascii="Arial" w:cs="Arial" w:eastAsia="Arial" w:hAnsi="Arial"/>
          <w:sz w:val="17"/>
          <w:szCs w:val="17"/>
          <w:b w:val="1"/>
          <w:bCs w:val="1"/>
          <w:i w:val="1"/>
          <w:iCs w:val="1"/>
          <w:color w:val="auto"/>
        </w:rPr>
        <w:t>Ten Percent Shareholder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 Subject to earlier termination of the Option as provided herein, to the extent section 25102(o) of the California Corporations Code is intended to apply, each Participant who is not an officer, director or consultant of the Company or of a Parent or Subsidiary of the Company shall have the right to exercise an Option granted hereunder at the rate of no less than twenty percent (20%) per year over five (5) years from the date such Option is granted.</w:t>
      </w:r>
    </w:p>
    <w:p>
      <w:pPr>
        <w:spacing w:after="0" w:line="178"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Exercise Price of an Option will be determined by the Committee when the Option is granted and may not be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eighty-five percent (85%) of the Fair Market Value of the Shares on the date of grant; provided that (i) the Exercise Price of an ISO will not be less than one hundred percent (100%) of the Fair Market Value of the Shares on the date of grant and (ii) the Exercise Price of any Option granted to a Ten Percent Shareholder will not be less than one hundred ten percent (110%) of the Fair Market Value of the Shares on the date of grant. Payment for the Shares purchased must be made in accordance with Section 7 hereof.</w:t>
      </w:r>
    </w:p>
    <w:p>
      <w:pPr>
        <w:spacing w:after="0" w:line="184" w:lineRule="exact"/>
        <w:rPr>
          <w:sz w:val="20"/>
          <w:szCs w:val="20"/>
          <w:color w:val="auto"/>
        </w:rPr>
      </w:pPr>
    </w:p>
    <w:p>
      <w:pPr>
        <w:jc w:val="both"/>
        <w:ind w:firstLine="1292"/>
        <w:spacing w:after="0" w:line="273"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b w:val="1"/>
          <w:bCs w:val="1"/>
          <w:u w:val="single" w:color="auto"/>
          <w:color w:val="auto"/>
        </w:rPr>
        <w:t>Method of Exercise</w:t>
      </w:r>
      <w:r>
        <w:rPr>
          <w:rFonts w:ascii="Arial" w:cs="Arial" w:eastAsia="Arial" w:hAnsi="Arial"/>
          <w:sz w:val="17"/>
          <w:szCs w:val="17"/>
          <w:color w:val="auto"/>
        </w:rPr>
        <w:t>. Options may be exercised only by delivery to the Company of a written stock option exercise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Exercise Agreement</w:t>
      </w:r>
      <w:r>
        <w:rPr>
          <w:rFonts w:ascii="Arial" w:cs="Arial" w:eastAsia="Arial" w:hAnsi="Arial"/>
          <w:sz w:val="17"/>
          <w:szCs w:val="17"/>
          <w:color w:val="auto"/>
        </w:rPr>
        <w:t>”) in a form approved by the Committee (which need not be the same for each Participant). The Exercise Agreement will state (i) the number of Shares being purchased, (ii) the restrictions imposed on the Shares purchased under such Exercise Agreement, if any, and (iii) such representations and agreements regarding Participant’s investment intent and access to information and other matters, if any, as may be required or desirable by the Company to comply with applicable securities laws. Participant shall execute and deliver to the Company the Exercise Agreement together with payment in full of the Exercise Price, and any applicable taxes, for the number of Shares being purchased.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57" w:name="page458"/>
    <w:bookmarkEnd w:id="457"/>
    <w:p>
      <w:pPr>
        <w:ind w:firstLine="1292"/>
        <w:spacing w:after="0" w:line="280"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Subject to earlier termination pursuant to Sections 17 and 18 hereof and notwithstanding the exercise periods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Stock Option Agreement, exercise of an Option will always be subject to the following:</w:t>
      </w:r>
    </w:p>
    <w:p>
      <w:pPr>
        <w:spacing w:after="0" w:line="167" w:lineRule="exact"/>
        <w:rPr>
          <w:sz w:val="20"/>
          <w:szCs w:val="20"/>
          <w:color w:val="auto"/>
        </w:rPr>
      </w:pPr>
    </w:p>
    <w:p>
      <w:pPr>
        <w:jc w:val="both"/>
        <w:ind w:firstLine="1946"/>
        <w:spacing w:after="0" w:line="292" w:lineRule="auto"/>
        <w:tabs>
          <w:tab w:leader="none" w:pos="2434"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not exceeding five (5) years, after the Termination Date as may be determined by the Committee, with any exercise beyond three (3) months after the Termination Date deemed to be an NQSO) but in any event, no later than the expiration date of the Options.</w:t>
      </w:r>
    </w:p>
    <w:p>
      <w:pPr>
        <w:spacing w:after="0" w:line="164" w:lineRule="exact"/>
        <w:rPr>
          <w:rFonts w:ascii="Arial" w:cs="Arial" w:eastAsia="Arial" w:hAnsi="Arial"/>
          <w:sz w:val="16"/>
          <w:szCs w:val="16"/>
          <w:color w:val="auto"/>
        </w:rPr>
      </w:pPr>
    </w:p>
    <w:p>
      <w:pPr>
        <w:jc w:val="both"/>
        <w:ind w:firstLine="1946"/>
        <w:spacing w:after="0" w:line="288" w:lineRule="auto"/>
        <w:tabs>
          <w:tab w:leader="none" w:pos="2428"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not exceeding five (5) years, after the Termination Date as may be determined by the Committee, with any exercise beyond (i) three (3) months after the Termination Date when the Termination is for any reason other than the Participant’s death or disability, within the meaning of Section 22(e)(3) of the Code, or (ii) twelve (12) months after the Termination Date when the Termination is for Participant’s disability, within the meaning of Section 22(e)(3) of the Code, deemed to be an NQSO) but in any event no later than the expiration date of the Options.</w:t>
      </w:r>
    </w:p>
    <w:p>
      <w:pPr>
        <w:spacing w:after="0" w:line="166" w:lineRule="exact"/>
        <w:rPr>
          <w:rFonts w:ascii="Arial" w:cs="Arial" w:eastAsia="Arial" w:hAnsi="Arial"/>
          <w:sz w:val="16"/>
          <w:szCs w:val="16"/>
          <w:color w:val="auto"/>
        </w:rPr>
      </w:pPr>
    </w:p>
    <w:p>
      <w:pPr>
        <w:jc w:val="both"/>
        <w:ind w:firstLine="1946"/>
        <w:spacing w:after="0" w:line="262" w:lineRule="auto"/>
        <w:tabs>
          <w:tab w:leader="none" w:pos="237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79"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The Committee may specify a reasonable minimum number of Shares that may be purchased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provided that such minimum number will not prevent Participant from exercising the Option for the full number of Shares for which it is then exercisable.</w:t>
      </w:r>
    </w:p>
    <w:p>
      <w:pPr>
        <w:spacing w:after="0" w:line="176" w:lineRule="exact"/>
        <w:rPr>
          <w:sz w:val="20"/>
          <w:szCs w:val="20"/>
          <w:color w:val="auto"/>
        </w:rPr>
      </w:pPr>
    </w:p>
    <w:p>
      <w:pPr>
        <w:jc w:val="both"/>
        <w:ind w:firstLine="1292"/>
        <w:spacing w:after="0" w:line="270"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b w:val="1"/>
          <w:bCs w:val="1"/>
          <w:u w:val="single" w:color="auto"/>
          <w:color w:val="auto"/>
        </w:rPr>
        <w:t>Limitations on ISOs</w:t>
      </w:r>
      <w:r>
        <w:rPr>
          <w:rFonts w:ascii="Arial" w:cs="Arial" w:eastAsia="Arial" w:hAnsi="Arial"/>
          <w:sz w:val="17"/>
          <w:szCs w:val="17"/>
          <w:color w:val="auto"/>
        </w:rPr>
        <w:t>. The aggregate Fair Market Value (determined as of the date of grant) of Shares with respect to which ISOs are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18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58" w:name="page459"/>
    <w:bookmarkEnd w:id="458"/>
    <w:p>
      <w:pPr>
        <w:jc w:val="both"/>
        <w:ind w:firstLine="1292"/>
        <w:spacing w:after="0" w:line="254"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new 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5.10 hereof, the Committee may reduce the Exercise Price of outstanding Options without the consent of Participants by a written notice to them; provided, however, that the Exercise Price may not be reduced below the minimum Exercise Price that would be permitted under Section 5.4 hereof for Options granted on the date the action is taken to reduce the Exercise Price; provided, further, that the Exercise Price will not be reduced below the par value of the Shares, if any.</w:t>
      </w:r>
    </w:p>
    <w:p>
      <w:pPr>
        <w:spacing w:after="0" w:line="189" w:lineRule="exact"/>
        <w:rPr>
          <w:sz w:val="20"/>
          <w:szCs w:val="20"/>
          <w:color w:val="auto"/>
        </w:rPr>
      </w:pPr>
    </w:p>
    <w:p>
      <w:pPr>
        <w:jc w:val="both"/>
        <w:ind w:firstLine="1292"/>
        <w:spacing w:after="0" w:line="297"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No Disqualification</w:t>
      </w:r>
      <w:r>
        <w:rPr>
          <w:rFonts w:ascii="Arial" w:cs="Arial" w:eastAsia="Arial" w:hAnsi="Arial"/>
          <w:sz w:val="16"/>
          <w:szCs w:val="16"/>
          <w:color w:val="auto"/>
        </w:rPr>
        <w:t>. Notwithstanding any other provision in this Plan, no term of this Plan relating to ISOs will be interpreted,</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 In no event shall the total number of Shares issued (counting each reissuance of a Share that was previously issued and then forfeited or repurchased by the Company as a separate issuance) under the Plan upon exercise of ISOs exceed 25,000,000 Shares (adjusted in proportion to any adjustments under Section 2.2 hereof) over the term of the Plan.</w:t>
      </w:r>
    </w:p>
    <w:p>
      <w:pPr>
        <w:spacing w:after="0" w:line="154" w:lineRule="exact"/>
        <w:rPr>
          <w:sz w:val="20"/>
          <w:szCs w:val="20"/>
          <w:color w:val="auto"/>
        </w:rPr>
      </w:pPr>
    </w:p>
    <w:p>
      <w:pPr>
        <w:jc w:val="both"/>
        <w:ind w:firstLine="654"/>
        <w:spacing w:after="0" w:line="313" w:lineRule="auto"/>
        <w:tabs>
          <w:tab w:leader="none" w:pos="1045" w:val="left"/>
        </w:tabs>
        <w:numPr>
          <w:ilvl w:val="0"/>
          <w:numId w:val="4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A Restricted Stock Award is an offer by the Company to sell to an eligible person Shares that are subject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w:t>
      </w:r>
    </w:p>
    <w:p>
      <w:pPr>
        <w:spacing w:after="0" w:line="141"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Form of Restricted Stock Award</w:t>
      </w:r>
      <w:r>
        <w:rPr>
          <w:rFonts w:ascii="Arial" w:cs="Arial" w:eastAsia="Arial" w:hAnsi="Arial"/>
          <w:sz w:val="18"/>
          <w:szCs w:val="18"/>
          <w:color w:val="auto"/>
        </w:rPr>
        <w:t>. All purchases under a Restricted Stock Award made pursuant to this Plan will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59" w:name="page460"/>
    <w:bookmarkEnd w:id="459"/>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of Shares sold pursuant to a Restricted Stock Award will be determined by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at least eighty-five percent (85%) of the Fair Market Value of the Shares on the date the Restricted Stock Award is granted or at the time the purchase is consummated, except in the case of a sale to a Ten Percent Shareholder, in which case the Purchase Price will be one hundred percent (100%) of the Fair Market Value on the date the Restricted Stock Award is granted or at the time the purchase is consummated. Payment of the Purchase Price must be made in accordance with Section 7 hereof.</w:t>
      </w:r>
    </w:p>
    <w:p>
      <w:pPr>
        <w:spacing w:after="0" w:line="184"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Restricted Stock Awards may be subject to the restrictions set forth in Section 11 hereof or such other restrictions not</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Section 25102(o) of the California Corporations Code.</w:t>
      </w:r>
    </w:p>
    <w:p>
      <w:pPr>
        <w:spacing w:after="0" w:line="163" w:lineRule="exact"/>
        <w:rPr>
          <w:sz w:val="20"/>
          <w:szCs w:val="20"/>
          <w:color w:val="auto"/>
        </w:rPr>
      </w:pPr>
    </w:p>
    <w:p>
      <w:pPr>
        <w:ind w:left="1020" w:hanging="366"/>
        <w:spacing w:after="0"/>
        <w:tabs>
          <w:tab w:leader="none" w:pos="102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w:t>
      </w:r>
    </w:p>
    <w:p>
      <w:pPr>
        <w:spacing w:after="0" w:line="224"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Payment for Shares purchased pursuant to this Plan may be made in cash (by check) or, where expressly approved for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 by the Committee and where permitted by law:</w:t>
      </w:r>
    </w:p>
    <w:p>
      <w:pPr>
        <w:spacing w:after="0" w:line="209" w:lineRule="exact"/>
        <w:rPr>
          <w:sz w:val="20"/>
          <w:szCs w:val="20"/>
          <w:color w:val="auto"/>
        </w:rPr>
      </w:pPr>
    </w:p>
    <w:p>
      <w:pPr>
        <w:ind w:left="2360" w:hanging="414"/>
        <w:spacing w:after="0"/>
        <w:tabs>
          <w:tab w:leader="none" w:pos="23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223" w:lineRule="exact"/>
        <w:rPr>
          <w:rFonts w:ascii="Arial" w:cs="Arial" w:eastAsia="Arial" w:hAnsi="Arial"/>
          <w:sz w:val="18"/>
          <w:szCs w:val="18"/>
          <w:color w:val="auto"/>
        </w:rPr>
      </w:pPr>
    </w:p>
    <w:p>
      <w:pPr>
        <w:jc w:val="both"/>
        <w:ind w:firstLine="1946"/>
        <w:spacing w:after="0" w:line="310" w:lineRule="auto"/>
        <w:tabs>
          <w:tab w:leader="none" w:pos="237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by surrender of shares that: (i) either (A) have been owned by Participant for more than six (6) months and have been paid for within the meaning of SEC Rule 144 (and, if such shares were purchased from the Company by use of a promissory note, such note has been fully paid with respect to such shares) or (B) were obtained by Participant in the public market and (ii) are clear of all liens, claims, encumbrances or security interests;</w:t>
      </w:r>
    </w:p>
    <w:p>
      <w:pPr>
        <w:spacing w:after="0" w:line="148" w:lineRule="exact"/>
        <w:rPr>
          <w:rFonts w:ascii="Arial" w:cs="Arial" w:eastAsia="Arial" w:hAnsi="Arial"/>
          <w:sz w:val="16"/>
          <w:szCs w:val="16"/>
          <w:color w:val="auto"/>
        </w:rPr>
      </w:pPr>
    </w:p>
    <w:p>
      <w:pPr>
        <w:jc w:val="both"/>
        <w:ind w:firstLine="1946"/>
        <w:spacing w:after="0" w:line="254" w:lineRule="auto"/>
        <w:tabs>
          <w:tab w:leader="none" w:pos="238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by tender of a full recourse promissory note having such terms as may be approved by the Committee and bearing interest at a rate sufficient to avoid (i) imputation of income under Sections 483 and 1274 of the Code and (ii) variable accounting treatment under Financial Accounting Standards Board Interpretation No. 44 to APB No. 25; provided, however, that Participants who are not employees or directors of the Company will not be entitled to purchase Shares with a promissory note unless the note is adequately secured by collateral other than the Shares; provided, further, that the portion of the Exercise Price or Purchase Price, as the case may be, equal to the par value of the Shares must be paid in cash or other legal consideration permitted by Delaware General Corporation Law;</w:t>
      </w:r>
    </w:p>
    <w:p>
      <w:pPr>
        <w:spacing w:after="0" w:line="192" w:lineRule="exact"/>
        <w:rPr>
          <w:rFonts w:ascii="Arial" w:cs="Arial" w:eastAsia="Arial" w:hAnsi="Arial"/>
          <w:sz w:val="18"/>
          <w:szCs w:val="18"/>
          <w:color w:val="auto"/>
        </w:rPr>
      </w:pPr>
    </w:p>
    <w:p>
      <w:pPr>
        <w:ind w:left="2380" w:hanging="434"/>
        <w:spacing w:after="0"/>
        <w:tabs>
          <w:tab w:leader="none" w:pos="23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from the Company for services rendered;</w:t>
      </w:r>
    </w:p>
    <w:p>
      <w:pPr>
        <w:spacing w:after="0" w:line="223" w:lineRule="exact"/>
        <w:rPr>
          <w:rFonts w:ascii="Arial" w:cs="Arial" w:eastAsia="Arial" w:hAnsi="Arial"/>
          <w:sz w:val="18"/>
          <w:szCs w:val="18"/>
          <w:color w:val="auto"/>
        </w:rPr>
      </w:pPr>
    </w:p>
    <w:p>
      <w:pPr>
        <w:ind w:left="5660" w:right="80" w:hanging="3714"/>
        <w:spacing w:after="0" w:line="525" w:lineRule="auto"/>
        <w:tabs>
          <w:tab w:leader="none" w:pos="23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with respect only to purchases upon exercise of an Option, and provided that a public market for the Company’s stock exists: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725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0" w:name="page461"/>
    <w:bookmarkEnd w:id="460"/>
    <w:p>
      <w:pPr>
        <w:jc w:val="both"/>
        <w:ind w:firstLine="2592"/>
        <w:spacing w:after="0" w:line="258" w:lineRule="auto"/>
        <w:tabs>
          <w:tab w:leader="none" w:pos="3048"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through a “same day sale” commitment from the Participant and a broker-dealer that is a member of the National Association of Securities Dealers (an “</w:t>
      </w:r>
      <w:r>
        <w:rPr>
          <w:rFonts w:ascii="Arial" w:cs="Arial" w:eastAsia="Arial" w:hAnsi="Arial"/>
          <w:sz w:val="18"/>
          <w:szCs w:val="18"/>
          <w:b w:val="1"/>
          <w:bCs w:val="1"/>
          <w:i w:val="1"/>
          <w:iCs w:val="1"/>
          <w:color w:val="auto"/>
        </w:rPr>
        <w:t>NASD Dealer</w:t>
      </w:r>
      <w:r>
        <w:rPr>
          <w:rFonts w:ascii="Arial" w:cs="Arial" w:eastAsia="Arial" w:hAnsi="Arial"/>
          <w:sz w:val="18"/>
          <w:szCs w:val="18"/>
          <w:color w:val="auto"/>
        </w:rPr>
        <w:t>”) whereby the Participant irrevocably elects to exercise the Option and to sell a portion of the Shares so purchased sufficient to pay the total Exercise Price, and whereby the NASD Dealer irrevocably commits upon receipt of such Shares to forward the total Exercise Price directly to the Company; or</w:t>
      </w:r>
    </w:p>
    <w:p>
      <w:pPr>
        <w:spacing w:after="0" w:line="186" w:lineRule="exact"/>
        <w:rPr>
          <w:rFonts w:ascii="Arial" w:cs="Arial" w:eastAsia="Arial" w:hAnsi="Arial"/>
          <w:sz w:val="18"/>
          <w:szCs w:val="18"/>
          <w:color w:val="auto"/>
        </w:rPr>
      </w:pPr>
    </w:p>
    <w:p>
      <w:pPr>
        <w:jc w:val="both"/>
        <w:ind w:firstLine="2592"/>
        <w:spacing w:after="0" w:line="258" w:lineRule="auto"/>
        <w:tabs>
          <w:tab w:leader="none" w:pos="3127" w:val="left"/>
        </w:tabs>
        <w:numPr>
          <w:ilvl w:val="1"/>
          <w:numId w:val="411"/>
        </w:numPr>
        <w:rPr>
          <w:rFonts w:ascii="Arial" w:cs="Arial" w:eastAsia="Arial" w:hAnsi="Arial"/>
          <w:sz w:val="18"/>
          <w:szCs w:val="18"/>
          <w:color w:val="auto"/>
        </w:rPr>
      </w:pPr>
      <w:r>
        <w:rPr>
          <w:rFonts w:ascii="Arial" w:cs="Arial" w:eastAsia="Arial" w:hAnsi="Arial"/>
          <w:sz w:val="18"/>
          <w:szCs w:val="18"/>
          <w:color w:val="auto"/>
        </w:rPr>
        <w:t>through a “margin” commitment from the Participant and an NASD Dealer whereby the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 or</w:t>
      </w:r>
    </w:p>
    <w:p>
      <w:pPr>
        <w:spacing w:after="0" w:line="186" w:lineRule="exact"/>
        <w:rPr>
          <w:rFonts w:ascii="Arial" w:cs="Arial" w:eastAsia="Arial" w:hAnsi="Arial"/>
          <w:sz w:val="18"/>
          <w:szCs w:val="18"/>
          <w:color w:val="auto"/>
        </w:rPr>
      </w:pPr>
    </w:p>
    <w:p>
      <w:pPr>
        <w:ind w:left="2340" w:hanging="394"/>
        <w:spacing w:after="0"/>
        <w:tabs>
          <w:tab w:leader="none" w:pos="23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20" w:lineRule="exact"/>
        <w:rPr>
          <w:sz w:val="20"/>
          <w:szCs w:val="20"/>
          <w:color w:val="auto"/>
        </w:rPr>
      </w:pPr>
    </w:p>
    <w:p>
      <w:pPr>
        <w:ind w:firstLine="1292"/>
        <w:spacing w:after="0" w:line="280"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Loan Guarantees</w:t>
      </w:r>
      <w:r>
        <w:rPr>
          <w:rFonts w:ascii="Arial" w:cs="Arial" w:eastAsia="Arial" w:hAnsi="Arial"/>
          <w:sz w:val="18"/>
          <w:szCs w:val="18"/>
          <w:color w:val="auto"/>
        </w:rPr>
        <w:t>. The Committee may, in its sole discretion, elect to assist the Participant in paying for Shares purchased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by authorizing a guarantee by the Company of a third-party loan to the Participant.</w:t>
      </w:r>
    </w:p>
    <w:p>
      <w:pPr>
        <w:spacing w:after="0" w:line="163" w:lineRule="exact"/>
        <w:rPr>
          <w:sz w:val="20"/>
          <w:szCs w:val="20"/>
          <w:color w:val="auto"/>
        </w:rPr>
      </w:pPr>
    </w:p>
    <w:p>
      <w:pPr>
        <w:ind w:left="1020" w:hanging="366"/>
        <w:spacing w:after="0"/>
        <w:tabs>
          <w:tab w:leader="none" w:pos="102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Withholding Generally</w:t>
      </w:r>
      <w:r>
        <w:rPr>
          <w:rFonts w:ascii="Arial" w:cs="Arial" w:eastAsia="Arial" w:hAnsi="Arial"/>
          <w:sz w:val="17"/>
          <w:szCs w:val="17"/>
          <w:color w:val="auto"/>
        </w:rPr>
        <w:t>. Whenever Shares are to be issued in satisfaction of Awards granted under this Plan,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the Participant to remit to the Company an amount sufficient to satisfy federal, state and local withholding tax requirements prior to the delivery of any certificate or certificates for such Shares. Whenever, under this Plan, payments in satisfaction of Awards are to be made in cash by the Company, such payment will be net of an amount sufficient to satisfy federal, state, and local withholding tax requirements.</w:t>
      </w:r>
    </w:p>
    <w:p>
      <w:pPr>
        <w:spacing w:after="0" w:line="16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Stock Withholding</w:t>
      </w:r>
      <w:r>
        <w:rPr>
          <w:rFonts w:ascii="Arial" w:cs="Arial" w:eastAsia="Arial" w:hAnsi="Arial"/>
          <w:sz w:val="17"/>
          <w:szCs w:val="17"/>
          <w:color w:val="auto"/>
        </w:rPr>
        <w:t>. When, under applicable tax laws, a Participant incurs tax liability in connection with the exercise or vesting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Award that is subject to tax withholding and the Participant is obligated to pay the Company the amount required to be withheld, the Committee may in its sole discretion allow the Participant to satisfy the minimum withholding tax obligation by electing to have the Company withhold from the Shares to be issued that minimum number of Shares having a Fair Market Value equal to the minimum amount required to be withheld, determined on the date that the amount of tax to be withheld is to be determined; but in no event will the Company withhold Shares if such withholding would result in adverse accounting consequences to the Company. All elections by a Participant to have Shares withheld for this purpose will be made in accordance with the requirements established by the Committee for such elections and be in writing in a form acceptable to the Committee.</w:t>
      </w:r>
    </w:p>
    <w:p>
      <w:pPr>
        <w:spacing w:after="0" w:line="172" w:lineRule="exact"/>
        <w:rPr>
          <w:sz w:val="20"/>
          <w:szCs w:val="20"/>
          <w:color w:val="auto"/>
        </w:rPr>
      </w:pPr>
    </w:p>
    <w:p>
      <w:pPr>
        <w:ind w:left="1020" w:hanging="366"/>
        <w:spacing w:after="0"/>
        <w:tabs>
          <w:tab w:leader="none" w:pos="102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pursuant to Section 11 hereof. To the extent required, the Company will comply with Section 260.140.1 of Title 10 of the California Code of Regulations with respect to the voting rights of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61" w:name="page462"/>
    <w:bookmarkEnd w:id="461"/>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The Company will provide financial statements to each Participant annually during the period such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has Awards outstanding, or as otherwise required under Section 260.140.46 of Title 10 of the California Code of Regulations. Notwithstanding the foregoing, the Company will not be required to provide such financial statements to Participants when issuance of Awards is limited to key employees whose services in connection with the Company assure them access to equivalent information.</w:t>
      </w:r>
    </w:p>
    <w:p>
      <w:pPr>
        <w:spacing w:after="0" w:line="180" w:lineRule="exact"/>
        <w:rPr>
          <w:sz w:val="20"/>
          <w:szCs w:val="20"/>
          <w:color w:val="auto"/>
        </w:rPr>
      </w:pPr>
    </w:p>
    <w:p>
      <w:pPr>
        <w:jc w:val="both"/>
        <w:ind w:firstLine="654"/>
        <w:spacing w:after="0" w:line="255" w:lineRule="auto"/>
        <w:tabs>
          <w:tab w:leader="none" w:pos="1256"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permitted by the Committee, Awards granted under this Plan, and any interest therein,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or assignable by Participant, other than by will or by the laws of descent and distribution, and, with respect to NQSOs, by instrument to an inter vivos or testamentary trust in which the options are to be passed to beneficiaries upon the death of the trustor (settlor), or by gift to “immediate family” as that term is defined in 17 C.F.R. 240.16a-1(e), and may not be made subject to execution, attachment or similar process. During the lifetime of the Participant an Award will be exercisable only by the Participant or Participant’s legal representative and any elections with respect to an Award may be made only by the Participant or Participant’s legal representative.</w:t>
      </w:r>
    </w:p>
    <w:p>
      <w:pPr>
        <w:spacing w:after="0" w:line="187" w:lineRule="exact"/>
        <w:rPr>
          <w:rFonts w:ascii="Arial" w:cs="Arial" w:eastAsia="Arial" w:hAnsi="Arial"/>
          <w:sz w:val="18"/>
          <w:szCs w:val="18"/>
          <w:b w:val="1"/>
          <w:bCs w:val="1"/>
          <w:color w:val="auto"/>
        </w:rPr>
      </w:pPr>
    </w:p>
    <w:p>
      <w:pPr>
        <w:ind w:left="1100" w:hanging="446"/>
        <w:spacing w:after="0"/>
        <w:tabs>
          <w:tab w:leader="none" w:pos="110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SHARES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 At the discretion of the Committee, the Company may reserve to itself and/or its assignee(s)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 right of first refusal to purchase all Shares that a Participant (or a subsequent transferee) may propose to transfer to a third party, unless otherwise not permitted by Section 25102(o) of the California Corporations Code, provided that such right of first refusal terminates upon the Company’s initial public offering of Common Stock pursuant to an effective registration statement filed under the Securities Act.</w:t>
      </w:r>
    </w:p>
    <w:p>
      <w:pPr>
        <w:spacing w:after="0" w:line="164"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Right of Repurchase</w:t>
      </w:r>
      <w:r>
        <w:rPr>
          <w:rFonts w:ascii="Arial" w:cs="Arial" w:eastAsia="Arial" w:hAnsi="Arial"/>
          <w:sz w:val="17"/>
          <w:szCs w:val="17"/>
          <w:color w:val="auto"/>
        </w:rPr>
        <w:t>. At the discretion of the Committee, the Company may reserve to itself and/or its assignee(s)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 right to repurchase Unvested Shares held by a Participant for cash and/or cancellation of purchase money indebtedness owed to the Company by the Participant following such Participant’s Termination at any time within the later of ninety (90) days after the Participant’s Termination Date and the date the Participant purchases Shares under the Plan at the Participant’s Exercise Price or Purchase Price, as the case may be, provided that to the extent Section 25102(o) of the California Corporations Code is intended to apply, unless the Participant is an officer, director or consultant of the Company or of a Parent or Subsidiary of the Company, such right of repurchase lapses at the rate of no less than twenty percent (20%) per year over five (5) years from: (a) the date of grant of the Option or (b) in the case of Restricted Stock, the date the Participant purchases the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2" w:name="page463"/>
    <w:bookmarkEnd w:id="462"/>
    <w:p>
      <w:pPr>
        <w:jc w:val="both"/>
        <w:ind w:firstLine="654"/>
        <w:spacing w:after="0" w:line="313" w:lineRule="auto"/>
        <w:tabs>
          <w:tab w:leader="none" w:pos="1108"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All certificates for Shares or other securities delivered under this Plan will be subject to such stock transfer orders, legends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41" w:lineRule="exact"/>
        <w:rPr>
          <w:rFonts w:ascii="Arial" w:cs="Arial" w:eastAsia="Arial" w:hAnsi="Arial"/>
          <w:sz w:val="16"/>
          <w:szCs w:val="16"/>
          <w:b w:val="1"/>
          <w:bCs w:val="1"/>
          <w:color w:val="auto"/>
        </w:rPr>
      </w:pPr>
    </w:p>
    <w:p>
      <w:pPr>
        <w:jc w:val="both"/>
        <w:ind w:firstLine="654"/>
        <w:spacing w:after="0" w:line="289" w:lineRule="auto"/>
        <w:tabs>
          <w:tab w:leader="none" w:pos="1094" w:val="left"/>
        </w:tabs>
        <w:numPr>
          <w:ilvl w:val="0"/>
          <w:numId w:val="4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To enforce any restrictions on a Participant’s sharesd by the Committee, appropriately endorsed in blank,</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or an agent designated by the Company to hold in escrow until such restrictions have lapsed or terminated.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59" w:lineRule="exact"/>
        <w:rPr>
          <w:rFonts w:ascii="Arial" w:cs="Arial" w:eastAsia="Arial" w:hAnsi="Arial"/>
          <w:sz w:val="16"/>
          <w:szCs w:val="16"/>
          <w:b w:val="1"/>
          <w:bCs w:val="1"/>
          <w:color w:val="auto"/>
        </w:rPr>
      </w:pPr>
    </w:p>
    <w:p>
      <w:pPr>
        <w:jc w:val="both"/>
        <w:ind w:firstLine="654"/>
        <w:spacing w:after="0" w:line="280" w:lineRule="auto"/>
        <w:tabs>
          <w:tab w:leader="none" w:pos="1202" w:val="left"/>
        </w:tabs>
        <w:numPr>
          <w:ilvl w:val="0"/>
          <w:numId w:val="4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EXCHANGE AND BUYOUT OF AWARDS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at any time or from time to time, authorize the Company,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the respective Participants, to issue new Awards in exchange for the surrender and cancellation of any or all outstanding Awards. The Committee may at any time buy from a Participant an Award previously granted with payment in cash, shares of Common Stock of the Company (including Restricted Stock) or other consideration, based on such terms and conditions as the Committee and the Participant may agree.</w:t>
      </w:r>
    </w:p>
    <w:p>
      <w:pPr>
        <w:spacing w:after="0" w:line="164" w:lineRule="exact"/>
        <w:rPr>
          <w:rFonts w:ascii="Arial" w:cs="Arial" w:eastAsia="Arial" w:hAnsi="Arial"/>
          <w:sz w:val="17"/>
          <w:szCs w:val="17"/>
          <w:b w:val="1"/>
          <w:bCs w:val="1"/>
          <w:color w:val="auto"/>
        </w:rPr>
      </w:pPr>
    </w:p>
    <w:p>
      <w:pPr>
        <w:jc w:val="both"/>
        <w:ind w:firstLine="654"/>
        <w:spacing w:after="0" w:line="268" w:lineRule="auto"/>
        <w:tabs>
          <w:tab w:leader="none" w:pos="1121" w:val="left"/>
        </w:tabs>
        <w:numPr>
          <w:ilvl w:val="0"/>
          <w:numId w:val="4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this Plan is intended to be a written compensatory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plan within the meaning of Rule 701 promulgated under the Securities Act, grants may be made pursuant to this plan that do not qualify for exemption under Rule 701 or Section 25102(o) of the California Corporations Code. Any requirement of this Plan which is required in law only because of Section 25102(o) need not apply if the Committee so provides.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(i) obtaining any approvals from governmental agencies that the Company determines are necessary or advisable, and/or (ii)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to do 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3" w:name="page464"/>
    <w:bookmarkEnd w:id="463"/>
    <w:p>
      <w:pPr>
        <w:jc w:val="both"/>
        <w:ind w:firstLine="654"/>
        <w:spacing w:after="0" w:line="260" w:lineRule="auto"/>
        <w:tabs>
          <w:tab w:leader="none" w:pos="1162"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Plan or any Award granted under this Plan will confer or be deemed to confer 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any right to continue in the employ of, or to continue any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179" w:lineRule="exact"/>
        <w:rPr>
          <w:rFonts w:ascii="Arial" w:cs="Arial" w:eastAsia="Arial" w:hAnsi="Arial"/>
          <w:sz w:val="18"/>
          <w:szCs w:val="18"/>
          <w:b w:val="1"/>
          <w:bCs w:val="1"/>
          <w:color w:val="auto"/>
        </w:rPr>
      </w:pPr>
    </w:p>
    <w:p>
      <w:pPr>
        <w:ind w:left="1100" w:hanging="446"/>
        <w:spacing w:after="0"/>
        <w:tabs>
          <w:tab w:leader="none" w:pos="110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84"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b w:val="1"/>
          <w:bCs w:val="1"/>
          <w:u w:val="single" w:color="auto"/>
          <w:color w:val="auto"/>
        </w:rPr>
        <w:t>Assumption or Replacement of Awards by Successor or Acquiring Company</w:t>
      </w:r>
      <w:r>
        <w:rPr>
          <w:rFonts w:ascii="Arial" w:cs="Arial" w:eastAsia="Arial" w:hAnsi="Arial"/>
          <w:sz w:val="16"/>
          <w:szCs w:val="16"/>
          <w:color w:val="auto"/>
        </w:rPr>
        <w:t>. In the event of (i) a dissolution or liquidation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(ii) any reorganization, consolidation, merger or similar transaction or series of related transactions (each, a “</w:t>
      </w:r>
      <w:r>
        <w:rPr>
          <w:rFonts w:ascii="Arial" w:cs="Arial" w:eastAsia="Arial" w:hAnsi="Arial"/>
          <w:sz w:val="16"/>
          <w:szCs w:val="16"/>
          <w:b w:val="1"/>
          <w:bCs w:val="1"/>
          <w:i w:val="1"/>
          <w:iCs w:val="1"/>
          <w:color w:val="auto"/>
        </w:rPr>
        <w:t>combination transaction</w:t>
      </w:r>
      <w:r>
        <w:rPr>
          <w:rFonts w:ascii="Arial" w:cs="Arial" w:eastAsia="Arial" w:hAnsi="Arial"/>
          <w:sz w:val="16"/>
          <w:szCs w:val="16"/>
          <w:color w:val="auto"/>
        </w:rPr>
        <w:t>”) in which the Company is a constituent corporation or is a party if, as a result of such combination transaction, the voting securities of the Company that are outstanding immediately prior to the consummation of such combination transaction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any such securities that are held by an “Acquiring Stockholder”, as defined below) do not represent, or are not converted into, securities of the surviving corporation of such combination transaction (or such surviving corporation’s parent corporation if the surviving corporation is owned by the parent corporation) that, immediately after the consummation of such combination transaction, together possess at least a majority of the total voting power of all securities of such surviving corporation (or its parent corporation, if applicable) that are outstanding immediately after the consummation of such combination transaction, including securities of such surviving corporation (or its parent corporation, if applicable) that are held by the Acquiring Stockholder, or (iii) a sale of all or substantially all of the assets of the Company, that is followed by the distribution of the proceeds to the Company’s stockholders, any or all outstanding Awards may be assumed, converted or replaced by the successor or acquiring corporation (if any), which assumption, conversion or replacement will be binding on all Participants. In the alternative, the successor or acquiring corporation may substitute equivalent Awards or provide substantially similar consideration to Participants as was provided to stockholders of the Company (after taking into account the existing provisions of the Awards). The successor or acquiring corporation may also substitute by issuing, in place of outstanding Shares of the Company held by the Participant, substantially similar shares or other property subject to repurchase restrictions and other provisions no less favorable to the Participant than those which applied to such outstanding Shares immediately prior to such transaction described in this Section 17.1. For purposes of this Section 17.1, an “</w:t>
      </w:r>
      <w:r>
        <w:rPr>
          <w:rFonts w:ascii="Arial" w:cs="Arial" w:eastAsia="Arial" w:hAnsi="Arial"/>
          <w:sz w:val="16"/>
          <w:szCs w:val="16"/>
          <w:b w:val="1"/>
          <w:bCs w:val="1"/>
          <w:i w:val="1"/>
          <w:iCs w:val="1"/>
          <w:color w:val="auto"/>
        </w:rPr>
        <w:t>Acquiring Stockholder</w:t>
      </w:r>
      <w:r>
        <w:rPr>
          <w:rFonts w:ascii="Arial" w:cs="Arial" w:eastAsia="Arial" w:hAnsi="Arial"/>
          <w:sz w:val="16"/>
          <w:szCs w:val="16"/>
          <w:color w:val="auto"/>
        </w:rPr>
        <w:t>” means a stockholder or stockholders of the Company that (i) merges or combines with the Company in such combination transaction or (ii) owns or controls a majority of another corporation that merges or combines with the Corporation in such combination transaction. In the event such successor or acquiring corporation (if any) does not assume, convert, replace or substitute Awards, as provided above, pursuant to a transaction described in this Section 17.1, then notwithstanding any other provision in this Plan to the contrary, at the discretion of the Committee, the vesting of such Awards will accelerate and the Options will become exercisable in full prior to the consummation of such event at such times and on such conditions as the Committee determines, and if such Options are not exercised prior to the consummation of the corporate transaction, they shall terminate in accordance with the provisions of this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4" w:name="page465"/>
    <w:bookmarkEnd w:id="464"/>
    <w:p>
      <w:pPr>
        <w:jc w:val="both"/>
        <w:ind w:firstLine="1292"/>
        <w:spacing w:after="0" w:line="268"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b w:val="1"/>
          <w:bCs w:val="1"/>
          <w:u w:val="single" w:color="auto"/>
          <w:color w:val="auto"/>
        </w:rPr>
        <w:t>Acceleration of Vesting upon a Change of Control</w:t>
      </w:r>
      <w:r>
        <w:rPr>
          <w:rFonts w:ascii="Arial" w:cs="Arial" w:eastAsia="Arial" w:hAnsi="Arial"/>
          <w:sz w:val="17"/>
          <w:szCs w:val="17"/>
          <w:color w:val="auto"/>
        </w:rPr>
        <w:t>. Notwithstanding any other provision in this Plan, any outstanding Award will</w:t>
      </w:r>
      <w:r>
        <w:rPr>
          <w:rFonts w:ascii="Arial" w:cs="Arial" w:eastAsia="Arial" w:hAnsi="Arial"/>
          <w:sz w:val="17"/>
          <w:szCs w:val="17"/>
          <w:b w:val="1"/>
          <w:bCs w:val="1"/>
          <w:color w:val="auto"/>
        </w:rPr>
        <w:t xml:space="preserve"> </w:t>
      </w:r>
      <w:r>
        <w:rPr>
          <w:rFonts w:ascii="Arial" w:cs="Arial" w:eastAsia="Arial" w:hAnsi="Arial"/>
          <w:sz w:val="17"/>
          <w:szCs w:val="17"/>
          <w:color w:val="auto"/>
        </w:rPr>
        <w:t>vest fully on a Change of Control of the Company. For the purpose of this Section 17.2, a “Change of Control” shall mean a change in ownership or control of the Company effected through any of the following transactions: (i) a merger, consolidation or other reorganization approved by the Company’s stockholders, unless securities representing more than fifty percent (50%) of the total combined voting power of the voting securities of the successor company are immediately thereafter beneficially owned, directly or indirectly and in substantially the same proportion, by the persons who beneficially owned the Company’s outstanding voting securities immediately prior to such transaction; (ii) a stockholder-approved sale, transfer or other disposition of all or substantially all of the Company’s assets in liquidation or dissolution of the Company; or (iii) the acquisition, directly or indirectly by any person or related group of persons (other than the Company or a person that directly or indirectly controls, is controlled by, or is under common control with, the Company), of beneficial ownership (within the meaning of Rule 13d-3 of the Securities Exchange Act of 1934, as amended) of securities possessing more than fifty percent (50%) of the total combined voting power of the Company’s outstanding securities pursuant to a tender or exchange offer made directly to the Company’s stockholders; provided, that, in no event shall any private sale in a capital raising transaction or public offering of the Company’s securities be deemed to constitute a Change of Control.</w:t>
      </w:r>
    </w:p>
    <w:p>
      <w:pPr>
        <w:spacing w:after="0" w:line="180"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b w:val="1"/>
          <w:bCs w:val="1"/>
          <w:u w:val="single" w:color="auto"/>
          <w:color w:val="auto"/>
        </w:rPr>
        <w:t>Other Treatment of Awards</w:t>
      </w:r>
      <w:r>
        <w:rPr>
          <w:rFonts w:ascii="Arial" w:cs="Arial" w:eastAsia="Arial" w:hAnsi="Arial"/>
          <w:sz w:val="18"/>
          <w:szCs w:val="18"/>
          <w:color w:val="auto"/>
        </w:rPr>
        <w:t>. Subject to any greater rights granted to Participants under the foregoing provisions of this Section 17,</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occurrence of any transaction described in Section 17.1 hereof, any outstanding Awards will be treated as provided in the applicable agreement or plan of reorganization, merger, consolidation, dissolution, liquidation or sale of assets.</w:t>
      </w:r>
    </w:p>
    <w:p>
      <w:pPr>
        <w:spacing w:after="0" w:line="176" w:lineRule="exact"/>
        <w:rPr>
          <w:sz w:val="20"/>
          <w:szCs w:val="20"/>
          <w:color w:val="auto"/>
        </w:rPr>
      </w:pPr>
    </w:p>
    <w:p>
      <w:pPr>
        <w:jc w:val="both"/>
        <w:ind w:firstLine="1292"/>
        <w:spacing w:after="0" w:line="290"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b w:val="1"/>
          <w:bCs w:val="1"/>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by another company, whether in connection with an acquisition of such other company or otherwise, by either (i) granting an Award under this Plan in substitution of such other company’s award or (ii)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exercise price and the number and nature of shares issuable upon exercise of any such option will be adjusted appropriately pursuant to Section 424(a) of the Code). In the event the Company elects to grant a new Option rather than assuming an existing option, such new Option may be granted with a similarly adjusted Exercise Price.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5" w:name="page466"/>
    <w:bookmarkEnd w:id="465"/>
    <w:p>
      <w:pPr>
        <w:jc w:val="both"/>
        <w:ind w:firstLine="654"/>
        <w:spacing w:after="0" w:line="289" w:lineRule="auto"/>
        <w:tabs>
          <w:tab w:leader="none" w:pos="1242" w:val="left"/>
        </w:tabs>
        <w:numPr>
          <w:ilvl w:val="0"/>
          <w:numId w:val="4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become effective on the date that it is adopted by the Board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This Plan will be approved by the stockholders of the Company (excluding Shares issued pursuant to this Plan), consistent with applicable laws, within twelve (12) months before or after the Effective Date. Upon the Effective Date, the Board may grant Awards pursuant to this Plan; provided, however, that: (i) no Option may be exercised prior to initial stockholder approval of this Plan; (ii) no Option granted pursuant to an increase in the number of Shares approved by the Board shall be exercised prior to the time such increase has been approved by the stockholders of the Company; (iii) in the event that initial stockholder approval is not obtained within the time period provided herein, all Awards granted hereunder shall be canceled, any Shares issued pursuant to any Award shall be canceled and any purchase of Shares issued hereunder shall be rescinded; and (iv) Awards granted pursuant to an increase in the number of Shares approved by the Board which increase is not timely approved by stockholders shall be canceled, any Shares issued pursuant to any such Awards shall be canceled, and any purchase of Shares subject to any such Award shall be rescinded.</w:t>
      </w:r>
    </w:p>
    <w:p>
      <w:pPr>
        <w:spacing w:after="0" w:line="159" w:lineRule="exact"/>
        <w:rPr>
          <w:rFonts w:ascii="Arial" w:cs="Arial" w:eastAsia="Arial" w:hAnsi="Arial"/>
          <w:sz w:val="16"/>
          <w:szCs w:val="16"/>
          <w:b w:val="1"/>
          <w:bCs w:val="1"/>
          <w:color w:val="auto"/>
        </w:rPr>
      </w:pPr>
    </w:p>
    <w:p>
      <w:pPr>
        <w:jc w:val="both"/>
        <w:ind w:firstLine="654"/>
        <w:spacing w:after="0" w:line="265" w:lineRule="auto"/>
        <w:tabs>
          <w:tab w:leader="none" w:pos="1216"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terminate ten (10) years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or, if earlier, the date of stockholder approval. This Plan and all agreements hereunder shall be governed by and construed in accordance with the laws of the State of California.</w:t>
      </w:r>
    </w:p>
    <w:p>
      <w:pPr>
        <w:spacing w:after="0" w:line="175" w:lineRule="exact"/>
        <w:rPr>
          <w:rFonts w:ascii="Arial" w:cs="Arial" w:eastAsia="Arial" w:hAnsi="Arial"/>
          <w:sz w:val="18"/>
          <w:szCs w:val="18"/>
          <w:b w:val="1"/>
          <w:bCs w:val="1"/>
          <w:color w:val="auto"/>
        </w:rPr>
      </w:pPr>
    </w:p>
    <w:p>
      <w:pPr>
        <w:jc w:val="both"/>
        <w:ind w:firstLine="654"/>
        <w:spacing w:after="0" w:line="257" w:lineRule="auto"/>
        <w:tabs>
          <w:tab w:leader="none" w:pos="1121"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5.9 hereof, the Board may at any time terminate or amend this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pursuant to Section 25102(o) of the California Corporations Code or the Code or the regulations promulgated thereunder as such provisions apply to ISO plans.</w:t>
      </w:r>
    </w:p>
    <w:p>
      <w:pPr>
        <w:spacing w:after="0" w:line="183" w:lineRule="exact"/>
        <w:rPr>
          <w:rFonts w:ascii="Arial" w:cs="Arial" w:eastAsia="Arial" w:hAnsi="Arial"/>
          <w:sz w:val="18"/>
          <w:szCs w:val="18"/>
          <w:b w:val="1"/>
          <w:bCs w:val="1"/>
          <w:color w:val="auto"/>
        </w:rPr>
      </w:pPr>
    </w:p>
    <w:p>
      <w:pPr>
        <w:jc w:val="both"/>
        <w:ind w:firstLine="654"/>
        <w:spacing w:after="0" w:line="280" w:lineRule="auto"/>
        <w:tabs>
          <w:tab w:leader="none" w:pos="1108" w:val="left"/>
        </w:tabs>
        <w:numPr>
          <w:ilvl w:val="0"/>
          <w:numId w:val="4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64" w:lineRule="exact"/>
        <w:rPr>
          <w:rFonts w:ascii="Arial" w:cs="Arial" w:eastAsia="Arial" w:hAnsi="Arial"/>
          <w:sz w:val="17"/>
          <w:szCs w:val="17"/>
          <w:b w:val="1"/>
          <w:bCs w:val="1"/>
          <w:color w:val="auto"/>
        </w:rPr>
      </w:pPr>
    </w:p>
    <w:p>
      <w:pPr>
        <w:ind w:left="1100" w:hanging="446"/>
        <w:spacing w:after="0"/>
        <w:tabs>
          <w:tab w:leader="none" w:pos="110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the following terms will have the following meanings:</w:t>
      </w:r>
    </w:p>
    <w:p>
      <w:pPr>
        <w:spacing w:after="0" w:line="2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this Plan, including any Option or Restricted Stock Award.</w:t>
      </w:r>
    </w:p>
    <w:p>
      <w:pPr>
        <w:spacing w:after="0" w:line="224" w:lineRule="exact"/>
        <w:rPr>
          <w:sz w:val="20"/>
          <w:szCs w:val="20"/>
          <w:color w:val="auto"/>
        </w:rPr>
      </w:pPr>
    </w:p>
    <w:p>
      <w:pPr>
        <w:ind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agreement between the Company and the Participant setting forth the terms and conditions of the Award, including the Stock Option Agreement and Restricted Stock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6" w:name="page467"/>
    <w:bookmarkEnd w:id="466"/>
    <w:p>
      <w:pPr>
        <w:jc w:val="both"/>
        <w:ind w:firstLine="1292"/>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Termination because of (i)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(ii) the Participant’s commission of an act of personal dishonesty which involves personal profit in connection with the Company or any other entity having a business relationship with the Company, (iii)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(iv) Participant’s disregard of the policies of the Company or any Parent or Subsidiary of the Company so as to cause loss, damage or injury to the property, reputation or employees of the Company or a Parent or Subsidiary of the Company, or (v) any other misconduct by the Participant which is materially injurious to the financial condition or business reputation of, or is otherwise materially injurious to, the Company or a Parent or Subsidiary of the Company.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created and appointed by the Board to administer this Plan, or if no committee is created and appointed,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Board.</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Vaxart, Inc., or any successor corporation.</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price at which a holder of an Option may purchase the Shares issuable upon exercise of the Option.</w:t>
      </w: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224" w:lineRule="exact"/>
        <w:rPr>
          <w:sz w:val="20"/>
          <w:szCs w:val="20"/>
          <w:color w:val="auto"/>
        </w:rPr>
      </w:pPr>
    </w:p>
    <w:p>
      <w:pPr>
        <w:jc w:val="both"/>
        <w:ind w:firstLine="1946"/>
        <w:spacing w:after="0" w:line="278" w:lineRule="auto"/>
        <w:tabs>
          <w:tab w:leader="none" w:pos="2371" w:val="left"/>
        </w:tabs>
        <w:numPr>
          <w:ilvl w:val="0"/>
          <w:numId w:val="419"/>
        </w:numPr>
        <w:rPr>
          <w:rFonts w:ascii="Arial" w:cs="Arial" w:eastAsia="Arial" w:hAnsi="Arial"/>
          <w:sz w:val="17"/>
          <w:szCs w:val="17"/>
          <w:color w:val="auto"/>
        </w:rPr>
      </w:pPr>
      <w:r>
        <w:rPr>
          <w:rFonts w:ascii="Arial" w:cs="Arial" w:eastAsia="Arial" w:hAnsi="Arial"/>
          <w:sz w:val="17"/>
          <w:szCs w:val="17"/>
          <w:color w:val="auto"/>
        </w:rPr>
        <w:t>If the Common Stock is at the time traded on the Nasdaq Global or Global Select Market, then the Fair Market Value shall be the closing selling price per share of Common Stock on the date in question, as such price is reported by the National Association of Securities Dealers for that particular Stock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70" w:lineRule="exact"/>
        <w:rPr>
          <w:rFonts w:ascii="Arial" w:cs="Arial" w:eastAsia="Arial" w:hAnsi="Arial"/>
          <w:sz w:val="17"/>
          <w:szCs w:val="17"/>
          <w:color w:val="auto"/>
        </w:rPr>
      </w:pPr>
    </w:p>
    <w:p>
      <w:pPr>
        <w:jc w:val="both"/>
        <w:ind w:firstLine="1946"/>
        <w:spacing w:after="0" w:line="256" w:lineRule="auto"/>
        <w:tabs>
          <w:tab w:leader="none" w:pos="2464"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 the Common Stock is at the time listed on any other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67" w:name="page468"/>
    <w:bookmarkEnd w:id="467"/>
    <w:p>
      <w:pPr>
        <w:jc w:val="both"/>
        <w:ind w:firstLine="1946"/>
        <w:spacing w:after="0" w:line="278" w:lineRule="auto"/>
        <w:tabs>
          <w:tab w:leader="none" w:pos="2385"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If the Common Stock is not at the time listed on any Stock Exchange, then the Fair Market Value shall be determined by the Plan Administrator through the reasonable application of a reasonable valuation method that takes into account the applicable valuation factors set forth in the Treasury Regulations issued under Section 409A of the Code; provided, however, that with respect to an Incentive Option, such Fair Market Value shall be determined in accordance with the standards of Section 422 of the Code and the applicable Treasury Regulations thereunder.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5 hereof.</w:t>
      </w:r>
    </w:p>
    <w:p>
      <w:pPr>
        <w:spacing w:after="0" w:line="224"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representing fifty percent (50%) or more of the total combined voting power of all classes of stock in one of the other corporations in such chain.</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Vaxart, Inc. 2007 Equity Incentive Plan, as amended from time to time.</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a Participant may purchase Restricted Stock.</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purchased pursuant to a Restricted Stock Award.</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hereof.</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4"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pat value $0.00001 per share, reserved for issuance under this Plan, as adjusted pursuant to Sections 2 and 17 hereof, and any successor security.</w:t>
      </w:r>
    </w:p>
    <w:p>
      <w:pPr>
        <w:spacing w:after="0" w:line="170"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representing fifty percent (50%) or more of the total combined voting power of all classes of stock in one of the other corporations in such chain.</w:t>
      </w:r>
    </w:p>
    <w:p>
      <w:pPr>
        <w:spacing w:after="0" w:line="183" w:lineRule="exact"/>
        <w:rPr>
          <w:sz w:val="20"/>
          <w:szCs w:val="20"/>
          <w:color w:val="auto"/>
        </w:rPr>
      </w:pPr>
    </w:p>
    <w:p>
      <w:pPr>
        <w:jc w:val="both"/>
        <w:ind w:firstLine="1292"/>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Terminated</w:t>
      </w:r>
      <w:r>
        <w:rPr>
          <w:rFonts w:ascii="Arial" w:cs="Arial" w:eastAsia="Arial" w:hAnsi="Arial"/>
          <w:sz w:val="17"/>
          <w:szCs w:val="17"/>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in the case of (i) sick leave, (ii) military leave, or (iii) any other leave of absence approved by the Committee, provided that such leave is for a period of not more than ninety (90) days (a) unless reinstatement (or, in the case of an employee with an ISO, reemployment) upon the expiration of such leave is guaranteed by contract or statute, or (b) unless provided otherwise pursuant to formal policy adopted from time to time by the Company’s Board and issued and promulgated in writing. In the case of any Participant on (i) sick leave, (ii) military leave or (iii) an approved leave of absence, the Committee may make such provisions respecting suspension of vesting of the Award while on leave from the Company or a Parent or Subsidiary of the Company as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as defined in the Award Agreement.</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as defined in the Award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u w:val="single" w:color="auto"/>
          <w:color w:val="auto"/>
        </w:rPr>
        <w:t>Exhibit A to Notice of Stock Option Grant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VAXART,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8" w:lineRule="exact"/>
        <w:rPr>
          <w:sz w:val="20"/>
          <w:szCs w:val="20"/>
          <w:color w:val="auto"/>
        </w:rPr>
      </w:pPr>
    </w:p>
    <w:p>
      <w:pPr>
        <w:ind w:right="20" w:firstLine="646"/>
        <w:spacing w:after="0" w:line="276" w:lineRule="auto"/>
        <w:rPr>
          <w:sz w:val="20"/>
          <w:szCs w:val="20"/>
          <w:color w:val="auto"/>
        </w:rPr>
      </w:pPr>
      <w:r>
        <w:rPr>
          <w:rFonts w:ascii="Arial" w:cs="Arial" w:eastAsia="Arial" w:hAnsi="Arial"/>
          <w:sz w:val="18"/>
          <w:szCs w:val="18"/>
          <w:color w:val="auto"/>
        </w:rPr>
        <w:t>Vaxart, Inc. hereby grants to the Participant an option under the Plan to purchase the number of shares of the Company’s Common Stock indicated in the Notice of Stock Option Grant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at the exercise price indicated in the Grant Notice.</w:t>
      </w:r>
    </w:p>
    <w:p>
      <w:pPr>
        <w:spacing w:after="0" w:line="166" w:lineRule="exact"/>
        <w:rPr>
          <w:sz w:val="20"/>
          <w:szCs w:val="20"/>
          <w:color w:val="auto"/>
        </w:rPr>
      </w:pPr>
    </w:p>
    <w:p>
      <w:pPr>
        <w:jc w:val="both"/>
        <w:ind w:firstLine="654"/>
        <w:spacing w:after="0" w:line="293" w:lineRule="auto"/>
        <w:tabs>
          <w:tab w:leader="none" w:pos="1018" w:val="left"/>
        </w:tabs>
        <w:numPr>
          <w:ilvl w:val="0"/>
          <w:numId w:val="4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color w:val="auto"/>
        </w:rPr>
        <w:t>. Vaxart,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grants to the Participant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up to the total number of shares of Common Stock, par value $0.00001, of the Company set forth in the Grant Notice (collectively,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at the Exercise Price Per Share set forth in the Grant Notice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subject to all of the terms and conditions of this Agreement and the Plan. Capitalized terms not defined herein shall have the meanings ascribed to them in the Company’s 2007 Equity Incentive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 If designated as an Incentive Stock Option in the Grant Notice, the Option is intended to qualify as an “incentive stock option” (an “</w:t>
      </w:r>
      <w:r>
        <w:rPr>
          <w:rFonts w:ascii="Arial" w:cs="Arial" w:eastAsia="Arial" w:hAnsi="Arial"/>
          <w:sz w:val="16"/>
          <w:szCs w:val="16"/>
          <w:b w:val="1"/>
          <w:bCs w:val="1"/>
          <w:i w:val="1"/>
          <w:iCs w:val="1"/>
          <w:color w:val="auto"/>
        </w:rPr>
        <w:t>ISO</w:t>
      </w:r>
      <w:r>
        <w:rPr>
          <w:rFonts w:ascii="Arial" w:cs="Arial" w:eastAsia="Arial" w:hAnsi="Arial"/>
          <w:sz w:val="16"/>
          <w:szCs w:val="16"/>
          <w:color w:val="auto"/>
        </w:rPr>
        <w:t>”) within the meaning of Section 422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w:t>
      </w:r>
    </w:p>
    <w:p>
      <w:pPr>
        <w:spacing w:after="0" w:line="159" w:lineRule="exact"/>
        <w:rPr>
          <w:rFonts w:ascii="Arial" w:cs="Arial" w:eastAsia="Arial" w:hAnsi="Arial"/>
          <w:sz w:val="16"/>
          <w:szCs w:val="16"/>
          <w:b w:val="1"/>
          <w:bCs w:val="1"/>
          <w:color w:val="auto"/>
        </w:rPr>
      </w:pPr>
    </w:p>
    <w:p>
      <w:pPr>
        <w:ind w:left="1020" w:hanging="366"/>
        <w:spacing w:after="0"/>
        <w:tabs>
          <w:tab w:leader="none" w:pos="102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EXERCISE</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Vesting of Option</w:t>
      </w:r>
      <w:r>
        <w:rPr>
          <w:rFonts w:ascii="Arial" w:cs="Arial" w:eastAsia="Arial" w:hAnsi="Arial"/>
          <w:sz w:val="17"/>
          <w:szCs w:val="17"/>
          <w:color w:val="auto"/>
        </w:rPr>
        <w:t>. This Option will become vested and exercisable during its term as to portions of the Shares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Schedule set forth in the Grant Notice. If application of the applicable vesting percentage causes a fractional share, such share shall be rounded down to the nearest whole share for each month except for the last month in such vesting period, at the end of which last month the Option shall become exercisable for the full remainder of the Shares. Shares that are vested pursuant to the Vesting Schedule set forth in the Grant Notice are “</w:t>
      </w:r>
      <w:r>
        <w:rPr>
          <w:rFonts w:ascii="Arial" w:cs="Arial" w:eastAsia="Arial" w:hAnsi="Arial"/>
          <w:sz w:val="17"/>
          <w:szCs w:val="17"/>
          <w:b w:val="1"/>
          <w:bCs w:val="1"/>
          <w:i w:val="1"/>
          <w:iCs w:val="1"/>
          <w:color w:val="auto"/>
        </w:rPr>
        <w:t>Vested Shares</w:t>
      </w:r>
      <w:r>
        <w:rPr>
          <w:rFonts w:ascii="Arial" w:cs="Arial" w:eastAsia="Arial" w:hAnsi="Arial"/>
          <w:sz w:val="17"/>
          <w:szCs w:val="17"/>
          <w:color w:val="auto"/>
        </w:rPr>
        <w:t>.” Shares that are not vested pursuant to the Vesting Schedule set forth in the Grant Notice are “</w:t>
      </w:r>
      <w:r>
        <w:rPr>
          <w:rFonts w:ascii="Arial" w:cs="Arial" w:eastAsia="Arial" w:hAnsi="Arial"/>
          <w:sz w:val="17"/>
          <w:szCs w:val="17"/>
          <w:b w:val="1"/>
          <w:bCs w:val="1"/>
          <w:i w:val="1"/>
          <w:iCs w:val="1"/>
          <w:color w:val="auto"/>
        </w:rPr>
        <w:t>Unvested Shares</w:t>
      </w:r>
      <w:r>
        <w:rPr>
          <w:rFonts w:ascii="Arial" w:cs="Arial" w:eastAsia="Arial" w:hAnsi="Arial"/>
          <w:sz w:val="17"/>
          <w:szCs w:val="17"/>
          <w:color w:val="auto"/>
        </w:rPr>
        <w:t>.”</w:t>
      </w:r>
    </w:p>
    <w:p>
      <w:pPr>
        <w:spacing w:after="0" w:line="168"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color w:val="auto"/>
        </w:rPr>
        <w:t>. This Option will become exercisable during its term as to all Shares that are or become Vested Shares.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if the Exercise Schedule contained in the Grant Notice indicates that “Early Exercise” of this Option is permitted, this Option may be exercised as to all or a portion of the Shares, including Unvested Shares, at any time prior to Participant’s Termination Date (any such exercise that includes Unvested Shares, an “</w:t>
      </w:r>
      <w:r>
        <w:rPr>
          <w:rFonts w:ascii="Arial" w:cs="Arial" w:eastAsia="Arial" w:hAnsi="Arial"/>
          <w:sz w:val="17"/>
          <w:szCs w:val="17"/>
          <w:b w:val="1"/>
          <w:bCs w:val="1"/>
          <w:i w:val="1"/>
          <w:iCs w:val="1"/>
          <w:color w:val="auto"/>
        </w:rPr>
        <w:t>Early Exercise</w:t>
      </w:r>
      <w:r>
        <w:rPr>
          <w:rFonts w:ascii="Arial" w:cs="Arial" w:eastAsia="Arial" w:hAnsi="Arial"/>
          <w:sz w:val="17"/>
          <w:szCs w:val="17"/>
          <w:color w:val="auto"/>
        </w:rPr>
        <w:t>”). If Participant elects to make an Early Exercise of this Option, the Company, or its assignee, shall have the option to repurchase Participant’s Unvested Shares on the terms and conditions set forth in the Exercise Agreement (the “</w:t>
      </w:r>
      <w:r>
        <w:rPr>
          <w:rFonts w:ascii="Arial" w:cs="Arial" w:eastAsia="Arial" w:hAnsi="Arial"/>
          <w:sz w:val="17"/>
          <w:szCs w:val="17"/>
          <w:b w:val="1"/>
          <w:bCs w:val="1"/>
          <w:i w:val="1"/>
          <w:iCs w:val="1"/>
          <w:color w:val="auto"/>
        </w:rPr>
        <w:t>Repurchase Option</w:t>
      </w:r>
      <w:r>
        <w:rPr>
          <w:rFonts w:ascii="Arial" w:cs="Arial" w:eastAsia="Arial" w:hAnsi="Arial"/>
          <w:sz w:val="17"/>
          <w:szCs w:val="17"/>
          <w:color w:val="auto"/>
        </w:rPr>
        <w:t>”) if Participant is Terminated (as defined in the Plan) for any reason, or no reason, including without limitation Participant’s death, Disability (as defined in the Plan), voluntary resignation or termination by the Company with or without Cause. A partial Early Exercise of this Option shall be deemed to cover first all Vested Shares and then the earliest vesting installment of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69" w:name="page470"/>
    <w:bookmarkEnd w:id="469"/>
    <w:p>
      <w:pPr>
        <w:ind w:firstLine="1292"/>
        <w:spacing w:after="0" w:line="280"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The Option shall expire on the Option Expiration Date set forth in the Grant Notice or earlier as provided in 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below or pursuant to Section 5.6 of the Plan.</w:t>
      </w:r>
    </w:p>
    <w:p>
      <w:pPr>
        <w:spacing w:after="0" w:line="163" w:lineRule="exact"/>
        <w:rPr>
          <w:sz w:val="20"/>
          <w:szCs w:val="20"/>
          <w:color w:val="auto"/>
        </w:rPr>
      </w:pPr>
    </w:p>
    <w:p>
      <w:pPr>
        <w:ind w:left="1020" w:hanging="366"/>
        <w:spacing w:after="0"/>
        <w:tabs>
          <w:tab w:leader="none" w:pos="102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Termination for Any Reason Except Death, Disability or Cause</w:t>
      </w:r>
      <w:r>
        <w:rPr>
          <w:rFonts w:ascii="Arial" w:cs="Arial" w:eastAsia="Arial" w:hAnsi="Arial"/>
          <w:sz w:val="18"/>
          <w:szCs w:val="18"/>
          <w:color w:val="auto"/>
        </w:rPr>
        <w:t>. If the Participant is Terminated for any reason, except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for Cause, the Option, to the extent (and only to the extent) that it would have been exercisable as to Vested Shares by the Participant on the Termination Date, may be exercised by the Participant no later than three (3) months after the Termination Date, but in any event no later than the Option Expiration Date set forth in the Grant Notice.</w:t>
      </w:r>
    </w:p>
    <w:p>
      <w:pPr>
        <w:spacing w:after="0" w:line="180" w:lineRule="exact"/>
        <w:rPr>
          <w:sz w:val="20"/>
          <w:szCs w:val="20"/>
          <w:color w:val="auto"/>
        </w:rPr>
      </w:pPr>
    </w:p>
    <w:p>
      <w:pPr>
        <w:jc w:val="both"/>
        <w:ind w:firstLine="1292"/>
        <w:spacing w:after="0" w:line="272"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color w:val="auto"/>
        </w:rPr>
        <w:t>. If the Participant is Terminated because of death or Disability of the Participant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dies within three (3) months of Termination when Termination is for any reason other than the Participant’s Disability or for Cause), the Option, to the extent that it is exercisable as to Vested Shares by the Participant on the Termination Date, may be exercised by the Participant (or the Participant’s legal representative) no later than twelve (12) months after the Termination Date, but in any event no later than the Option Expiration Date set forth in the Grant Notice. Any exercise beyond (i) three (3) months after the Termination Date when the Termination is for any reason other than the Participant’s death or disability, within the meaning of Section 22(e)(3) of the Code; or (ii) twelve (12) months after the Termination Date when the termination is for the Participant’s disability, within the meaning of Section 22(e)(3) of the Code, is deemed to be an NQSO.</w:t>
      </w:r>
    </w:p>
    <w:p>
      <w:pPr>
        <w:spacing w:after="0" w:line="172" w:lineRule="exact"/>
        <w:rPr>
          <w:sz w:val="20"/>
          <w:szCs w:val="20"/>
          <w:color w:val="auto"/>
        </w:rPr>
      </w:pPr>
    </w:p>
    <w:p>
      <w:pPr>
        <w:jc w:val="both"/>
        <w:ind w:left="60" w:firstLine="1238"/>
        <w:spacing w:after="0" w:line="260"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If the Participant is terminated for Cause, the Participant may exercise such Participant’s Options,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such Options are exercisable as to Vested Shares on the Termination Date, upon the Termination Date and Participant’s Options, to the extent unexercised, shall expire on such Participant’s Termination Date or at such later time and on such conditions as are determined by the Committee in its sole discretion.</w:t>
      </w:r>
    </w:p>
    <w:p>
      <w:pPr>
        <w:spacing w:after="0" w:line="180"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color w:val="auto"/>
        </w:rPr>
        <w:t>. Nothing in the Plan or this Agreement shall confer on the Participant any right to continue in the employ</w:t>
      </w:r>
      <w:r>
        <w:rPr>
          <w:rFonts w:ascii="Arial" w:cs="Arial" w:eastAsia="Arial" w:hAnsi="Arial"/>
          <w:sz w:val="18"/>
          <w:szCs w:val="18"/>
          <w:b w:val="1"/>
          <w:bCs w:val="1"/>
          <w:color w:val="auto"/>
        </w:rPr>
        <w:t xml:space="preserve"> </w:t>
      </w:r>
      <w:r>
        <w:rPr>
          <w:rFonts w:ascii="Arial" w:cs="Arial" w:eastAsia="Arial" w:hAnsi="Arial"/>
          <w:sz w:val="18"/>
          <w:szCs w:val="18"/>
          <w:color w:val="auto"/>
        </w:rPr>
        <w:t>of, or other relationship with, the Company or any Parent or Subsidiary of the Company, or limit in any way the right of the Company or any Parent or Subsidiary of the Company to terminate the Participant’s employment or other relationship at any time, with or without Cause.</w:t>
      </w:r>
    </w:p>
    <w:p>
      <w:pPr>
        <w:spacing w:after="0" w:line="176" w:lineRule="exact"/>
        <w:rPr>
          <w:sz w:val="20"/>
          <w:szCs w:val="20"/>
          <w:color w:val="auto"/>
        </w:rPr>
      </w:pPr>
    </w:p>
    <w:p>
      <w:pPr>
        <w:ind w:left="1020" w:hanging="366"/>
        <w:spacing w:after="0"/>
        <w:tabs>
          <w:tab w:leader="none" w:pos="102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90"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Agreement</w:t>
      </w:r>
      <w:r>
        <w:rPr>
          <w:rFonts w:ascii="Arial" w:cs="Arial" w:eastAsia="Arial" w:hAnsi="Arial"/>
          <w:sz w:val="16"/>
          <w:szCs w:val="16"/>
          <w:color w:val="auto"/>
        </w:rPr>
        <w:t>. To exercise this Option, the Participant (or in the case of exercise after the Participant’s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incapacity, the Participant’s executor, administrator, heir or legatee, as the case may be) must deliver to the Company an executed Notice of Exercise and Stock Option Exercise Agreement in the form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or in such other form as may be approved by the Committee from time to time (the together, the “</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xml:space="preserve">”), which shall set forth, </w:t>
      </w:r>
      <w:r>
        <w:rPr>
          <w:rFonts w:ascii="Arial" w:cs="Arial" w:eastAsia="Arial" w:hAnsi="Arial"/>
          <w:sz w:val="16"/>
          <w:szCs w:val="16"/>
          <w:i w:val="1"/>
          <w:iCs w:val="1"/>
          <w:color w:val="auto"/>
        </w:rPr>
        <w:t>inter alia</w:t>
      </w:r>
      <w:r>
        <w:rPr>
          <w:rFonts w:ascii="Arial" w:cs="Arial" w:eastAsia="Arial" w:hAnsi="Arial"/>
          <w:sz w:val="16"/>
          <w:szCs w:val="16"/>
          <w:color w:val="auto"/>
        </w:rPr>
        <w:t>, (i) the Participant’s election to exercise the Option, (ii) the number of Shares being purchased, (iii) any restrictions imposed on the Shares and (iv) any representations, warranties and agreements regarding the Participant’s investment intent and access to information as may be required by the Company to comply with applicable securities laws. If someone other than the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0" w:name="page471"/>
    <w:bookmarkEnd w:id="470"/>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The Option may not be exercised unless such exercise is in compliance with all applicable federal and state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as they are in effect on the date of exercise. The Option may not be exercised as to fewer than one hundred (100) Shares unless it is exercised as to all Shares as to which the Option is then exercisable.</w:t>
      </w:r>
    </w:p>
    <w:p>
      <w:pPr>
        <w:spacing w:after="0" w:line="176"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(by check), or where permitted by law:</w:t>
      </w:r>
    </w:p>
    <w:p>
      <w:pPr>
        <w:spacing w:after="0" w:line="167" w:lineRule="exact"/>
        <w:rPr>
          <w:sz w:val="20"/>
          <w:szCs w:val="20"/>
          <w:color w:val="auto"/>
        </w:rPr>
      </w:pPr>
    </w:p>
    <w:p>
      <w:pPr>
        <w:ind w:left="2360" w:hanging="414"/>
        <w:spacing w:after="0"/>
        <w:tabs>
          <w:tab w:leader="none" w:pos="23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by cancellation of indebtedness of the Company to the Participant;</w:t>
      </w:r>
    </w:p>
    <w:p>
      <w:pPr>
        <w:spacing w:after="0" w:line="223" w:lineRule="exact"/>
        <w:rPr>
          <w:rFonts w:ascii="Arial" w:cs="Arial" w:eastAsia="Arial" w:hAnsi="Arial"/>
          <w:sz w:val="18"/>
          <w:szCs w:val="18"/>
          <w:color w:val="auto"/>
        </w:rPr>
      </w:pPr>
    </w:p>
    <w:p>
      <w:pPr>
        <w:jc w:val="both"/>
        <w:ind w:firstLine="1946"/>
        <w:spacing w:after="0" w:line="258" w:lineRule="auto"/>
        <w:tabs>
          <w:tab w:leader="none" w:pos="238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that (i) either (A) have been owned by the Participant for more than six (6) months and have been paid for within the meaning of SEC Rule 144 (and, if such shares were purchased from the Company by use of a promissory note, such note has been fully paid with respect to such shares); or (B) were obtained by the Participant in the open public market; and (ii) are clear of all liens, claims, encumbrances or security interests;</w:t>
      </w:r>
    </w:p>
    <w:p>
      <w:pPr>
        <w:spacing w:after="0" w:line="186" w:lineRule="exact"/>
        <w:rPr>
          <w:rFonts w:ascii="Arial" w:cs="Arial" w:eastAsia="Arial" w:hAnsi="Arial"/>
          <w:sz w:val="18"/>
          <w:szCs w:val="18"/>
          <w:color w:val="auto"/>
        </w:rPr>
      </w:pPr>
    </w:p>
    <w:p>
      <w:pPr>
        <w:ind w:left="2360" w:hanging="414"/>
        <w:spacing w:after="0"/>
        <w:tabs>
          <w:tab w:leader="none" w:pos="23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by waiver of compensation due or accrued to the Participant for services rendered;</w:t>
      </w:r>
    </w:p>
    <w:p>
      <w:pPr>
        <w:spacing w:after="0" w:line="223" w:lineRule="exact"/>
        <w:rPr>
          <w:rFonts w:ascii="Arial" w:cs="Arial" w:eastAsia="Arial" w:hAnsi="Arial"/>
          <w:sz w:val="18"/>
          <w:szCs w:val="18"/>
          <w:color w:val="auto"/>
        </w:rPr>
      </w:pPr>
    </w:p>
    <w:p>
      <w:pPr>
        <w:jc w:val="both"/>
        <w:ind w:firstLine="1946"/>
        <w:spacing w:after="0" w:line="271" w:lineRule="auto"/>
        <w:tabs>
          <w:tab w:leader="none" w:pos="2377" w:val="left"/>
        </w:tabs>
        <w:numPr>
          <w:ilvl w:val="0"/>
          <w:numId w:val="424"/>
        </w:numPr>
        <w:rPr>
          <w:rFonts w:ascii="Arial" w:cs="Arial" w:eastAsia="Arial" w:hAnsi="Arial"/>
          <w:sz w:val="17"/>
          <w:szCs w:val="17"/>
          <w:color w:val="auto"/>
        </w:rPr>
      </w:pPr>
      <w:r>
        <w:rPr>
          <w:rFonts w:ascii="Arial" w:cs="Arial" w:eastAsia="Arial" w:hAnsi="Arial"/>
          <w:sz w:val="17"/>
          <w:szCs w:val="17"/>
          <w:color w:val="auto"/>
        </w:rPr>
        <w:t>provided that a public market for the Company’s stock exists: (i) through a “same day sale” commitment from the Participant and a broker-dealer that is a member of the National Association of Securities Dealers (an “</w:t>
      </w:r>
      <w:r>
        <w:rPr>
          <w:rFonts w:ascii="Arial" w:cs="Arial" w:eastAsia="Arial" w:hAnsi="Arial"/>
          <w:sz w:val="17"/>
          <w:szCs w:val="17"/>
          <w:b w:val="1"/>
          <w:bCs w:val="1"/>
          <w:i w:val="1"/>
          <w:iCs w:val="1"/>
          <w:color w:val="auto"/>
        </w:rPr>
        <w:t>NASD Dealer</w:t>
      </w:r>
      <w:r>
        <w:rPr>
          <w:rFonts w:ascii="Arial" w:cs="Arial" w:eastAsia="Arial" w:hAnsi="Arial"/>
          <w:sz w:val="17"/>
          <w:szCs w:val="17"/>
          <w:color w:val="auto"/>
        </w:rPr>
        <w:t>”) whereby the Participant irrevocably elects to exercise the Option and to sell a portion of the Shares so purchased sufficient to pay for the total Exercise Price and whereby the NASD Dealer irrevocably commits upon receipt of such Shares to forward the total Exercise Price directly to the Company, or (ii) through a “margin” commitment from the Participant and an NASD Dealer whereby the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w:t>
      </w:r>
    </w:p>
    <w:p>
      <w:pPr>
        <w:spacing w:after="0" w:line="177" w:lineRule="exact"/>
        <w:rPr>
          <w:rFonts w:ascii="Arial" w:cs="Arial" w:eastAsia="Arial" w:hAnsi="Arial"/>
          <w:sz w:val="17"/>
          <w:szCs w:val="17"/>
          <w:color w:val="auto"/>
        </w:rPr>
      </w:pPr>
    </w:p>
    <w:p>
      <w:pPr>
        <w:ind w:left="2360" w:hanging="414"/>
        <w:spacing w:after="0"/>
        <w:tabs>
          <w:tab w:leader="none" w:pos="236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other form of consideration approved by the Committee; or</w:t>
      </w:r>
    </w:p>
    <w:p>
      <w:pPr>
        <w:spacing w:after="0" w:line="223" w:lineRule="exact"/>
        <w:rPr>
          <w:rFonts w:ascii="Arial" w:cs="Arial" w:eastAsia="Arial" w:hAnsi="Arial"/>
          <w:sz w:val="18"/>
          <w:szCs w:val="18"/>
          <w:color w:val="auto"/>
        </w:rPr>
      </w:pPr>
    </w:p>
    <w:p>
      <w:pPr>
        <w:ind w:left="2340" w:hanging="394"/>
        <w:spacing w:after="0"/>
        <w:tabs>
          <w:tab w:leader="none" w:pos="23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20"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Prior to the issuance of the Shares upon exercise of the Option, the Participant must pay or provide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federal, state and local withholding obligations of the Company. If the Committee permits, the Participant may provide for payment of withholding taxes upon exercise of the Option by requesting that the Company retain the minimum number of Shares with a Fair Market Value equal to the minimum amount of taxes required to be withheld; but in no event will the Company withhold Shares if such withholding would result in adverse accounting consequences to the Company. In such case, the Company shall issue the net number of Shares to the Participant by deducting the Shares retained from the Shares issuable upon exercise.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1" w:name="page472"/>
    <w:bookmarkEnd w:id="471"/>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Provided that the Exercise Agreement and payment are in form and substance satisfactory to counsel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Company shall issue the Shares registered in the name of the Participant, the Participant’s authorized assignee, or the Participant’s legal representative, and shall deliver certificates representing the Shares with the appropriate legends affixed thereto.</w:t>
      </w:r>
    </w:p>
    <w:p>
      <w:pPr>
        <w:spacing w:after="0" w:line="176" w:lineRule="exact"/>
        <w:rPr>
          <w:sz w:val="20"/>
          <w:szCs w:val="20"/>
          <w:color w:val="auto"/>
        </w:rPr>
      </w:pPr>
    </w:p>
    <w:p>
      <w:pPr>
        <w:jc w:val="both"/>
        <w:ind w:firstLine="654"/>
        <w:spacing w:after="0" w:line="297" w:lineRule="auto"/>
        <w:tabs>
          <w:tab w:leader="none" w:pos="1139"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 OF DISQUALIFYING DISPOSITION OF ISO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Option is an ISO, and if the Participant sells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disposes of any of the Shares acquired pursuant to the ISO on or before the later of (i) the date two (2) years after the Date of Grant, and (ii) the date one (1) year after transfer of such Shares to the Participant upon exercise of the Option, the Participant shall immediately notify the Company in writing of such disposition. The Participant agrees that the Participant may be subject to income tax withholding by the Company on the compensation income recognized by the Participant from the early disposition by payment in cash or out of the current wages or other compensation payable to the Participant.</w:t>
      </w:r>
    </w:p>
    <w:p>
      <w:pPr>
        <w:spacing w:after="0" w:line="153" w:lineRule="exact"/>
        <w:rPr>
          <w:rFonts w:ascii="Arial" w:cs="Arial" w:eastAsia="Arial" w:hAnsi="Arial"/>
          <w:sz w:val="16"/>
          <w:szCs w:val="16"/>
          <w:b w:val="1"/>
          <w:bCs w:val="1"/>
          <w:color w:val="auto"/>
        </w:rPr>
      </w:pPr>
    </w:p>
    <w:p>
      <w:pPr>
        <w:jc w:val="both"/>
        <w:ind w:firstLine="654"/>
        <w:spacing w:after="0" w:line="257" w:lineRule="auto"/>
        <w:tabs>
          <w:tab w:leader="none" w:pos="1018"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of the Option and the issuance and transfer of Shares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by the Company and the Participant with all applicable requirements of U.S. federal and state securities laws and with all applicable requirements of any stock exchange on which the Company’s Common Stock may be listed at the time of such issuance or transfer. The Participant understands that the Company is under no obligation to register or qualify the Shares with the SEC, any state securities commission or any stock exchange to effect such compliance.</w:t>
      </w:r>
    </w:p>
    <w:p>
      <w:pPr>
        <w:spacing w:after="0" w:line="183" w:lineRule="exact"/>
        <w:rPr>
          <w:rFonts w:ascii="Arial" w:cs="Arial" w:eastAsia="Arial" w:hAnsi="Arial"/>
          <w:sz w:val="18"/>
          <w:szCs w:val="18"/>
          <w:b w:val="1"/>
          <w:bCs w:val="1"/>
          <w:color w:val="auto"/>
        </w:rPr>
      </w:pPr>
    </w:p>
    <w:p>
      <w:pPr>
        <w:jc w:val="both"/>
        <w:ind w:firstLine="654"/>
        <w:spacing w:after="0" w:line="276" w:lineRule="auto"/>
        <w:tabs>
          <w:tab w:leader="none" w:pos="1032"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NONTRANSFERABILITY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may not be transferred in any manner other than by will or by the laws of descent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and, with respect to NQSOs, by instrument to an inter vivos or testamentary trust in which the options are to be passed to beneficiaries upon the death of the trustor (settlor), or by gift to “immediate family” as that term is defined in 17 C.F.R. 240.16a-1(e), and may be exercised during the lifetime of the Participant only by the Participant or in the event of the Participant’s incapacity, by the Participant’s legal representative. The terms of the Option shall be binding upon the executors, administrators, successors and assigns of the Participant.</w:t>
      </w:r>
    </w:p>
    <w:p>
      <w:pPr>
        <w:spacing w:after="0" w:line="168" w:lineRule="exact"/>
        <w:rPr>
          <w:rFonts w:ascii="Arial" w:cs="Arial" w:eastAsia="Arial" w:hAnsi="Arial"/>
          <w:sz w:val="17"/>
          <w:szCs w:val="17"/>
          <w:b w:val="1"/>
          <w:bCs w:val="1"/>
          <w:color w:val="auto"/>
        </w:rPr>
      </w:pPr>
    </w:p>
    <w:p>
      <w:pPr>
        <w:jc w:val="both"/>
        <w:ind w:firstLine="654"/>
        <w:spacing w:after="0" w:line="255" w:lineRule="auto"/>
        <w:tabs>
          <w:tab w:leader="none" w:pos="1072"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REPURCHASE OPTION FOR UNVESTED SHARES</w:t>
      </w:r>
      <w:r>
        <w:rPr>
          <w:rFonts w:ascii="Arial" w:cs="Arial" w:eastAsia="Arial" w:hAnsi="Arial"/>
          <w:sz w:val="18"/>
          <w:szCs w:val="18"/>
          <w:color w:val="auto"/>
        </w:rPr>
        <w:t>. The Company, or its assignee, shall have the option to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Unvested Shares (as defined in Section 2.1 of this Agreement) on the terms and conditions set forth in the Exercise Agreement (the “</w:t>
      </w:r>
      <w:r>
        <w:rPr>
          <w:rFonts w:ascii="Arial" w:cs="Arial" w:eastAsia="Arial" w:hAnsi="Arial"/>
          <w:sz w:val="18"/>
          <w:szCs w:val="18"/>
          <w:b w:val="1"/>
          <w:bCs w:val="1"/>
          <w:i w:val="1"/>
          <w:iCs w:val="1"/>
          <w:color w:val="auto"/>
        </w:rPr>
        <w:t>Repurchase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if Participant is Terminated (as defined in the Plan) for any reason, or no reason, including without limitation Participant’s death, Disability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in the Plan), voluntary resignation or termination by the Company with or without Cause. Notwithstanding the foregoing, the Company shall retain the Repurchase Option for Unvested Shares only as to that number of Unvested Shares (whether or not exercised) that exceeds the number of Vested shares which remain unexercised.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2" w:name="page473"/>
    <w:bookmarkEnd w:id="472"/>
    <w:p>
      <w:pPr>
        <w:jc w:val="both"/>
        <w:ind w:firstLine="654"/>
        <w:spacing w:after="0" w:line="280" w:lineRule="auto"/>
        <w:tabs>
          <w:tab w:leader="none" w:pos="1032"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COMPANY’S RIGHT OF FIRST REFUSAL</w:t>
      </w:r>
      <w:r>
        <w:rPr>
          <w:rFonts w:ascii="Arial" w:cs="Arial" w:eastAsia="Arial" w:hAnsi="Arial"/>
          <w:sz w:val="17"/>
          <w:szCs w:val="17"/>
          <w:color w:val="auto"/>
        </w:rPr>
        <w:t>. Before any Vested Shares held by Participant or any transferee of such Vested Shares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sold or otherwise transferred (including without limitation a transfer by gift or operation of law), the Company and/or its assignee(s) shall have an assignable right of first refusal to purchase the Vested Shares to be sold or transferred on the terms and conditions set forth in the Exercise Agreement (the “</w:t>
      </w:r>
      <w:r>
        <w:rPr>
          <w:rFonts w:ascii="Arial" w:cs="Arial" w:eastAsia="Arial" w:hAnsi="Arial"/>
          <w:sz w:val="17"/>
          <w:szCs w:val="17"/>
          <w:b w:val="1"/>
          <w:bCs w:val="1"/>
          <w:i w:val="1"/>
          <w:iCs w:val="1"/>
          <w:color w:val="auto"/>
        </w:rPr>
        <w:t>Right of First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Refusal</w:t>
      </w:r>
      <w:r>
        <w:rPr>
          <w:rFonts w:ascii="Arial" w:cs="Arial" w:eastAsia="Arial" w:hAnsi="Arial"/>
          <w:sz w:val="17"/>
          <w:szCs w:val="17"/>
          <w:color w:val="auto"/>
        </w:rPr>
        <w:t>”). The Company’s Right of First Refusal will terminate when the Company’s securities become publicly traded.</w:t>
      </w:r>
    </w:p>
    <w:p>
      <w:pPr>
        <w:spacing w:after="0" w:line="164" w:lineRule="exact"/>
        <w:rPr>
          <w:rFonts w:ascii="Arial" w:cs="Arial" w:eastAsia="Arial" w:hAnsi="Arial"/>
          <w:sz w:val="17"/>
          <w:szCs w:val="17"/>
          <w:b w:val="1"/>
          <w:bCs w:val="1"/>
          <w:color w:val="auto"/>
        </w:rPr>
      </w:pPr>
    </w:p>
    <w:p>
      <w:pPr>
        <w:jc w:val="both"/>
        <w:ind w:firstLine="654"/>
        <w:spacing w:after="0" w:line="292" w:lineRule="auto"/>
        <w:tabs>
          <w:tab w:leader="none" w:pos="1121"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below is a brief summary as of the Effective Date of the Plan of some of the U.S. federal and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 tax consequences of exercise of the Option and disposition of the Shares. </w:t>
      </w:r>
      <w:r>
        <w:rPr>
          <w:rFonts w:ascii="Arial" w:cs="Arial" w:eastAsia="Arial" w:hAnsi="Arial"/>
          <w:sz w:val="16"/>
          <w:szCs w:val="16"/>
          <w:b w:val="1"/>
          <w:bCs w:val="1"/>
          <w:i w:val="1"/>
          <w:iCs w:val="1"/>
          <w:color w:val="auto"/>
        </w:rPr>
        <w:t>THIS SUMMARY IS NECESSARILY INCOMPLETE, AND THE TAX</w:t>
      </w:r>
    </w:p>
    <w:p>
      <w:pPr>
        <w:spacing w:after="0" w:line="1" w:lineRule="exact"/>
        <w:rPr>
          <w:rFonts w:ascii="Arial" w:cs="Arial" w:eastAsia="Arial" w:hAnsi="Arial"/>
          <w:sz w:val="16"/>
          <w:szCs w:val="16"/>
          <w:b w:val="1"/>
          <w:bCs w:val="1"/>
          <w:color w:val="auto"/>
        </w:rPr>
      </w:pPr>
    </w:p>
    <w:p>
      <w:pPr>
        <w:spacing w:after="0" w:line="259" w:lineRule="auto"/>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LAWS AND REGULATIONS ARE SUBJECT TO CHANGE. THE PARTICIPANT SHOULD CONSULT A TAX ADVISER BEFORE EXERCISING THE OPTION OR DISPOSING OF THE SHARES</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1292"/>
        <w:spacing w:after="0" w:line="313"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u w:val="single" w:color="auto"/>
          <w:color w:val="auto"/>
        </w:rPr>
        <w:t>Exercise of ISO</w:t>
      </w:r>
      <w:r>
        <w:rPr>
          <w:rFonts w:ascii="Arial" w:cs="Arial" w:eastAsia="Arial" w:hAnsi="Arial"/>
          <w:sz w:val="16"/>
          <w:szCs w:val="16"/>
          <w:color w:val="auto"/>
        </w:rPr>
        <w:t>. If the Option qualifies as an ISO, there will be no regular U.S. federal or applicable state income tax liability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exercise of the Option, although the excess, if any, of the Fair Market Value of the Shares on the date of exercise over the Exercise Price will be treated as a tax preference item for federal alternative minimum tax purposes and may subject the Participant to the alternative minimum tax in the year of exercise.</w:t>
      </w:r>
    </w:p>
    <w:p>
      <w:pPr>
        <w:spacing w:after="0" w:line="141"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color w:val="auto"/>
        </w:rPr>
        <w:t>. If the Option does not qualify as an ISO, there may be regular U.S. federal and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state income tax liability upon the exercise of the Option. The Participant will be treated as having received compensation income (taxable at ordinary income tax rates) equal to the excess, if any, of the Fair Market Value of the Shares on the date of exercise over the Exercise Price. If the Participant is a current or former employee of the Company, the Company may be required to withhold from the Participant’s compensation or collect from the Participant and pay to the applicable taxing authorities an amount equal to a percentage of this compensation income at the time of exercise.</w:t>
      </w:r>
    </w:p>
    <w:p>
      <w:pPr>
        <w:spacing w:after="0" w:line="16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u w:val="single" w:color="auto"/>
          <w:color w:val="auto"/>
        </w:rPr>
        <w:t>Disposition of Shares</w:t>
      </w:r>
      <w:r>
        <w:rPr>
          <w:rFonts w:ascii="Arial" w:cs="Arial" w:eastAsia="Arial" w:hAnsi="Arial"/>
          <w:sz w:val="16"/>
          <w:szCs w:val="16"/>
          <w:color w:val="auto"/>
        </w:rPr>
        <w:t>. The following tax consequences may apply upon disposition of the Shares.</w:t>
      </w:r>
    </w:p>
    <w:p>
      <w:pPr>
        <w:spacing w:after="0" w:line="228" w:lineRule="exact"/>
        <w:rPr>
          <w:sz w:val="20"/>
          <w:szCs w:val="20"/>
          <w:color w:val="auto"/>
        </w:rPr>
      </w:pPr>
    </w:p>
    <w:p>
      <w:pPr>
        <w:jc w:val="both"/>
        <w:ind w:firstLine="1946"/>
        <w:spacing w:after="0" w:line="254" w:lineRule="auto"/>
        <w:tabs>
          <w:tab w:leader="none" w:pos="2428"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xml:space="preserve">. If the Shares are held for more than twelve (12) months after the date of purchase of the Shares pursuant to the exercise of an ISO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are disposed of more than two (2) years after the Date of Grant set forth in the Grant Notice, any gain realized on disposition of the Shares will be treated as long term capital gain for U.S. federal and applicable state income tax purposes. If Shares purchased under an ISO are disposed of within either of the applicable one (1) year or two (2) year holding periods,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3" w:name="page474"/>
    <w:bookmarkEnd w:id="473"/>
    <w:p>
      <w:pPr>
        <w:ind w:firstLine="1946"/>
        <w:spacing w:after="0" w:line="276" w:lineRule="auto"/>
        <w:tabs>
          <w:tab w:leader="none" w:pos="2385"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long-term capital gain.</w:t>
      </w:r>
    </w:p>
    <w:p>
      <w:pPr>
        <w:spacing w:after="0" w:line="169" w:lineRule="exact"/>
        <w:rPr>
          <w:rFonts w:ascii="Arial" w:cs="Arial" w:eastAsia="Arial" w:hAnsi="Arial"/>
          <w:sz w:val="18"/>
          <w:szCs w:val="18"/>
          <w:color w:val="auto"/>
        </w:rPr>
      </w:pPr>
    </w:p>
    <w:p>
      <w:pPr>
        <w:ind w:firstLine="1946"/>
        <w:spacing w:after="0" w:line="276" w:lineRule="auto"/>
        <w:tabs>
          <w:tab w:leader="none" w:pos="2388"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be required to withhold from the Participant’s compensation or collect from the Participant and pay to the applicable taxing authorities an amount equal to a percentage of this compensation income.</w:t>
      </w:r>
    </w:p>
    <w:p>
      <w:pPr>
        <w:spacing w:after="0" w:line="166" w:lineRule="exact"/>
        <w:rPr>
          <w:sz w:val="20"/>
          <w:szCs w:val="20"/>
          <w:color w:val="auto"/>
        </w:rPr>
      </w:pPr>
    </w:p>
    <w:p>
      <w:pPr>
        <w:jc w:val="both"/>
        <w:ind w:firstLine="1292"/>
        <w:spacing w:after="0" w:line="293"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b w:val="1"/>
          <w:bCs w:val="1"/>
          <w:u w:val="single" w:color="auto"/>
          <w:color w:val="auto"/>
        </w:rPr>
        <w:t>Section 83(b) Election for Unvested Shares Purchased by Early Exercise</w:t>
      </w:r>
      <w:r>
        <w:rPr>
          <w:rFonts w:ascii="Arial" w:cs="Arial" w:eastAsia="Arial" w:hAnsi="Arial"/>
          <w:sz w:val="16"/>
          <w:szCs w:val="16"/>
          <w:color w:val="auto"/>
        </w:rPr>
        <w:t>. With respect to Unvested Shares which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Repurchase Option, unless an election is filed by the Participant with the Internal Revenue Service (and, if necessary, the proper state taxing authorities), </w:t>
      </w:r>
      <w:r>
        <w:rPr>
          <w:rFonts w:ascii="Arial" w:cs="Arial" w:eastAsia="Arial" w:hAnsi="Arial"/>
          <w:sz w:val="16"/>
          <w:szCs w:val="16"/>
          <w:u w:val="single" w:color="auto"/>
          <w:color w:val="auto"/>
        </w:rPr>
        <w:t>within 30 days</w:t>
      </w:r>
      <w:r>
        <w:rPr>
          <w:rFonts w:ascii="Arial" w:cs="Arial" w:eastAsia="Arial" w:hAnsi="Arial"/>
          <w:sz w:val="16"/>
          <w:szCs w:val="16"/>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Participant, measured by the excess, if any, of the Fair Market Value of the Unvested Shares at the time they cease to be Unvested Shares, over the Exercise Price of the Unvested Shares.</w:t>
      </w:r>
    </w:p>
    <w:p>
      <w:pPr>
        <w:spacing w:after="0" w:line="160" w:lineRule="exact"/>
        <w:rPr>
          <w:sz w:val="20"/>
          <w:szCs w:val="20"/>
          <w:color w:val="auto"/>
        </w:rPr>
      </w:pPr>
    </w:p>
    <w:p>
      <w:pPr>
        <w:ind w:firstLine="654"/>
        <w:spacing w:after="0" w:line="280" w:lineRule="auto"/>
        <w:tabs>
          <w:tab w:leader="none" w:pos="1111"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shall not have any of the rights of a stockholder with respect to any Shares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are issued to the Participant.</w:t>
      </w:r>
    </w:p>
    <w:p>
      <w:pPr>
        <w:spacing w:after="0" w:line="163" w:lineRule="exact"/>
        <w:rPr>
          <w:rFonts w:ascii="Arial" w:cs="Arial" w:eastAsia="Arial" w:hAnsi="Arial"/>
          <w:sz w:val="18"/>
          <w:szCs w:val="18"/>
          <w:b w:val="1"/>
          <w:bCs w:val="1"/>
          <w:color w:val="auto"/>
        </w:rPr>
      </w:pPr>
    </w:p>
    <w:p>
      <w:pPr>
        <w:ind w:right="20" w:firstLine="654"/>
        <w:spacing w:after="0" w:line="311" w:lineRule="auto"/>
        <w:tabs>
          <w:tab w:leader="none" w:pos="1108"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the Participant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the Participant.</w:t>
      </w:r>
    </w:p>
    <w:p>
      <w:pPr>
        <w:spacing w:after="0" w:line="139" w:lineRule="exact"/>
        <w:rPr>
          <w:rFonts w:ascii="Arial" w:cs="Arial" w:eastAsia="Arial" w:hAnsi="Arial"/>
          <w:sz w:val="17"/>
          <w:szCs w:val="17"/>
          <w:b w:val="1"/>
          <w:bCs w:val="1"/>
          <w:color w:val="auto"/>
        </w:rPr>
      </w:pPr>
    </w:p>
    <w:p>
      <w:pPr>
        <w:ind w:firstLine="654"/>
        <w:spacing w:after="0" w:line="311" w:lineRule="auto"/>
        <w:tabs>
          <w:tab w:leader="none" w:pos="1229"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incorporated herein by reference. This Stock Option Agreement, the Grant Notice and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the entire agreement of the parties and supersede all prior undertakings and agreements with respect to the subject matter hereof.</w:t>
      </w:r>
    </w:p>
    <w:p>
      <w:pPr>
        <w:spacing w:after="0" w:line="139" w:lineRule="exact"/>
        <w:rPr>
          <w:rFonts w:ascii="Arial" w:cs="Arial" w:eastAsia="Arial" w:hAnsi="Arial"/>
          <w:sz w:val="17"/>
          <w:szCs w:val="17"/>
          <w:b w:val="1"/>
          <w:bCs w:val="1"/>
          <w:color w:val="auto"/>
        </w:rPr>
      </w:pPr>
    </w:p>
    <w:p>
      <w:pPr>
        <w:jc w:val="both"/>
        <w:ind w:firstLine="654"/>
        <w:spacing w:after="0" w:line="257" w:lineRule="auto"/>
        <w:tabs>
          <w:tab w:leader="none" w:pos="1108"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to be given or delivered to the Company under the terms of this Agreement shall be in writing and addressed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Corporate Secretary of the Company at its principal corporate offices. Any notice required to be given or delivered to the Participant shall be in writing and addressed to the Participant at the last address provided by the Participant to the Company. All notices shall be deemed to have been given or delivered upon: (i) personal delivery; (ii) three (3) days after deposit in the United States mail by certified or registered mail (return receipt requested); or (iii) one (1) business day after deposit with any return receipt express courier (prepaid).</w:t>
      </w:r>
    </w:p>
    <w:p>
      <w:pPr>
        <w:spacing w:after="0" w:line="183" w:lineRule="exact"/>
        <w:rPr>
          <w:rFonts w:ascii="Arial" w:cs="Arial" w:eastAsia="Arial" w:hAnsi="Arial"/>
          <w:sz w:val="18"/>
          <w:szCs w:val="18"/>
          <w:b w:val="1"/>
          <w:bCs w:val="1"/>
          <w:color w:val="auto"/>
        </w:rPr>
      </w:pPr>
    </w:p>
    <w:p>
      <w:pPr>
        <w:jc w:val="both"/>
        <w:ind w:firstLine="654"/>
        <w:spacing w:after="0" w:line="260" w:lineRule="auto"/>
        <w:tabs>
          <w:tab w:leader="none" w:pos="1162"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may assign any of its rights under this Agreement, including its rights to purchase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Right of First Refusal and Repurchase Option. This Agreement shall be binding upon and inure to the benefit of the successors and assigns of the Company. Subject to the restrictions on transfer set forth herein, this Stock Option Agreement shall be binding upon the Participant and the Participant’s heirs, executors, administrators, legal representatives, successors and assigns.</w:t>
      </w:r>
    </w:p>
    <w:p>
      <w:pPr>
        <w:spacing w:after="0" w:line="179" w:lineRule="exact"/>
        <w:rPr>
          <w:rFonts w:ascii="Arial" w:cs="Arial" w:eastAsia="Arial" w:hAnsi="Arial"/>
          <w:sz w:val="18"/>
          <w:szCs w:val="18"/>
          <w:b w:val="1"/>
          <w:bCs w:val="1"/>
          <w:color w:val="auto"/>
        </w:rPr>
      </w:pPr>
    </w:p>
    <w:p>
      <w:pPr>
        <w:jc w:val="both"/>
        <w:ind w:firstLine="654"/>
        <w:spacing w:after="0" w:line="260" w:lineRule="auto"/>
        <w:tabs>
          <w:tab w:leader="none" w:pos="1094"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Stock Option Agreement shall be governed by and construed in accordance with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laws are applied to agreements between California residents entered into and to be performed entirely within California. If any provision of this Stock Option Agreement is determined by a court of law to be illegal or unenforceable, then such provision will be enforced to the maximum extent possible and the other provisions will remain fully effective and enforceable.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74" w:name="page475"/>
    <w:bookmarkEnd w:id="474"/>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NOTICE OF EXERCISE (WITH ATTACHED FORM OF STOCK OPTION EXERCISE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512445</wp:posOffset>
            </wp:positionV>
            <wp:extent cx="724725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60"/>
          </w:cols>
          <w:pgMar w:left="1420" w:top="579" w:right="141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auto"/>
        </w:rPr>
        <w:t>VAXART,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395 Oyster Point Blvd., Suite 405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0"/>
          <w:szCs w:val="20"/>
          <w:color w:val="auto"/>
        </w:rPr>
      </w:pPr>
    </w:p>
    <w:p>
      <w:pPr>
        <w:ind w:right="60" w:firstLine="654"/>
        <w:spacing w:after="0" w:line="287" w:lineRule="auto"/>
        <w:tabs>
          <w:tab w:leader="none" w:pos="1005"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named below (the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was granted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shares of Common Stock of Vaxart, Inc.,</w:t>
      </w:r>
      <w:r>
        <w:rPr>
          <w:rFonts w:ascii="Arial" w:cs="Arial" w:eastAsia="Arial" w:hAnsi="Arial"/>
          <w:sz w:val="17"/>
          <w:szCs w:val="17"/>
          <w:b w:val="1"/>
          <w:bCs w:val="1"/>
          <w:color w:val="auto"/>
        </w:rPr>
        <w:t xml:space="preserve"> </w:t>
      </w:r>
      <w:r>
        <w:rPr>
          <w:rFonts w:ascii="Arial" w:cs="Arial" w:eastAsia="Arial" w:hAnsi="Arial"/>
          <w:sz w:val="17"/>
          <w:szCs w:val="17"/>
          <w:color w:val="auto"/>
        </w:rPr>
        <w:t>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the Company’s 2007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by Notice of Stock Option Grant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the Stock Option Agreement (the “</w:t>
      </w:r>
      <w:r>
        <w:rPr>
          <w:rFonts w:ascii="Arial" w:cs="Arial" w:eastAsia="Arial" w:hAnsi="Arial"/>
          <w:sz w:val="17"/>
          <w:szCs w:val="17"/>
          <w:b w:val="1"/>
          <w:bCs w:val="1"/>
          <w:i w:val="1"/>
          <w:iCs w:val="1"/>
          <w:color w:val="auto"/>
        </w:rPr>
        <w:t>Stock Option Agreement</w:t>
      </w:r>
      <w:r>
        <w:rPr>
          <w:rFonts w:ascii="Arial" w:cs="Arial" w:eastAsia="Arial" w:hAnsi="Arial"/>
          <w:sz w:val="17"/>
          <w:szCs w:val="17"/>
          <w:color w:val="auto"/>
        </w:rPr>
        <w:t>”) attached thereto, as described below.</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Purchaser’s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14605</wp:posOffset>
            </wp:positionV>
            <wp:extent cx="49225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4922520" cy="8255"/>
                    </a:xfrm>
                    <a:prstGeom prst="rect">
                      <a:avLst/>
                    </a:prstGeom>
                    <a:noFill/>
                  </pic:spPr>
                </pic:pic>
              </a:graphicData>
            </a:graphic>
          </wp:anchor>
        </w:drawing>
      </w:r>
    </w:p>
    <w:p>
      <w:pPr>
        <w:spacing w:after="0" w:line="2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Date of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14605</wp:posOffset>
            </wp:positionV>
            <wp:extent cx="47428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4742815" cy="8255"/>
                    </a:xfrm>
                    <a:prstGeom prst="rect">
                      <a:avLst/>
                    </a:prstGeom>
                    <a:noFill/>
                  </pic:spPr>
                </pic:pic>
              </a:graphicData>
            </a:graphic>
          </wp:anchor>
        </w:drawing>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Number of Shares Initially Subject to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-2540</wp:posOffset>
            </wp:positionV>
            <wp:extent cx="3820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3820160" cy="8255"/>
                    </a:xfrm>
                    <a:prstGeom prst="rect">
                      <a:avLst/>
                    </a:prstGeom>
                    <a:noFill/>
                  </pic:spPr>
                </pic:pic>
              </a:graphicData>
            </a:graphic>
          </wp:anchor>
        </w:drawing>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Exercise Price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14605</wp:posOffset>
            </wp:positionV>
            <wp:extent cx="46316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6">
                      <a:extLst>
                        <a:ext uri="{28A0092B-C50C-407E-A947-70E740481C1C}"/>
                      </a:extLst>
                    </a:blip>
                    <a:srcRect/>
                    <a:stretch>
                      <a:fillRect/>
                    </a:stretch>
                  </pic:blipFill>
                  <pic:spPr bwMode="auto">
                    <a:xfrm>
                      <a:off x="0" y="0"/>
                      <a:ext cx="4631690" cy="8255"/>
                    </a:xfrm>
                    <a:prstGeom prst="rect">
                      <a:avLst/>
                    </a:prstGeom>
                    <a:noFill/>
                  </pic:spPr>
                </pic:pic>
              </a:graphicData>
            </a:graphic>
          </wp:anchor>
        </w:drawing>
      </w:r>
    </w:p>
    <w:p>
      <w:pPr>
        <w:spacing w:after="0" w:line="211" w:lineRule="exact"/>
        <w:rPr>
          <w:sz w:val="20"/>
          <w:szCs w:val="20"/>
          <w:color w:val="auto"/>
        </w:rPr>
      </w:pPr>
    </w:p>
    <w:p>
      <w:pPr>
        <w:ind w:left="980"/>
        <w:spacing w:after="0" w:line="207" w:lineRule="exact"/>
        <w:tabs>
          <w:tab w:leader="none" w:pos="3620" w:val="left"/>
          <w:tab w:leader="none" w:pos="5800"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Incentive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Nonqualified</w:t>
      </w:r>
    </w:p>
    <w:p>
      <w:pPr>
        <w:spacing w:after="0" w:line="200" w:lineRule="exact"/>
        <w:rPr>
          <w:sz w:val="20"/>
          <w:szCs w:val="20"/>
          <w:color w:val="auto"/>
        </w:rPr>
      </w:pPr>
    </w:p>
    <w:p>
      <w:pPr>
        <w:spacing w:after="0" w:line="295" w:lineRule="exact"/>
        <w:rPr>
          <w:sz w:val="20"/>
          <w:szCs w:val="20"/>
          <w:color w:val="auto"/>
        </w:rPr>
      </w:pPr>
    </w:p>
    <w:p>
      <w:pPr>
        <w:ind w:right="40" w:firstLine="654"/>
        <w:spacing w:after="0" w:line="280" w:lineRule="auto"/>
        <w:tabs>
          <w:tab w:leader="none" w:pos="1005"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elect to exercise the Option to purchase the following number of Shares, as authorized by the Grant Notice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Agreement: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Total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14605</wp:posOffset>
            </wp:positionV>
            <wp:extent cx="46316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7">
                      <a:extLst>
                        <a:ext uri="{28A0092B-C50C-407E-A947-70E740481C1C}"/>
                      </a:extLst>
                    </a:blip>
                    <a:srcRect/>
                    <a:stretch>
                      <a:fillRect/>
                    </a:stretch>
                  </pic:blipFill>
                  <pic:spPr bwMode="auto">
                    <a:xfrm>
                      <a:off x="0" y="0"/>
                      <a:ext cx="4631690" cy="8255"/>
                    </a:xfrm>
                    <a:prstGeom prst="rect">
                      <a:avLst/>
                    </a:prstGeom>
                    <a:noFill/>
                  </pic:spPr>
                </pic:pic>
              </a:graphicData>
            </a:graphic>
          </wp:anchor>
        </w:drawing>
      </w:r>
    </w:p>
    <w:p>
      <w:pPr>
        <w:spacing w:after="0" w:line="244" w:lineRule="exact"/>
        <w:rPr>
          <w:sz w:val="20"/>
          <w:szCs w:val="20"/>
          <w:color w:val="auto"/>
        </w:rPr>
      </w:pPr>
    </w:p>
    <w:p>
      <w:pPr>
        <w:ind w:left="980"/>
        <w:spacing w:after="0"/>
        <w:tabs>
          <w:tab w:leader="none" w:pos="2700" w:val="left"/>
        </w:tabs>
        <w:rPr>
          <w:sz w:val="20"/>
          <w:szCs w:val="20"/>
          <w:color w:val="auto"/>
        </w:rPr>
      </w:pPr>
      <w:r>
        <w:rPr>
          <w:rFonts w:ascii="Arial" w:cs="Arial" w:eastAsia="Arial" w:hAnsi="Arial"/>
          <w:sz w:val="18"/>
          <w:szCs w:val="18"/>
          <w:color w:val="auto"/>
        </w:rPr>
        <w:t>Total Exercise Price: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14605</wp:posOffset>
            </wp:positionV>
            <wp:extent cx="46920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8">
                      <a:extLst>
                        <a:ext uri="{28A0092B-C50C-407E-A947-70E740481C1C}"/>
                      </a:extLst>
                    </a:blip>
                    <a:srcRect/>
                    <a:stretch>
                      <a:fillRect/>
                    </a:stretch>
                  </pic:blipFill>
                  <pic:spPr bwMode="auto">
                    <a:xfrm>
                      <a:off x="0" y="0"/>
                      <a:ext cx="4692015" cy="825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Total Shares Purchase multiplied by the Exercise Price per Share)</w:t>
      </w:r>
    </w:p>
    <w:p>
      <w:pPr>
        <w:spacing w:after="0" w:line="200" w:lineRule="exact"/>
        <w:rPr>
          <w:sz w:val="20"/>
          <w:szCs w:val="20"/>
          <w:color w:val="auto"/>
        </w:rPr>
      </w:pPr>
    </w:p>
    <w:p>
      <w:pPr>
        <w:ind w:left="1020" w:hanging="366"/>
        <w:spacing w:after="0"/>
        <w:tabs>
          <w:tab w:leader="none" w:pos="1020"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 enclose payment in full of the total exercise price for the Shares in the following form(s), as authorized by my Stock Option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38" w:lineRule="exact"/>
        <w:rPr>
          <w:sz w:val="20"/>
          <w:szCs w:val="20"/>
          <w:color w:val="auto"/>
        </w:rPr>
      </w:pPr>
    </w:p>
    <w:p>
      <w:pPr>
        <w:ind w:left="1180" w:hanging="203"/>
        <w:spacing w:after="0"/>
        <w:tabs>
          <w:tab w:leader="none" w:pos="1180" w:val="left"/>
        </w:tabs>
        <w:numPr>
          <w:ilvl w:val="0"/>
          <w:numId w:val="433"/>
        </w:numPr>
        <w:rPr>
          <w:rFonts w:ascii="MS PGothic" w:cs="MS PGothic" w:eastAsia="MS PGothic" w:hAnsi="MS PGothic"/>
          <w:sz w:val="18"/>
          <w:szCs w:val="18"/>
          <w:color w:val="auto"/>
        </w:rPr>
      </w:pPr>
      <w:r>
        <w:rPr>
          <w:rFonts w:ascii="Arial" w:cs="Arial" w:eastAsia="Arial" w:hAnsi="Arial"/>
          <w:sz w:val="18"/>
          <w:szCs w:val="18"/>
          <w:color w:val="auto"/>
        </w:rPr>
        <w:t xml:space="preserve">Cash (by check, with a copy attached hereto as </w:t>
      </w:r>
      <w:r>
        <w:rPr>
          <w:rFonts w:ascii="Arial" w:cs="Arial" w:eastAsia="Arial" w:hAnsi="Arial"/>
          <w:sz w:val="18"/>
          <w:szCs w:val="18"/>
          <w:u w:val="single" w:color="auto"/>
          <w:color w:val="auto"/>
        </w:rPr>
        <w:t>Attachment</w:t>
      </w:r>
      <w:r>
        <w:rPr>
          <w:rFonts w:ascii="Arial" w:cs="Arial" w:eastAsia="Arial" w:hAnsi="Arial"/>
          <w:sz w:val="18"/>
          <w:szCs w:val="18"/>
          <w:color w:val="auto"/>
        </w:rPr>
        <w:t xml:space="preserve"> </w:t>
      </w:r>
      <w:r>
        <w:rPr>
          <w:rFonts w:ascii="Arial" w:cs="Arial" w:eastAsia="Arial" w:hAnsi="Arial"/>
          <w:sz w:val="35"/>
          <w:szCs w:val="35"/>
          <w:color w:val="auto"/>
          <w:vertAlign w:val="subscript"/>
        </w:rPr>
        <w:t>$</w:t>
      </w:r>
    </w:p>
    <w:p>
      <w:pPr>
        <w:ind w:left="980"/>
        <w:spacing w:after="0"/>
        <w:rPr>
          <w:rFonts w:ascii="MS PGothic" w:cs="MS PGothic" w:eastAsia="MS PGothic" w:hAnsi="MS PGothic"/>
          <w:sz w:val="18"/>
          <w:szCs w:val="18"/>
          <w:color w:val="auto"/>
        </w:rPr>
      </w:pPr>
      <w:r>
        <w:rPr>
          <w:rFonts w:ascii="Arial" w:cs="Arial" w:eastAsia="Arial" w:hAnsi="Arial"/>
          <w:sz w:val="18"/>
          <w:szCs w:val="18"/>
          <w:u w:val="single" w:color="auto"/>
          <w:color w:val="auto"/>
        </w:rPr>
        <w:t>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-3810</wp:posOffset>
            </wp:positionV>
            <wp:extent cx="28968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9">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248"/>
        </w:trPr>
        <w:tc>
          <w:tcPr>
            <w:tcW w:w="4240" w:type="dxa"/>
            <w:vAlign w:val="bottom"/>
          </w:tcPr>
          <w:p>
            <w:pPr>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Cancellation of indebtedness of the Company owed to</w:t>
            </w:r>
          </w:p>
        </w:tc>
        <w:tc>
          <w:tcPr>
            <w:tcW w:w="4880" w:type="dxa"/>
            <w:vAlign w:val="bottom"/>
            <w:gridSpan w:val="2"/>
            <w:vMerge w:val="restart"/>
          </w:tcPr>
          <w:p>
            <w:pPr>
              <w:jc w:val="right"/>
              <w:ind w:right="4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4240" w:type="dxa"/>
            <w:vAlign w:val="bottom"/>
            <w:vMerge w:val="restart"/>
          </w:tcPr>
          <w:p>
            <w:pPr>
              <w:spacing w:after="0"/>
              <w:rPr>
                <w:sz w:val="20"/>
                <w:szCs w:val="20"/>
                <w:color w:val="auto"/>
              </w:rPr>
            </w:pPr>
            <w:r>
              <w:rPr>
                <w:rFonts w:ascii="Arial" w:cs="Arial" w:eastAsia="Arial" w:hAnsi="Arial"/>
                <w:sz w:val="18"/>
                <w:szCs w:val="18"/>
                <w:color w:val="auto"/>
              </w:rPr>
              <w:t>me:</w:t>
            </w:r>
          </w:p>
        </w:tc>
        <w:tc>
          <w:tcPr>
            <w:tcW w:w="4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right="6880" w:hanging="3"/>
        <w:spacing w:after="0" w:line="281" w:lineRule="auto"/>
        <w:tabs>
          <w:tab w:leader="none" w:pos="1186" w:val="left"/>
        </w:tabs>
        <w:numPr>
          <w:ilvl w:val="0"/>
          <w:numId w:val="434"/>
        </w:numPr>
        <w:rPr>
          <w:rFonts w:ascii="MS PGothic" w:cs="MS PGothic" w:eastAsia="MS PGothic" w:hAnsi="MS PGothic"/>
          <w:sz w:val="16"/>
          <w:szCs w:val="16"/>
          <w:color w:val="auto"/>
        </w:rPr>
      </w:pPr>
      <w:r>
        <w:rPr>
          <w:rFonts w:ascii="Arial" w:cs="Arial" w:eastAsia="Arial" w:hAnsi="Arial"/>
          <w:sz w:val="16"/>
          <w:szCs w:val="16"/>
          <w:color w:val="auto"/>
        </w:rPr>
        <w:t>Tender of ___________ fully paid, nonassessable and vested shares of Company Common Stock (such shares must meet the eligibility requirements set forth in Section 4.3(b)</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40" w:type="dxa"/>
            <w:vAlign w:val="bottom"/>
          </w:tcPr>
          <w:p>
            <w:pPr>
              <w:ind w:left="980"/>
              <w:spacing w:after="0"/>
              <w:rPr>
                <w:sz w:val="20"/>
                <w:szCs w:val="20"/>
                <w:color w:val="auto"/>
              </w:rPr>
            </w:pPr>
            <w:r>
              <w:rPr>
                <w:rFonts w:ascii="Arial" w:cs="Arial" w:eastAsia="Arial" w:hAnsi="Arial"/>
                <w:sz w:val="18"/>
                <w:szCs w:val="18"/>
                <w:color w:val="auto"/>
              </w:rPr>
              <w:t>of the Option Agreement):</w:t>
            </w: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color w:val="auto"/>
                <w:w w:val="71"/>
              </w:rPr>
              <w:t>$</w:t>
            </w:r>
          </w:p>
        </w:tc>
        <w:tc>
          <w:tcPr>
            <w:tcW w:w="52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640" w:type="dxa"/>
            <w:vAlign w:val="bottom"/>
          </w:tcPr>
          <w:p>
            <w:pPr>
              <w:ind w:left="9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Waiver of compensation due or accrued for</w:t>
            </w:r>
          </w:p>
        </w:tc>
        <w:tc>
          <w:tcPr>
            <w:tcW w:w="5460" w:type="dxa"/>
            <w:vAlign w:val="bottom"/>
            <w:gridSpan w:val="2"/>
            <w:vMerge w:val="restart"/>
          </w:tcPr>
          <w:p>
            <w:pPr>
              <w:jc w:val="right"/>
              <w:ind w:right="51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640" w:type="dxa"/>
            <w:vAlign w:val="bottom"/>
            <w:vMerge w:val="restart"/>
          </w:tcPr>
          <w:p>
            <w:pPr>
              <w:ind w:left="980"/>
              <w:spacing w:after="0"/>
              <w:rPr>
                <w:sz w:val="20"/>
                <w:szCs w:val="20"/>
                <w:color w:val="auto"/>
              </w:rPr>
            </w:pPr>
            <w:r>
              <w:rPr>
                <w:rFonts w:ascii="Arial" w:cs="Arial" w:eastAsia="Arial" w:hAnsi="Arial"/>
                <w:sz w:val="18"/>
                <w:szCs w:val="18"/>
                <w:color w:val="auto"/>
              </w:rPr>
              <w:t>services:</w:t>
            </w:r>
          </w:p>
        </w:tc>
        <w:tc>
          <w:tcPr>
            <w:tcW w:w="5460" w:type="dxa"/>
            <w:vAlign w:val="bottom"/>
            <w:gridSpan w:val="2"/>
            <w:vMerge w:val="continue"/>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2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3"/>
        </w:trPr>
        <w:tc>
          <w:tcPr>
            <w:tcW w:w="4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476" w:name="page477"/>
    <w:bookmarkEnd w:id="476"/>
    <w:p>
      <w:pPr>
        <w:ind w:left="1020" w:hanging="366"/>
        <w:spacing w:after="0"/>
        <w:tabs>
          <w:tab w:leader="none" w:pos="1020" w:val="left"/>
        </w:tabs>
        <w:numPr>
          <w:ilvl w:val="0"/>
          <w:numId w:val="43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Optionee Information</w:t>
      </w:r>
      <w:r>
        <w:rPr>
          <w:rFonts w:ascii="Arial" w:cs="Arial" w:eastAsia="Arial" w:hAnsi="Arial"/>
          <w:sz w:val="18"/>
          <w:szCs w:val="18"/>
          <w:b w:val="1"/>
          <w:bCs w:val="1"/>
          <w:color w:val="auto"/>
        </w:rPr>
        <w:t>.</w:t>
      </w:r>
    </w:p>
    <w:p>
      <w:pPr>
        <w:spacing w:after="0" w:line="2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My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14605</wp:posOffset>
            </wp:positionV>
            <wp:extent cx="50933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0">
                      <a:extLst>
                        <a:ext uri="{28A0092B-C50C-407E-A947-70E740481C1C}"/>
                      </a:extLst>
                    </a:blip>
                    <a:srcRect/>
                    <a:stretch>
                      <a:fillRect/>
                    </a:stretch>
                  </pic:blipFill>
                  <pic:spPr bwMode="auto">
                    <a:xfrm>
                      <a:off x="0" y="0"/>
                      <a:ext cx="509333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296545</wp:posOffset>
            </wp:positionV>
            <wp:extent cx="50933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1">
                      <a:extLst>
                        <a:ext uri="{28A0092B-C50C-407E-A947-70E740481C1C}"/>
                      </a:extLst>
                    </a:blip>
                    <a:srcRect/>
                    <a:stretch>
                      <a:fillRect/>
                    </a:stretch>
                  </pic:blipFill>
                  <pic:spPr bwMode="auto">
                    <a:xfrm>
                      <a:off x="0" y="0"/>
                      <a:ext cx="5093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My Social Security Number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-2540</wp:posOffset>
            </wp:positionV>
            <wp:extent cx="446087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2">
                      <a:extLst>
                        <a:ext uri="{28A0092B-C50C-407E-A947-70E740481C1C}"/>
                      </a:extLst>
                    </a:blip>
                    <a:srcRect/>
                    <a:stretch>
                      <a:fillRect/>
                    </a:stretch>
                  </pic:blipFill>
                  <pic:spPr bwMode="auto">
                    <a:xfrm>
                      <a:off x="0" y="0"/>
                      <a:ext cx="4460875" cy="8255"/>
                    </a:xfrm>
                    <a:prstGeom prst="rect">
                      <a:avLst/>
                    </a:prstGeom>
                    <a:noFill/>
                  </pic:spPr>
                </pic:pic>
              </a:graphicData>
            </a:graphic>
          </wp:anchor>
        </w:drawing>
      </w:r>
    </w:p>
    <w:p>
      <w:pPr>
        <w:spacing w:after="0" w:line="212" w:lineRule="exact"/>
        <w:rPr>
          <w:sz w:val="20"/>
          <w:szCs w:val="20"/>
          <w:color w:val="auto"/>
        </w:rPr>
      </w:pPr>
    </w:p>
    <w:p>
      <w:pPr>
        <w:ind w:left="1020" w:hanging="366"/>
        <w:spacing w:after="0"/>
        <w:tabs>
          <w:tab w:leader="none" w:pos="1020"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Title to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exact spelling of the name(s) under which I will take title to the Shares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290195</wp:posOffset>
            </wp:positionV>
            <wp:extent cx="579437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3">
                      <a:extLst>
                        <a:ext uri="{28A0092B-C50C-407E-A947-70E740481C1C}"/>
                      </a:extLst>
                    </a:blip>
                    <a:srcRect/>
                    <a:stretch>
                      <a:fillRect/>
                    </a:stretch>
                  </pic:blipFill>
                  <pic:spPr bwMode="auto">
                    <a:xfrm>
                      <a:off x="0" y="0"/>
                      <a:ext cx="5794375"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572135</wp:posOffset>
            </wp:positionV>
            <wp:extent cx="579437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 desire to take title to the Shares as follows:</w:t>
      </w:r>
    </w:p>
    <w:p>
      <w:pPr>
        <w:spacing w:after="0" w:line="224" w:lineRule="exact"/>
        <w:rPr>
          <w:sz w:val="20"/>
          <w:szCs w:val="20"/>
          <w:color w:val="auto"/>
        </w:rPr>
      </w:pPr>
    </w:p>
    <w:p>
      <w:pPr>
        <w:ind w:left="1160" w:hanging="183"/>
        <w:spacing w:after="0"/>
        <w:tabs>
          <w:tab w:leader="none" w:pos="1160" w:val="left"/>
        </w:tabs>
        <w:numPr>
          <w:ilvl w:val="0"/>
          <w:numId w:val="437"/>
        </w:numPr>
        <w:rPr>
          <w:rFonts w:ascii="MS PGothic" w:cs="MS PGothic" w:eastAsia="MS PGothic" w:hAnsi="MS PGothic"/>
          <w:sz w:val="18"/>
          <w:szCs w:val="18"/>
          <w:color w:val="auto"/>
        </w:rPr>
      </w:pPr>
      <w:r>
        <w:rPr>
          <w:rFonts w:ascii="Arial" w:cs="Arial" w:eastAsia="Arial" w:hAnsi="Arial"/>
          <w:sz w:val="18"/>
          <w:szCs w:val="18"/>
          <w:color w:val="auto"/>
        </w:rPr>
        <w:t>Individual, as separate property</w:t>
      </w:r>
    </w:p>
    <w:p>
      <w:pPr>
        <w:spacing w:after="0" w:line="223" w:lineRule="exact"/>
        <w:rPr>
          <w:rFonts w:ascii="MS PGothic" w:cs="MS PGothic" w:eastAsia="MS PGothic" w:hAnsi="MS PGothic"/>
          <w:sz w:val="18"/>
          <w:szCs w:val="18"/>
          <w:color w:val="auto"/>
        </w:rPr>
      </w:pPr>
    </w:p>
    <w:p>
      <w:pPr>
        <w:ind w:left="1160" w:hanging="183"/>
        <w:spacing w:after="0"/>
        <w:tabs>
          <w:tab w:leader="none" w:pos="1160" w:val="left"/>
        </w:tabs>
        <w:numPr>
          <w:ilvl w:val="0"/>
          <w:numId w:val="437"/>
        </w:numPr>
        <w:rPr>
          <w:rFonts w:ascii="MS PGothic" w:cs="MS PGothic" w:eastAsia="MS PGothic" w:hAnsi="MS PGothic"/>
          <w:sz w:val="18"/>
          <w:szCs w:val="18"/>
          <w:color w:val="auto"/>
        </w:rPr>
      </w:pPr>
      <w:r>
        <w:rPr>
          <w:rFonts w:ascii="Arial" w:cs="Arial" w:eastAsia="Arial" w:hAnsi="Arial"/>
          <w:sz w:val="18"/>
          <w:szCs w:val="18"/>
          <w:color w:val="auto"/>
        </w:rPr>
        <w:t>Husband and wife, as community property</w:t>
      </w:r>
    </w:p>
    <w:p>
      <w:pPr>
        <w:spacing w:after="0" w:line="223" w:lineRule="exact"/>
        <w:rPr>
          <w:rFonts w:ascii="MS PGothic" w:cs="MS PGothic" w:eastAsia="MS PGothic" w:hAnsi="MS PGothic"/>
          <w:sz w:val="18"/>
          <w:szCs w:val="18"/>
          <w:color w:val="auto"/>
        </w:rPr>
      </w:pPr>
    </w:p>
    <w:p>
      <w:pPr>
        <w:ind w:left="1160" w:hanging="183"/>
        <w:spacing w:after="0"/>
        <w:tabs>
          <w:tab w:leader="none" w:pos="1160" w:val="left"/>
        </w:tabs>
        <w:numPr>
          <w:ilvl w:val="0"/>
          <w:numId w:val="437"/>
        </w:numPr>
        <w:rPr>
          <w:rFonts w:ascii="MS PGothic" w:cs="MS PGothic" w:eastAsia="MS PGothic" w:hAnsi="MS PGothic"/>
          <w:sz w:val="18"/>
          <w:szCs w:val="18"/>
          <w:color w:val="auto"/>
        </w:rPr>
      </w:pPr>
      <w:r>
        <w:rPr>
          <w:rFonts w:ascii="Arial" w:cs="Arial" w:eastAsia="Arial" w:hAnsi="Arial"/>
          <w:sz w:val="18"/>
          <w:szCs w:val="18"/>
          <w:color w:val="auto"/>
        </w:rPr>
        <w:t>Joint Tenants</w:t>
      </w:r>
    </w:p>
    <w:p>
      <w:pPr>
        <w:spacing w:after="0" w:line="223" w:lineRule="exact"/>
        <w:rPr>
          <w:rFonts w:ascii="MS PGothic" w:cs="MS PGothic" w:eastAsia="MS PGothic" w:hAnsi="MS PGothic"/>
          <w:sz w:val="18"/>
          <w:szCs w:val="18"/>
          <w:color w:val="auto"/>
        </w:rPr>
      </w:pPr>
    </w:p>
    <w:p>
      <w:pPr>
        <w:ind w:left="1160" w:hanging="183"/>
        <w:spacing w:after="0"/>
        <w:tabs>
          <w:tab w:leader="none" w:pos="1160" w:val="left"/>
        </w:tabs>
        <w:numPr>
          <w:ilvl w:val="0"/>
          <w:numId w:val="437"/>
        </w:numPr>
        <w:rPr>
          <w:rFonts w:ascii="MS PGothic" w:cs="MS PGothic" w:eastAsia="MS PGothic" w:hAnsi="MS PGothic"/>
          <w:sz w:val="18"/>
          <w:szCs w:val="18"/>
          <w:color w:val="auto"/>
        </w:rPr>
      </w:pPr>
      <w:r>
        <w:rPr>
          <w:rFonts w:ascii="Arial" w:cs="Arial" w:eastAsia="Arial" w:hAnsi="Arial"/>
          <w:sz w:val="18"/>
          <w:szCs w:val="18"/>
          <w:color w:val="auto"/>
        </w:rPr>
        <w:t>Other;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1782445</wp:posOffset>
            </wp:positionH>
            <wp:positionV relativeFrom="paragraph">
              <wp:posOffset>14605</wp:posOffset>
            </wp:positionV>
            <wp:extent cx="46316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5">
                      <a:extLst>
                        <a:ext uri="{28A0092B-C50C-407E-A947-70E740481C1C}"/>
                      </a:extLst>
                    </a:blip>
                    <a:srcRect/>
                    <a:stretch>
                      <a:fillRect/>
                    </a:stretch>
                  </pic:blipFill>
                  <pic:spPr bwMode="auto">
                    <a:xfrm>
                      <a:off x="0" y="0"/>
                      <a:ext cx="4631690" cy="8255"/>
                    </a:xfrm>
                    <a:prstGeom prst="rect">
                      <a:avLst/>
                    </a:prstGeom>
                    <a:noFill/>
                  </pic:spPr>
                </pic:pic>
              </a:graphicData>
            </a:graphic>
          </wp:anchor>
        </w:drawing>
      </w:r>
    </w:p>
    <w:p>
      <w:pPr>
        <w:spacing w:after="0" w:line="217" w:lineRule="exact"/>
        <w:rPr>
          <w:sz w:val="20"/>
          <w:szCs w:val="20"/>
          <w:color w:val="auto"/>
        </w:rPr>
      </w:pPr>
    </w:p>
    <w:p>
      <w:pPr>
        <w:ind w:left="980" w:right="20"/>
        <w:spacing w:after="0" w:line="276" w:lineRule="auto"/>
        <w:rPr>
          <w:sz w:val="20"/>
          <w:szCs w:val="20"/>
          <w:color w:val="auto"/>
        </w:rPr>
      </w:pPr>
      <w:r>
        <w:rPr>
          <w:rFonts w:ascii="Arial" w:cs="Arial" w:eastAsia="Arial" w:hAnsi="Arial"/>
          <w:sz w:val="18"/>
          <w:szCs w:val="18"/>
          <w:color w:val="auto"/>
        </w:rPr>
        <w:t>To assign the Shares to a trust, a stock transfer agreement in the form provided by the Company (the “</w:t>
      </w:r>
      <w:r>
        <w:rPr>
          <w:rFonts w:ascii="Arial" w:cs="Arial" w:eastAsia="Arial" w:hAnsi="Arial"/>
          <w:sz w:val="18"/>
          <w:szCs w:val="18"/>
          <w:b w:val="1"/>
          <w:bCs w:val="1"/>
          <w:i w:val="1"/>
          <w:iCs w:val="1"/>
          <w:color w:val="auto"/>
        </w:rPr>
        <w:t>Stock Transfer Agreement</w:t>
      </w:r>
      <w:r>
        <w:rPr>
          <w:rFonts w:ascii="Arial" w:cs="Arial" w:eastAsia="Arial" w:hAnsi="Arial"/>
          <w:sz w:val="18"/>
          <w:szCs w:val="18"/>
          <w:color w:val="auto"/>
        </w:rPr>
        <w:t>”) must be completed and executed.</w:t>
      </w:r>
    </w:p>
    <w:p>
      <w:pPr>
        <w:spacing w:after="0" w:line="166" w:lineRule="exact"/>
        <w:rPr>
          <w:sz w:val="20"/>
          <w:szCs w:val="20"/>
          <w:color w:val="auto"/>
        </w:rPr>
      </w:pPr>
    </w:p>
    <w:p>
      <w:pPr>
        <w:ind w:firstLine="654"/>
        <w:spacing w:after="0" w:line="287" w:lineRule="auto"/>
        <w:tabs>
          <w:tab w:leader="none" w:pos="1005" w:val="left"/>
        </w:tabs>
        <w:numPr>
          <w:ilvl w:val="0"/>
          <w:numId w:val="438"/>
        </w:numPr>
        <w:rPr>
          <w:rFonts w:ascii="Arial" w:cs="Arial" w:eastAsia="Arial" w:hAnsi="Arial"/>
          <w:sz w:val="17"/>
          <w:szCs w:val="17"/>
          <w:color w:val="auto"/>
        </w:rPr>
      </w:pPr>
      <w:r>
        <w:rPr>
          <w:rFonts w:ascii="Arial" w:cs="Arial" w:eastAsia="Arial" w:hAnsi="Arial"/>
          <w:sz w:val="17"/>
          <w:szCs w:val="17"/>
          <w:b w:val="1"/>
          <w:bCs w:val="1"/>
          <w:u w:val="single" w:color="auto"/>
          <w:color w:val="auto"/>
        </w:rPr>
        <w:t>Exhibits</w:t>
      </w:r>
      <w:r>
        <w:rPr>
          <w:rFonts w:ascii="Arial" w:cs="Arial" w:eastAsia="Arial" w:hAnsi="Arial"/>
          <w:sz w:val="17"/>
          <w:szCs w:val="17"/>
          <w:b w:val="1"/>
          <w:bCs w:val="1"/>
          <w:color w:val="auto"/>
        </w:rPr>
        <w:t xml:space="preserve">. </w:t>
      </w:r>
      <w:r>
        <w:rPr>
          <w:rFonts w:ascii="Arial" w:cs="Arial" w:eastAsia="Arial" w:hAnsi="Arial"/>
          <w:sz w:val="17"/>
          <w:szCs w:val="17"/>
          <w:color w:val="auto"/>
        </w:rPr>
        <w:t>I hereby acknowledge that (i) I (and my spouse, if any) have executed two (2) copies of a blank Stock Power and Assignment Separate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Stock Certificate in the form attached as </w:t>
      </w:r>
      <w:r>
        <w:rPr>
          <w:rFonts w:ascii="Arial" w:cs="Arial" w:eastAsia="Arial" w:hAnsi="Arial"/>
          <w:sz w:val="17"/>
          <w:szCs w:val="17"/>
          <w:u w:val="single" w:color="auto"/>
          <w:color w:val="auto"/>
        </w:rPr>
        <w:t>Attachment 1</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Stock Powers</w:t>
      </w:r>
      <w:r>
        <w:rPr>
          <w:rFonts w:ascii="Arial" w:cs="Arial" w:eastAsia="Arial" w:hAnsi="Arial"/>
          <w:sz w:val="17"/>
          <w:szCs w:val="17"/>
          <w:color w:val="auto"/>
        </w:rPr>
        <w:t xml:space="preserve">”); and (ii) if I am married, my spouse has executed a Consent of Spouse in the form attached as </w:t>
      </w:r>
      <w:r>
        <w:rPr>
          <w:rFonts w:ascii="Arial" w:cs="Arial" w:eastAsia="Arial" w:hAnsi="Arial"/>
          <w:sz w:val="17"/>
          <w:szCs w:val="17"/>
          <w:u w:val="single" w:color="auto"/>
          <w:color w:val="auto"/>
        </w:rPr>
        <w:t>Attachment 2</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Spouse Consent</w:t>
      </w:r>
      <w:r>
        <w:rPr>
          <w:rFonts w:ascii="Arial" w:cs="Arial" w:eastAsia="Arial" w:hAnsi="Arial"/>
          <w:sz w:val="17"/>
          <w:szCs w:val="17"/>
          <w:color w:val="auto"/>
        </w:rPr>
        <w:t>”), all of which are delivered herewith to the Company.</w:t>
      </w:r>
    </w:p>
    <w:p>
      <w:pPr>
        <w:spacing w:after="0" w:line="160" w:lineRule="exact"/>
        <w:rPr>
          <w:sz w:val="20"/>
          <w:szCs w:val="20"/>
          <w:color w:val="auto"/>
        </w:rPr>
      </w:pPr>
    </w:p>
    <w:p>
      <w:pPr>
        <w:ind w:right="200" w:firstLine="646"/>
        <w:spacing w:after="0" w:line="265" w:lineRule="auto"/>
        <w:rPr>
          <w:sz w:val="20"/>
          <w:szCs w:val="20"/>
          <w:color w:val="auto"/>
        </w:rPr>
      </w:pPr>
      <w:r>
        <w:rPr>
          <w:rFonts w:ascii="Arial" w:cs="Arial" w:eastAsia="Arial" w:hAnsi="Arial"/>
          <w:sz w:val="18"/>
          <w:szCs w:val="18"/>
          <w:b w:val="1"/>
          <w:bCs w:val="1"/>
          <w:color w:val="auto"/>
        </w:rPr>
        <w:t xml:space="preserve">I acknowledge and agree that it is my sole responsibility, if I so desire, to prepare and file the election under Section 83(b) of the Code in connection with any exercise of the Option for Unvested Shares and as discussed in Section 10.4 of the Stock Option Agreement. A form of Election Under Section 83(b) of the Internal Revenue Code is attached hereto as </w:t>
      </w:r>
      <w:r>
        <w:rPr>
          <w:rFonts w:ascii="Arial" w:cs="Arial" w:eastAsia="Arial" w:hAnsi="Arial"/>
          <w:sz w:val="18"/>
          <w:szCs w:val="18"/>
          <w:b w:val="1"/>
          <w:bCs w:val="1"/>
          <w:u w:val="single" w:color="auto"/>
          <w:color w:val="auto"/>
        </w:rPr>
        <w:t>Attachment 4</w:t>
      </w:r>
      <w:r>
        <w:rPr>
          <w:rFonts w:ascii="Arial" w:cs="Arial" w:eastAsia="Arial" w:hAnsi="Arial"/>
          <w:sz w:val="18"/>
          <w:szCs w:val="18"/>
          <w:b w:val="1"/>
          <w:bCs w:val="1"/>
          <w:color w:val="auto"/>
        </w:rPr>
        <w:t>.</w:t>
      </w:r>
    </w:p>
    <w:p>
      <w:pPr>
        <w:spacing w:after="0" w:line="180" w:lineRule="exact"/>
        <w:rPr>
          <w:sz w:val="20"/>
          <w:szCs w:val="20"/>
          <w:color w:val="auto"/>
        </w:rPr>
      </w:pPr>
    </w:p>
    <w:p>
      <w:pPr>
        <w:ind w:right="40" w:firstLine="646"/>
        <w:spacing w:after="0" w:line="254" w:lineRule="auto"/>
        <w:rPr>
          <w:sz w:val="20"/>
          <w:szCs w:val="20"/>
          <w:color w:val="auto"/>
        </w:rPr>
      </w:pPr>
      <w:r>
        <w:rPr>
          <w:rFonts w:ascii="Arial" w:cs="Arial" w:eastAsia="Arial" w:hAnsi="Arial"/>
          <w:sz w:val="18"/>
          <w:szCs w:val="18"/>
          <w:color w:val="auto"/>
        </w:rPr>
        <w:t xml:space="preserve">I acknowledge and agree that the Shares are being acquired in accordance with and subject to the terms, provisions and conditions of the Plan and the Stock Option Exercise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including the Right of Repurchase and Right of First Refusal set forth therein. The Plan and the Stock Option Exercise Agreement are incorporated herein by reference. Capitalized terms not defined herein shall have the meanings ascribed to them in the Plan or in the Stock Option Exercise Agreement, as applicable. I acknowledge receipt of a copy of the Plan and the Stock Option Exercise Agreement, represent that I have carefully read and am familiar with their provisions, and hereby accept the Shares subject to all of their terms and conditions. I acknowledge that there may be adverse tax consequences upon exercise of the Option or disposition of the Shares and that I should consult a tax adviser prior to such exercise or disposition.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sectPr>
      </w:pPr>
    </w:p>
    <w:bookmarkStart w:id="477" w:name="page478"/>
    <w:bookmarkEnd w:id="477"/>
    <w:p>
      <w:pPr>
        <w:ind w:firstLine="646"/>
        <w:spacing w:after="0" w:line="276" w:lineRule="auto"/>
        <w:rPr>
          <w:sz w:val="20"/>
          <w:szCs w:val="20"/>
          <w:color w:val="auto"/>
        </w:rPr>
      </w:pPr>
      <w:r>
        <w:rPr>
          <w:rFonts w:ascii="Arial" w:cs="Arial" w:eastAsia="Arial" w:hAnsi="Arial"/>
          <w:sz w:val="18"/>
          <w:szCs w:val="18"/>
          <w:color w:val="auto"/>
        </w:rPr>
        <w:t>This Notice of Exercise and the Stock Option Exercise Agreement shall be effective as of the later date on which this Notice is executed by the Company and the Purchaser.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-130175</wp:posOffset>
            </wp:positionV>
            <wp:extent cx="296545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7">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260667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8">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260667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9">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above is hereby acknowledged.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-10795</wp:posOffset>
            </wp:positionV>
            <wp:extent cx="199326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0">
                      <a:extLst>
                        <a:ext uri="{28A0092B-C50C-407E-A947-70E740481C1C}"/>
                      </a:extLst>
                    </a:blip>
                    <a:srcRect/>
                    <a:stretch>
                      <a:fillRect/>
                    </a:stretch>
                  </pic:blipFill>
                  <pic:spPr bwMode="auto">
                    <a:xfrm>
                      <a:off x="0" y="0"/>
                      <a:ext cx="199326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-10795</wp:posOffset>
            </wp:positionV>
            <wp:extent cx="182245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1">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-10795</wp:posOffset>
            </wp:positionV>
            <wp:extent cx="190754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2">
                      <a:extLst>
                        <a:ext uri="{28A0092B-C50C-407E-A947-70E740481C1C}"/>
                      </a:extLst>
                    </a:blip>
                    <a:srcRect/>
                    <a:stretch>
                      <a:fillRect/>
                    </a:stretch>
                  </pic:blipFill>
                  <pic:spPr bwMode="auto">
                    <a:xfrm>
                      <a:off x="0" y="0"/>
                      <a:ext cx="19075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82245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3">
                      <a:extLst>
                        <a:ext uri="{28A0092B-C50C-407E-A947-70E740481C1C}"/>
                      </a:extLst>
                    </a:blip>
                    <a:srcRect/>
                    <a:stretch>
                      <a:fillRect/>
                    </a:stretch>
                  </pic:blipFill>
                  <pic:spPr bwMode="auto">
                    <a:xfrm>
                      <a:off x="0" y="0"/>
                      <a:ext cx="182245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TTACHMENTS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Attachment 1 – Stock Power and Assignment Separate from Stock Certificate</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Attachment 2 – Spousal Consent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Attachment 3 – Copy of Purchaser’s check (if applicable)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Attachment 4 – Section 83(b) Election</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Exhibit A – Stock Option Exercise Agreement</w:t>
      </w:r>
    </w:p>
    <w:p>
      <w:pPr>
        <w:spacing w:after="0" w:line="202"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725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920"/>
          </w:cols>
          <w:pgMar w:left="240" w:top="583" w:right="73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u w:val="single" w:color="auto"/>
          <w:color w:val="auto"/>
        </w:rPr>
        <w:t>ATTACHMENT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SEPARATE FROM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371475</wp:posOffset>
            </wp:positionV>
            <wp:extent cx="724725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79" w:name="page480"/>
    <w:bookmarkEnd w:id="479"/>
    <w:p>
      <w:pPr>
        <w:jc w:val="center"/>
        <w:ind w:right="-19"/>
        <w:spacing w:after="0"/>
        <w:rPr>
          <w:sz w:val="20"/>
          <w:szCs w:val="20"/>
          <w:color w:val="auto"/>
        </w:rPr>
      </w:pPr>
      <w:r>
        <w:rPr>
          <w:rFonts w:ascii="Arial" w:cs="Arial" w:eastAsia="Arial" w:hAnsi="Arial"/>
          <w:sz w:val="18"/>
          <w:szCs w:val="18"/>
          <w:b w:val="1"/>
          <w:bCs w:val="1"/>
          <w:u w:val="single" w:color="auto"/>
          <w:color w:val="auto"/>
        </w:rPr>
        <w:t>Stock Power And Assignment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Separate From Stock Certificate</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and pursuant to that certain Stock Option Exercise Agreement dated as of _______________, _____,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sells, assigns and transfers unto _______________________________, __________ shares of the Common Stock, $0.00001 par value</w:t>
      </w:r>
    </w:p>
    <w:p>
      <w:pPr>
        <w:spacing w:after="0" w:line="3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per share, of Vaxart,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standing in the undersigned’s name on the books of the Company represented by Certificate No(s). ______ delivered herewith, and does hereby irrevocably constitute and appoint the Secretary of the Company as the undersigned’s attorney-</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in-fact, with full power of substitution, to transfer said stock on the books of the Company. </w:t>
      </w:r>
      <w:r>
        <w:rPr>
          <w:rFonts w:ascii="Arial" w:cs="Arial" w:eastAsia="Arial" w:hAnsi="Arial"/>
          <w:sz w:val="18"/>
          <w:szCs w:val="18"/>
          <w:i w:val="1"/>
          <w:iCs w:val="1"/>
          <w:color w:val="auto"/>
        </w:rPr>
        <w:t>THIS ASSIGNMENT MAY ONLY BE USED AS AUTHORIZED BY</w:t>
      </w:r>
      <w:r>
        <w:rPr>
          <w:rFonts w:ascii="Arial" w:cs="Arial" w:eastAsia="Arial" w:hAnsi="Arial"/>
          <w:sz w:val="18"/>
          <w:szCs w:val="18"/>
          <w:color w:val="auto"/>
        </w:rPr>
        <w:t xml:space="preserve"> </w:t>
      </w:r>
      <w:r>
        <w:rPr>
          <w:rFonts w:ascii="Arial" w:cs="Arial" w:eastAsia="Arial" w:hAnsi="Arial"/>
          <w:sz w:val="18"/>
          <w:szCs w:val="18"/>
          <w:i w:val="1"/>
          <w:iCs w:val="1"/>
          <w:color w:val="auto"/>
        </w:rPr>
        <w:t>THE AGREEMENT AND ANY EXHIBITS THERETO</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14528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6">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PURCHASER</w:t>
      </w: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-130175</wp:posOffset>
            </wp:positionV>
            <wp:extent cx="3691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7">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-130175</wp:posOffset>
            </wp:positionV>
            <wp:extent cx="3691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8">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-130175</wp:posOffset>
            </wp:positionV>
            <wp:extent cx="3691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9">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(Please Print Spouse’s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-130175</wp:posOffset>
            </wp:positionV>
            <wp:extent cx="3691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0">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u w:val="single" w:color="auto"/>
          <w:color w:val="auto"/>
        </w:rPr>
        <w:t>Instructions to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The purpose of this Stock Power and Assignment is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acquire the shares pursuant to its “Right of First Refusal” and, if applicable, its “Repurchase Option” set forth in the Agreement without requiring additional signatures on the part of the Purchaser or 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725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80" w:name="page481"/>
    <w:bookmarkEnd w:id="480"/>
    <w:p>
      <w:pPr>
        <w:jc w:val="center"/>
        <w:spacing w:after="0"/>
        <w:rPr>
          <w:sz w:val="20"/>
          <w:szCs w:val="20"/>
          <w:color w:val="auto"/>
        </w:rPr>
      </w:pPr>
      <w:r>
        <w:rPr>
          <w:rFonts w:ascii="Arial" w:cs="Arial" w:eastAsia="Arial" w:hAnsi="Arial"/>
          <w:sz w:val="18"/>
          <w:szCs w:val="18"/>
          <w:b w:val="1"/>
          <w:bCs w:val="1"/>
          <w:u w:val="single" w:color="auto"/>
          <w:color w:val="auto"/>
        </w:rPr>
        <w:t>ATTACHMENT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SPOUSE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382905</wp:posOffset>
            </wp:positionV>
            <wp:extent cx="724725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81" w:name="page482"/>
    <w:bookmarkEnd w:id="481"/>
    <w:p>
      <w:pPr>
        <w:jc w:val="center"/>
        <w:spacing w:after="0"/>
        <w:rPr>
          <w:sz w:val="20"/>
          <w:szCs w:val="20"/>
          <w:color w:val="auto"/>
        </w:rPr>
      </w:pPr>
      <w:r>
        <w:rPr>
          <w:rFonts w:ascii="Arial" w:cs="Arial" w:eastAsia="Arial" w:hAnsi="Arial"/>
          <w:sz w:val="18"/>
          <w:szCs w:val="18"/>
          <w:b w:val="1"/>
          <w:bCs w:val="1"/>
          <w:u w:val="single" w:color="auto"/>
          <w:color w:val="auto"/>
        </w:rPr>
        <w:t>Spouse Consent</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spouse of ______________________________ (the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has read, understands, and hereby approves the Notice of</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Exercise (the “</w:t>
      </w:r>
      <w:r>
        <w:rPr>
          <w:rFonts w:ascii="Arial" w:cs="Arial" w:eastAsia="Arial" w:hAnsi="Arial"/>
          <w:sz w:val="17"/>
          <w:szCs w:val="17"/>
          <w:b w:val="1"/>
          <w:bCs w:val="1"/>
          <w:i w:val="1"/>
          <w:iCs w:val="1"/>
          <w:color w:val="auto"/>
        </w:rPr>
        <w:t>Exercise Notice</w:t>
      </w:r>
      <w:r>
        <w:rPr>
          <w:rFonts w:ascii="Arial" w:cs="Arial" w:eastAsia="Arial" w:hAnsi="Arial"/>
          <w:sz w:val="17"/>
          <w:szCs w:val="17"/>
          <w:color w:val="auto"/>
        </w:rPr>
        <w:t>”) and the Stock Option Exercise Agreement between Purchaser and the Company (the “</w:t>
      </w:r>
      <w:r>
        <w:rPr>
          <w:rFonts w:ascii="Arial" w:cs="Arial" w:eastAsia="Arial" w:hAnsi="Arial"/>
          <w:sz w:val="17"/>
          <w:szCs w:val="17"/>
          <w:b w:val="1"/>
          <w:bCs w:val="1"/>
          <w:i w:val="1"/>
          <w:iCs w:val="1"/>
          <w:color w:val="auto"/>
        </w:rPr>
        <w:t>Exercise Agreement</w:t>
      </w:r>
      <w:r>
        <w:rPr>
          <w:rFonts w:ascii="Arial" w:cs="Arial" w:eastAsia="Arial" w:hAnsi="Arial"/>
          <w:sz w:val="17"/>
          <w:szCs w:val="17"/>
          <w:color w:val="auto"/>
        </w:rPr>
        <w:t>”). In consideration of the Company’s granting my spouse the right to purchase the Shares as set forth in the Exercise Notice and the Agreement, the undersigned hereby agrees to be irrevocably bound by the Exercise Notice and the Exercise Agreement and further agrees that any community property interest I may have in the Shares shall similarly be bound by the Exercise Notice and the Exercise Agreement. The undersigned hereby appoints Purchaser as my attorney-in-fact with respect to any amendment or exercise of any rights under the Exercise Notice and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69392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3">
                      <a:extLst>
                        <a:ext uri="{28A0092B-C50C-407E-A947-70E740481C1C}"/>
                      </a:extLst>
                    </a:blip>
                    <a:srcRect/>
                    <a:stretch>
                      <a:fillRect/>
                    </a:stretch>
                  </pic:blipFill>
                  <pic:spPr bwMode="auto">
                    <a:xfrm>
                      <a:off x="0" y="0"/>
                      <a:ext cx="6939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Print Name of Purchaser’s Spouse</w:t>
      </w: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Signature of Purchaser’s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-130175</wp:posOffset>
            </wp:positionV>
            <wp:extent cx="3691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4">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20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07" w:lineRule="exact"/>
        <w:tabs>
          <w:tab w:leader="none" w:pos="3780" w:val="left"/>
        </w:tabs>
        <w:rPr>
          <w:sz w:val="20"/>
          <w:szCs w:val="20"/>
          <w:color w:val="auto"/>
        </w:rPr>
      </w:pPr>
      <w:r>
        <w:rPr>
          <w:rFonts w:ascii="Arial" w:cs="Arial" w:eastAsia="Arial" w:hAnsi="Arial"/>
          <w:sz w:val="18"/>
          <w:szCs w:val="18"/>
          <w:color w:val="auto"/>
        </w:rPr>
        <w:t>Check this box if you do not have a spouse.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725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b w:val="1"/>
          <w:bCs w:val="1"/>
          <w:u w:val="single" w:color="auto"/>
          <w:color w:val="auto"/>
        </w:rPr>
        <w:t>ATTACHMENT 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COPY OF PURCHASER’S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382905</wp:posOffset>
            </wp:positionV>
            <wp:extent cx="724725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83" w:name="page484"/>
    <w:bookmarkEnd w:id="483"/>
    <w:p>
      <w:pPr>
        <w:jc w:val="center"/>
        <w:spacing w:after="0"/>
        <w:rPr>
          <w:sz w:val="20"/>
          <w:szCs w:val="20"/>
          <w:color w:val="auto"/>
        </w:rPr>
      </w:pPr>
      <w:r>
        <w:rPr>
          <w:rFonts w:ascii="Arial" w:cs="Arial" w:eastAsia="Arial" w:hAnsi="Arial"/>
          <w:sz w:val="18"/>
          <w:szCs w:val="18"/>
          <w:b w:val="1"/>
          <w:bCs w:val="1"/>
          <w:u w:val="single" w:color="auto"/>
          <w:color w:val="auto"/>
        </w:rPr>
        <w:t>ATTACHMENT 4</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SECTION 83(B)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382905</wp:posOffset>
            </wp:positionV>
            <wp:extent cx="724725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b w:val="1"/>
          <w:bCs w:val="1"/>
          <w:color w:val="auto"/>
        </w:rPr>
        <w:t>ELECTION UNDER SECTION 83(B) OF THE INTERNAL REVENUE CODE</w:t>
      </w:r>
    </w:p>
    <w:p>
      <w:pPr>
        <w:spacing w:after="0" w:line="228" w:lineRule="exact"/>
        <w:rPr>
          <w:sz w:val="20"/>
          <w:szCs w:val="20"/>
          <w:color w:val="auto"/>
        </w:rPr>
      </w:pPr>
    </w:p>
    <w:p>
      <w:pPr>
        <w:jc w:val="both"/>
        <w:ind w:firstLine="646"/>
        <w:spacing w:after="0" w:line="310"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48" w:lineRule="exact"/>
        <w:rPr>
          <w:sz w:val="20"/>
          <w:szCs w:val="20"/>
          <w:color w:val="auto"/>
        </w:rPr>
      </w:pPr>
    </w:p>
    <w:p>
      <w:pPr>
        <w:ind w:left="460" w:hanging="224"/>
        <w:spacing w:after="0"/>
        <w:tabs>
          <w:tab w:leader="none" w:pos="460" w:val="left"/>
        </w:tabs>
        <w:numPr>
          <w:ilvl w:val="1"/>
          <w:numId w:val="439"/>
        </w:numPr>
        <w:rPr>
          <w:rFonts w:ascii="Arial" w:cs="Arial" w:eastAsia="Arial" w:hAnsi="Arial"/>
          <w:sz w:val="18"/>
          <w:szCs w:val="18"/>
          <w:color w:val="auto"/>
        </w:rPr>
      </w:pPr>
      <w:r>
        <w:rPr>
          <w:rFonts w:ascii="Arial" w:cs="Arial" w:eastAsia="Arial" w:hAnsi="Arial"/>
          <w:sz w:val="18"/>
          <w:szCs w:val="18"/>
          <w:color w:val="auto"/>
        </w:rPr>
        <w:t>TAXPAYER’S</w:t>
      </w:r>
    </w:p>
    <w:p>
      <w:pPr>
        <w:spacing w:after="0" w:line="2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3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TAXPAYER’S</w:t>
      </w:r>
    </w:p>
    <w:p>
      <w:pPr>
        <w:spacing w:after="0" w:line="2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460" w:right="9380"/>
        <w:spacing w:after="0" w:line="306" w:lineRule="auto"/>
        <w:rPr>
          <w:rFonts w:ascii="Arial" w:cs="Arial" w:eastAsia="Arial" w:hAnsi="Arial"/>
          <w:sz w:val="18"/>
          <w:szCs w:val="18"/>
          <w:color w:val="auto"/>
        </w:rPr>
      </w:pPr>
      <w:r>
        <w:rPr>
          <w:rFonts w:ascii="Arial" w:cs="Arial" w:eastAsia="Arial" w:hAnsi="Arial"/>
          <w:sz w:val="17"/>
          <w:szCs w:val="17"/>
          <w:color w:val="auto"/>
        </w:rPr>
        <w:t>SOCIAL SECURITY NUMBER:</w:t>
      </w:r>
    </w:p>
    <w:p>
      <w:pPr>
        <w:spacing w:after="0" w:line="174" w:lineRule="exact"/>
        <w:rPr>
          <w:rFonts w:ascii="Arial" w:cs="Arial" w:eastAsia="Arial" w:hAnsi="Arial"/>
          <w:sz w:val="18"/>
          <w:szCs w:val="18"/>
          <w:color w:val="auto"/>
        </w:rPr>
      </w:pPr>
    </w:p>
    <w:p>
      <w:pPr>
        <w:jc w:val="both"/>
        <w:ind w:left="440" w:hanging="217"/>
        <w:spacing w:after="0" w:line="262" w:lineRule="auto"/>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 _____________ shares of Common Stock of Vaxart,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which were transferred upon exercise of an option granted to Taxpayer by the Company, which is Taxpayer’s employer or the corporation for whom the Taxpayer performs services.</w:t>
      </w:r>
    </w:p>
    <w:p>
      <w:pPr>
        <w:spacing w:after="0" w:line="183" w:lineRule="exact"/>
        <w:rPr>
          <w:rFonts w:ascii="Arial" w:cs="Arial" w:eastAsia="Arial" w:hAnsi="Arial"/>
          <w:sz w:val="18"/>
          <w:szCs w:val="18"/>
          <w:color w:val="auto"/>
        </w:rPr>
      </w:pPr>
    </w:p>
    <w:p>
      <w:pPr>
        <w:ind w:left="440" w:hanging="217"/>
        <w:spacing w:after="0" w:line="276" w:lineRule="auto"/>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date on which the shares were transferred pursuant to the exercise of the option was ____________________, _____ and this election is made for calendar year _____.</w:t>
      </w:r>
    </w:p>
    <w:p>
      <w:pPr>
        <w:spacing w:after="0" w:line="169" w:lineRule="exact"/>
        <w:rPr>
          <w:rFonts w:ascii="Arial" w:cs="Arial" w:eastAsia="Arial" w:hAnsi="Arial"/>
          <w:sz w:val="18"/>
          <w:szCs w:val="18"/>
          <w:color w:val="auto"/>
        </w:rPr>
      </w:pPr>
    </w:p>
    <w:p>
      <w:pPr>
        <w:ind w:left="440" w:hanging="217"/>
        <w:spacing w:after="0" w:line="306" w:lineRule="auto"/>
        <w:tabs>
          <w:tab w:leader="none" w:pos="44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The shares received upon exercise of the option are subject to the following restrictions: The Company may repurchase all or a portion of the shares at the Taxpayer’s original purchase price under certain conditions at the time of Taxpayer’s termination of employment or services.</w:t>
      </w:r>
    </w:p>
    <w:p>
      <w:pPr>
        <w:spacing w:after="0" w:line="147" w:lineRule="exact"/>
        <w:rPr>
          <w:rFonts w:ascii="Arial" w:cs="Arial" w:eastAsia="Arial" w:hAnsi="Arial"/>
          <w:sz w:val="17"/>
          <w:szCs w:val="17"/>
          <w:color w:val="auto"/>
        </w:rPr>
      </w:pPr>
    </w:p>
    <w:p>
      <w:pPr>
        <w:ind w:left="440" w:hanging="217"/>
        <w:spacing w:after="0" w:line="276" w:lineRule="auto"/>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fair market value of the shares (without regard to restrictions other than restrictions which by their terms will never lapse) was $_____ per share at the time of exercise of the option.</w:t>
      </w:r>
    </w:p>
    <w:p>
      <w:pPr>
        <w:spacing w:after="0" w:line="169" w:lineRule="exact"/>
        <w:rPr>
          <w:rFonts w:ascii="Arial" w:cs="Arial" w:eastAsia="Arial" w:hAnsi="Arial"/>
          <w:sz w:val="18"/>
          <w:szCs w:val="18"/>
          <w:color w:val="auto"/>
        </w:rPr>
      </w:pPr>
    </w:p>
    <w:p>
      <w:pPr>
        <w:ind w:left="440" w:hanging="217"/>
        <w:spacing w:after="0"/>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amount paid for such shares upon exercise of the option was $_____ per share.</w:t>
      </w:r>
    </w:p>
    <w:p>
      <w:pPr>
        <w:spacing w:after="0" w:line="223" w:lineRule="exact"/>
        <w:rPr>
          <w:rFonts w:ascii="Arial" w:cs="Arial" w:eastAsia="Arial" w:hAnsi="Arial"/>
          <w:sz w:val="18"/>
          <w:szCs w:val="18"/>
          <w:color w:val="auto"/>
        </w:rPr>
      </w:pPr>
    </w:p>
    <w:p>
      <w:pPr>
        <w:ind w:left="440" w:hanging="217"/>
        <w:spacing w:after="0"/>
        <w:tabs>
          <w:tab w:leader="none" w:pos="4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-3471545</wp:posOffset>
            </wp:positionV>
            <wp:extent cx="59397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8">
                      <a:extLst>
                        <a:ext uri="{28A0092B-C50C-407E-A947-70E740481C1C}"/>
                      </a:extLst>
                    </a:blip>
                    <a:srcRect/>
                    <a:stretch>
                      <a:fillRect/>
                    </a:stretch>
                  </pic:blipFill>
                  <pic:spPr bwMode="auto">
                    <a:xfrm>
                      <a:off x="0" y="0"/>
                      <a:ext cx="5939790"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-3044190</wp:posOffset>
            </wp:positionV>
            <wp:extent cx="571754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9">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-2762250</wp:posOffset>
            </wp:positionV>
            <wp:extent cx="57175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0">
                      <a:extLst>
                        <a:ext uri="{28A0092B-C50C-407E-A947-70E740481C1C}"/>
                      </a:extLst>
                    </a:blip>
                    <a:srcRect/>
                    <a:stretch>
                      <a:fillRect/>
                    </a:stretch>
                  </pic:blipFill>
                  <pic:spPr bwMode="auto">
                    <a:xfrm>
                      <a:off x="0" y="0"/>
                      <a:ext cx="5717540" cy="8255"/>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-2334895</wp:posOffset>
            </wp:positionV>
            <wp:extent cx="557212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1">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04"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THIS ELECTION MUST BE FILED WITH THE INTERNAL REVENUE SERVICE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xml:space="preserve">”), AT THE OFFICE WHERE THE TAXPAYER FILES ANNUAL INCOME TAX RETURNS, </w:t>
      </w:r>
      <w:r>
        <w:rPr>
          <w:rFonts w:ascii="Arial" w:cs="Arial" w:eastAsia="Arial" w:hAnsi="Arial"/>
          <w:sz w:val="18"/>
          <w:szCs w:val="18"/>
          <w:u w:val="single" w:color="auto"/>
          <w:color w:val="auto"/>
        </w:rPr>
        <w:t>WITHIN 30 DAYS</w:t>
      </w:r>
      <w:r>
        <w:rPr>
          <w:rFonts w:ascii="Arial" w:cs="Arial" w:eastAsia="Arial" w:hAnsi="Arial"/>
          <w:sz w:val="18"/>
          <w:szCs w:val="18"/>
          <w:color w:val="auto"/>
        </w:rPr>
        <w:t xml:space="preserve"> AFTER THE DATE OF TRANSFER OF THE SHARES, AND MUST ALSO BE FILED WITH THE TAXPAYER’S INCOME TAX RETURNS FOR THE CALENDAR YEAR. THE ELECTION CANNOT BE REVOKED WITHOUT THE CONSENT OF THE IRS.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14605</wp:posOffset>
            </wp:positionV>
            <wp:extent cx="652081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2">
                      <a:extLst>
                        <a:ext uri="{28A0092B-C50C-407E-A947-70E740481C1C}"/>
                      </a:extLst>
                    </a:blip>
                    <a:srcRect/>
                    <a:stretch>
                      <a:fillRect/>
                    </a:stretch>
                  </pic:blipFill>
                  <pic:spPr bwMode="auto">
                    <a:xfrm>
                      <a:off x="0" y="0"/>
                      <a:ext cx="652081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Taxpayer’s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24725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b w:val="1"/>
          <w:bCs w:val="1"/>
          <w:color w:val="auto"/>
        </w:rPr>
        <w:t>VAXART,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09" w:lineRule="exact"/>
        <w:rPr>
          <w:sz w:val="20"/>
          <w:szCs w:val="20"/>
          <w:color w:val="auto"/>
        </w:rPr>
      </w:pPr>
    </w:p>
    <w:p>
      <w:pPr>
        <w:ind w:firstLine="646"/>
        <w:spacing w:after="0" w:line="340" w:lineRule="auto"/>
        <w:rPr>
          <w:sz w:val="20"/>
          <w:szCs w:val="20"/>
          <w:color w:val="auto"/>
        </w:rPr>
      </w:pPr>
      <w:r>
        <w:rPr>
          <w:rFonts w:ascii="Arial" w:cs="Arial" w:eastAsia="Arial" w:hAnsi="Arial"/>
          <w:sz w:val="16"/>
          <w:szCs w:val="16"/>
          <w:color w:val="auto"/>
        </w:rPr>
        <w:t>You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are hereby granted an option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Vaxart,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2007 Equity Incentive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as described below.</w:t>
      </w: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Optionee</w:t>
            </w:r>
            <w:r>
              <w:rPr>
                <w:rFonts w:ascii="Arial" w:cs="Arial" w:eastAsia="Arial" w:hAnsi="Arial"/>
                <w:sz w:val="18"/>
                <w:szCs w:val="18"/>
                <w:b w:val="1"/>
                <w:bCs w:val="1"/>
                <w:color w:val="auto"/>
              </w:rPr>
              <w:t>››</w:t>
            </w: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50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NoofShares</w:t>
            </w:r>
            <w:r>
              <w:rPr>
                <w:rFonts w:ascii="Arial" w:cs="Arial" w:eastAsia="Arial" w:hAnsi="Arial"/>
                <w:sz w:val="18"/>
                <w:szCs w:val="18"/>
                <w:b w:val="1"/>
                <w:bCs w:val="1"/>
                <w:color w:val="auto"/>
                <w:w w:val="90"/>
              </w:rPr>
              <w:t>››</w:t>
            </w: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ExercisePrice</w:t>
            </w:r>
            <w:r>
              <w:rPr>
                <w:rFonts w:ascii="Arial" w:cs="Arial" w:eastAsia="Arial" w:hAnsi="Arial"/>
                <w:sz w:val="18"/>
                <w:szCs w:val="18"/>
                <w:b w:val="1"/>
                <w:bCs w:val="1"/>
                <w:color w:val="auto"/>
              </w:rPr>
              <w:t>››</w:t>
            </w:r>
          </w:p>
        </w:tc>
        <w:tc>
          <w:tcPr>
            <w:tcW w:w="84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5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GrantDate</w:t>
            </w:r>
            <w:r>
              <w:rPr>
                <w:rFonts w:ascii="Arial" w:cs="Arial" w:eastAsia="Arial" w:hAnsi="Arial"/>
                <w:sz w:val="18"/>
                <w:szCs w:val="18"/>
                <w:b w:val="1"/>
                <w:bCs w:val="1"/>
                <w:color w:val="auto"/>
              </w:rPr>
              <w:t>››</w:t>
            </w: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500" w:type="dxa"/>
            <w:vAlign w:val="bottom"/>
          </w:tcPr>
          <w:p>
            <w:pPr>
              <w:spacing w:after="0"/>
              <w:rPr>
                <w:sz w:val="20"/>
                <w:szCs w:val="20"/>
                <w:color w:val="auto"/>
              </w:rPr>
            </w:pPr>
            <w:r>
              <w:rPr>
                <w:rFonts w:ascii="Arial" w:cs="Arial" w:eastAsia="Arial" w:hAnsi="Arial"/>
                <w:sz w:val="18"/>
                <w:szCs w:val="18"/>
                <w:b w:val="1"/>
                <w:bCs w:val="1"/>
                <w:color w:val="auto"/>
                <w:w w:val="95"/>
              </w:rPr>
              <w:t>Vesting Commencement Date:</w:t>
            </w: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VestingCommenceDate</w:t>
            </w:r>
            <w:r>
              <w:rPr>
                <w:rFonts w:ascii="Arial" w:cs="Arial" w:eastAsia="Arial" w:hAnsi="Arial"/>
                <w:sz w:val="18"/>
                <w:szCs w:val="18"/>
                <w:b w:val="1"/>
                <w:bCs w:val="1"/>
                <w:color w:val="auto"/>
              </w:rPr>
              <w:t>››</w:t>
            </w:r>
          </w:p>
        </w:tc>
        <w:tc>
          <w:tcPr>
            <w:tcW w:w="840" w:type="dxa"/>
            <w:vAlign w:val="bottom"/>
            <w:tcBorders>
              <w:bottom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Option Expiration Date:</w:t>
            </w:r>
          </w:p>
        </w:tc>
        <w:tc>
          <w:tcPr>
            <w:tcW w:w="7900" w:type="dxa"/>
            <w:vAlign w:val="bottom"/>
            <w:gridSpan w:val="4"/>
          </w:tcPr>
          <w:p>
            <w:pPr>
              <w:spacing w:after="0"/>
              <w:rPr>
                <w:sz w:val="20"/>
                <w:szCs w:val="20"/>
                <w:color w:val="auto"/>
              </w:rPr>
            </w:pPr>
            <w:r>
              <w:rPr>
                <w:rFonts w:ascii="Arial" w:cs="Arial" w:eastAsia="Arial" w:hAnsi="Arial"/>
                <w:sz w:val="18"/>
                <w:szCs w:val="18"/>
                <w:color w:val="auto"/>
                <w:w w:val="90"/>
              </w:rPr>
              <w:t>The date ten (10) years after the Date of Grant, with earlier expiration in the event of termination of service as</w:t>
            </w: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7900" w:type="dxa"/>
            <w:vAlign w:val="bottom"/>
            <w:gridSpan w:val="4"/>
            <w:vMerge w:val="restart"/>
          </w:tcPr>
          <w:p>
            <w:pPr>
              <w:spacing w:after="0"/>
              <w:rPr>
                <w:sz w:val="20"/>
                <w:szCs w:val="20"/>
                <w:color w:val="auto"/>
              </w:rPr>
            </w:pPr>
            <w:r>
              <w:rPr>
                <w:rFonts w:ascii="Arial" w:cs="Arial" w:eastAsia="Arial" w:hAnsi="Arial"/>
                <w:sz w:val="18"/>
                <w:szCs w:val="18"/>
                <w:color w:val="auto"/>
              </w:rPr>
              <w:t>provided in Section 3 of the Stock Option Agreement.</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7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1"/>
        </w:trPr>
        <w:tc>
          <w:tcPr>
            <w:tcW w:w="2500" w:type="dxa"/>
            <w:vAlign w:val="bottom"/>
          </w:tcPr>
          <w:p>
            <w:pPr>
              <w:spacing w:after="0"/>
              <w:rPr>
                <w:sz w:val="20"/>
                <w:szCs w:val="20"/>
                <w:color w:val="auto"/>
              </w:rPr>
            </w:pPr>
            <w:r>
              <w:rPr>
                <w:rFonts w:ascii="Arial" w:cs="Arial" w:eastAsia="Arial" w:hAnsi="Arial"/>
                <w:sz w:val="18"/>
                <w:szCs w:val="18"/>
                <w:b w:val="1"/>
                <w:bCs w:val="1"/>
                <w:color w:val="auto"/>
              </w:rPr>
              <w:t>Classification of Optionee:</w:t>
            </w:r>
          </w:p>
        </w:tc>
        <w:tc>
          <w:tcPr>
            <w:tcW w:w="110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Exempt</w:t>
            </w:r>
          </w:p>
        </w:tc>
        <w:tc>
          <w:tcPr>
            <w:tcW w:w="6800" w:type="dxa"/>
            <w:vAlign w:val="bottom"/>
            <w:gridSpan w:val="3"/>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Non-Exempt (Check one).</w:t>
            </w:r>
          </w:p>
        </w:tc>
        <w:tc>
          <w:tcPr>
            <w:tcW w:w="0" w:type="dxa"/>
            <w:vAlign w:val="bottom"/>
          </w:tcPr>
          <w:p>
            <w:pPr>
              <w:spacing w:after="0"/>
              <w:rPr>
                <w:sz w:val="1"/>
                <w:szCs w:val="1"/>
                <w:color w:val="auto"/>
              </w:rPr>
            </w:pPr>
          </w:p>
        </w:tc>
      </w:tr>
      <w:tr>
        <w:trPr>
          <w:trHeight w:val="396"/>
        </w:trPr>
        <w:tc>
          <w:tcPr>
            <w:tcW w:w="2500" w:type="dxa"/>
            <w:vAlign w:val="bottom"/>
          </w:tcPr>
          <w:p>
            <w:pPr>
              <w:spacing w:after="0"/>
              <w:rPr>
                <w:sz w:val="20"/>
                <w:szCs w:val="20"/>
                <w:color w:val="auto"/>
              </w:rPr>
            </w:pPr>
            <w:r>
              <w:rPr>
                <w:rFonts w:ascii="Arial" w:cs="Arial" w:eastAsia="Arial" w:hAnsi="Arial"/>
                <w:sz w:val="18"/>
                <w:szCs w:val="18"/>
                <w:b w:val="1"/>
                <w:bCs w:val="1"/>
                <w:color w:val="auto"/>
              </w:rPr>
              <w:t>Tax Status of Option:</w:t>
            </w:r>
          </w:p>
        </w:tc>
        <w:tc>
          <w:tcPr>
            <w:tcW w:w="790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w:t>
            </w: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(Check one).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7900" w:type="dxa"/>
            <w:vAlign w:val="bottom"/>
            <w:gridSpan w:val="4"/>
          </w:tcPr>
          <w:p>
            <w:pPr>
              <w:spacing w:after="0"/>
              <w:rPr>
                <w:sz w:val="20"/>
                <w:szCs w:val="20"/>
                <w:color w:val="auto"/>
              </w:rPr>
            </w:pPr>
            <w:r>
              <w:rPr>
                <w:rFonts w:ascii="Arial" w:cs="Arial" w:eastAsia="Arial" w:hAnsi="Arial"/>
                <w:sz w:val="18"/>
                <w:szCs w:val="18"/>
                <w:color w:val="auto"/>
              </w:rPr>
              <w:t>(The Option is a nonqualified stock option if neither box is checked).</w:t>
            </w:r>
          </w:p>
        </w:tc>
        <w:tc>
          <w:tcPr>
            <w:tcW w:w="0" w:type="dxa"/>
            <w:vAlign w:val="bottom"/>
          </w:tcPr>
          <w:p>
            <w:pPr>
              <w:spacing w:after="0"/>
              <w:rPr>
                <w:sz w:val="1"/>
                <w:szCs w:val="1"/>
                <w:color w:val="auto"/>
              </w:rPr>
            </w:pPr>
          </w:p>
        </w:tc>
      </w:tr>
      <w:tr>
        <w:trPr>
          <w:trHeight w:val="478"/>
        </w:trPr>
        <w:tc>
          <w:tcPr>
            <w:tcW w:w="2500" w:type="dxa"/>
            <w:vAlign w:val="bottom"/>
          </w:tcPr>
          <w:p>
            <w:pPr>
              <w:spacing w:after="0"/>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p>
        </w:tc>
        <w:tc>
          <w:tcPr>
            <w:tcW w:w="240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Same as Vesting Schedule</w:t>
            </w:r>
          </w:p>
        </w:tc>
        <w:tc>
          <w:tcPr>
            <w:tcW w:w="550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Early Exercise Permitted</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Provided you continue to provide services to the Company or any Subsidiary or Parent of the Company, the Option will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vested as to portions of the Shares as follows:</w:t>
      </w:r>
    </w:p>
    <w:p>
      <w:pPr>
        <w:spacing w:after="0" w:line="167" w:lineRule="exact"/>
        <w:rPr>
          <w:sz w:val="20"/>
          <w:szCs w:val="20"/>
          <w:color w:val="auto"/>
        </w:rPr>
      </w:pPr>
    </w:p>
    <w:p>
      <w:pPr>
        <w:ind w:left="1300" w:right="20" w:hanging="323"/>
        <w:spacing w:after="0" w:line="276" w:lineRule="auto"/>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1/4th of the total number of shares subject to the Option shall vest on the day preceding the 12-month anniversary of the Vesting Commencement Date;</w:t>
      </w:r>
    </w:p>
    <w:p>
      <w:pPr>
        <w:spacing w:after="0" w:line="169" w:lineRule="exact"/>
        <w:rPr>
          <w:rFonts w:ascii="Arial" w:cs="Arial" w:eastAsia="Arial" w:hAnsi="Arial"/>
          <w:sz w:val="18"/>
          <w:szCs w:val="18"/>
          <w:color w:val="auto"/>
        </w:rPr>
      </w:pPr>
    </w:p>
    <w:p>
      <w:pPr>
        <w:ind w:left="1300" w:hanging="323"/>
        <w:spacing w:after="0" w:line="276" w:lineRule="auto"/>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1/48th of the total number of shares subject to the Option shall vest on the day preceding each monthly anniversary of the Vesting Commencement Date thereafter.</w:t>
      </w:r>
    </w:p>
    <w:p>
      <w:pPr>
        <w:spacing w:after="0" w:line="137" w:lineRule="exact"/>
        <w:rPr>
          <w:sz w:val="20"/>
          <w:szCs w:val="20"/>
          <w:color w:val="auto"/>
        </w:rPr>
      </w:pPr>
    </w:p>
    <w:p>
      <w:pPr>
        <w:jc w:val="both"/>
        <w:ind w:firstLine="646"/>
        <w:spacing w:after="0" w:line="231" w:lineRule="exact"/>
        <w:rPr>
          <w:sz w:val="20"/>
          <w:szCs w:val="20"/>
          <w:color w:val="auto"/>
        </w:rPr>
      </w:pPr>
      <w:r>
        <w:rPr>
          <w:rFonts w:ascii="Arial" w:cs="Arial" w:eastAsia="Arial" w:hAnsi="Arial"/>
          <w:sz w:val="18"/>
          <w:szCs w:val="18"/>
          <w:b w:val="1"/>
          <w:bCs w:val="1"/>
          <w:color w:val="auto"/>
        </w:rPr>
        <w:t xml:space="preserve">Additional Terms: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boxed is checked, the additional terms and conditions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1</w:t>
      </w:r>
      <w:r>
        <w:rPr>
          <w:rFonts w:ascii="Arial" w:cs="Arial" w:eastAsia="Arial" w:hAnsi="Arial"/>
          <w:sz w:val="18"/>
          <w:szCs w:val="18"/>
          <w:b w:val="1"/>
          <w:bCs w:val="1"/>
          <w:color w:val="auto"/>
        </w:rPr>
        <w:t xml:space="preserve"> </w:t>
      </w:r>
      <w:r>
        <w:rPr>
          <w:rFonts w:ascii="Arial" w:cs="Arial" w:eastAsia="Arial" w:hAnsi="Arial"/>
          <w:sz w:val="18"/>
          <w:szCs w:val="18"/>
          <w:color w:val="auto"/>
        </w:rPr>
        <w:t>hereto (which must be executed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the Participant) are applicable and are incorporated herein by reference. (No document need be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 xml:space="preserve"> if the box is not checked.)</w:t>
      </w:r>
    </w:p>
    <w:p>
      <w:pPr>
        <w:spacing w:after="0" w:line="203"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 xml:space="preserve">By their signatures below, the Company and the Participant agree that the Option is granted under and governed by this Notice of Stock Option Grant and by the provisions of the Plan and the Stock Option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Plan and the Stock Option Agreement are incorporated herein by reference. Capitalized terms not defined herein shall have the meanings ascribed to them in the Plan or in the Stock Option Agreement, as applicable. The Participant acknowledges receipt of a copy of the Plan and the Stock Option Agreement, represents that the Participant has carefully read and is familiar with their provisions, and hereby accepts the Option subject to all of their terms and conditions. The Participant acknowledges that there may be adverse tax consequences upon exercise of the Option or disposition of the Shares and that Participant should consult a tax adviser prior to such exercise or disposition.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AXART</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c>
          <w:tcPr>
            <w:tcW w:w="3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ARTICIPANT</w:t>
            </w:r>
          </w:p>
        </w:tc>
        <w:tc>
          <w:tcPr>
            <w:tcW w:w="580" w:type="dxa"/>
            <w:vAlign w:val="bottom"/>
          </w:tcPr>
          <w:p>
            <w:pPr>
              <w:spacing w:after="0"/>
              <w:rPr>
                <w:sz w:val="19"/>
                <w:szCs w:val="19"/>
                <w:color w:val="auto"/>
              </w:rPr>
            </w:pPr>
          </w:p>
        </w:tc>
      </w:tr>
      <w:tr>
        <w:trPr>
          <w:trHeight w:val="437"/>
        </w:trPr>
        <w:tc>
          <w:tcPr>
            <w:tcW w:w="1460" w:type="dxa"/>
            <w:vAlign w:val="bottom"/>
            <w:gridSpan w:val="2"/>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1"/>
        </w:trPr>
        <w:tc>
          <w:tcPr>
            <w:tcW w:w="5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488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17"/>
                <w:szCs w:val="17"/>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Name:</w:t>
            </w:r>
          </w:p>
        </w:tc>
        <w:tc>
          <w:tcPr>
            <w:tcW w:w="9380" w:type="dxa"/>
            <w:vAlign w:val="bottom"/>
            <w:gridSpan w:val="5"/>
          </w:tcPr>
          <w:p>
            <w:pPr>
              <w:jc w:val="center"/>
              <w:ind w:right="6320"/>
              <w:spacing w:after="0"/>
              <w:rPr>
                <w:sz w:val="20"/>
                <w:szCs w:val="20"/>
                <w:color w:val="auto"/>
              </w:rPr>
            </w:pPr>
            <w:r>
              <w:rPr>
                <w:rFonts w:ascii="Arial" w:cs="Arial" w:eastAsia="Arial" w:hAnsi="Arial"/>
                <w:sz w:val="18"/>
                <w:szCs w:val="18"/>
                <w:color w:val="auto"/>
                <w:w w:val="93"/>
              </w:rPr>
              <w:t>Wouter Latour, MD</w:t>
            </w:r>
          </w:p>
        </w:tc>
        <w:tc>
          <w:tcPr>
            <w:tcW w:w="580" w:type="dxa"/>
            <w:vAlign w:val="bottom"/>
          </w:tcPr>
          <w:p>
            <w:pPr>
              <w:spacing w:after="0"/>
              <w:rPr>
                <w:sz w:val="19"/>
                <w:szCs w:val="19"/>
                <w:color w:val="auto"/>
              </w:rPr>
            </w:pPr>
          </w:p>
        </w:tc>
      </w:tr>
      <w:tr>
        <w:trPr>
          <w:trHeight w:val="168"/>
        </w:trPr>
        <w:tc>
          <w:tcPr>
            <w:tcW w:w="5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4880" w:type="dxa"/>
            <w:vAlign w:val="bottom"/>
            <w:gridSpan w:val="3"/>
          </w:tcPr>
          <w:p>
            <w:pPr>
              <w:spacing w:after="0" w:line="169" w:lineRule="exact"/>
              <w:rPr>
                <w:sz w:val="20"/>
                <w:szCs w:val="20"/>
                <w:color w:val="auto"/>
              </w:rPr>
            </w:pPr>
            <w:r>
              <w:rPr>
                <w:rFonts w:ascii="Arial" w:cs="Arial" w:eastAsia="Arial" w:hAnsi="Arial"/>
                <w:sz w:val="18"/>
                <w:szCs w:val="18"/>
                <w:color w:val="auto"/>
              </w:rPr>
              <w:t xml:space="preserve">Name: (Please Print): </w:t>
            </w:r>
            <w:r>
              <w:rPr>
                <w:rFonts w:ascii="Arial" w:cs="Arial" w:eastAsia="Arial" w:hAnsi="Arial"/>
                <w:sz w:val="18"/>
                <w:szCs w:val="18"/>
                <w:b w:val="1"/>
                <w:bCs w:val="1"/>
                <w:color w:val="auto"/>
              </w:rPr>
              <w:t>‹‹</w:t>
            </w:r>
            <w:r>
              <w:rPr>
                <w:rFonts w:ascii="Arial" w:cs="Arial" w:eastAsia="Arial" w:hAnsi="Arial"/>
                <w:sz w:val="18"/>
                <w:szCs w:val="18"/>
                <w:color w:val="auto"/>
              </w:rPr>
              <w:t>Optionee</w:t>
            </w:r>
            <w:r>
              <w:rPr>
                <w:rFonts w:ascii="Arial" w:cs="Arial" w:eastAsia="Arial" w:hAnsi="Arial"/>
                <w:sz w:val="18"/>
                <w:szCs w:val="18"/>
                <w:b w:val="1"/>
                <w:bCs w:val="1"/>
                <w:color w:val="auto"/>
              </w:rPr>
              <w:t>››</w:t>
            </w:r>
          </w:p>
        </w:tc>
        <w:tc>
          <w:tcPr>
            <w:tcW w:w="580" w:type="dxa"/>
            <w:vAlign w:val="bottom"/>
          </w:tcPr>
          <w:p>
            <w:pPr>
              <w:spacing w:after="0"/>
              <w:rPr>
                <w:sz w:val="14"/>
                <w:szCs w:val="14"/>
                <w:color w:val="auto"/>
              </w:rPr>
            </w:pPr>
          </w:p>
        </w:tc>
      </w:tr>
      <w:tr>
        <w:trPr>
          <w:trHeight w:val="236"/>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9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jc w:val="center"/>
              <w:ind w:right="810"/>
              <w:spacing w:after="0"/>
              <w:rPr>
                <w:sz w:val="20"/>
                <w:szCs w:val="20"/>
                <w:color w:val="auto"/>
              </w:rPr>
            </w:pPr>
            <w:r>
              <w:rPr>
                <w:rFonts w:ascii="Arial" w:cs="Arial" w:eastAsia="Arial" w:hAnsi="Arial"/>
                <w:sz w:val="18"/>
                <w:szCs w:val="18"/>
                <w:color w:val="auto"/>
                <w:w w:val="92"/>
              </w:rPr>
              <w:t>CEO</w:t>
            </w:r>
          </w:p>
        </w:tc>
        <w:tc>
          <w:tcPr>
            <w:tcW w:w="2120" w:type="dxa"/>
            <w:vAlign w:val="bottom"/>
            <w:gridSpan w:val="2"/>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1"/>
        </w:trPr>
        <w:tc>
          <w:tcPr>
            <w:tcW w:w="146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TTACHMENTS</w:t>
            </w:r>
            <w:r>
              <w:rPr>
                <w:rFonts w:ascii="Arial" w:cs="Arial" w:eastAsia="Arial" w:hAnsi="Arial"/>
                <w:sz w:val="18"/>
                <w:szCs w:val="18"/>
                <w:color w:val="auto"/>
              </w:rPr>
              <w:t>:</w:t>
            </w:r>
          </w:p>
        </w:tc>
        <w:tc>
          <w:tcPr>
            <w:tcW w:w="9380" w:type="dxa"/>
            <w:vAlign w:val="bottom"/>
            <w:gridSpan w:val="5"/>
          </w:tcPr>
          <w:p>
            <w:pPr>
              <w:ind w:left="480"/>
              <w:spacing w:after="0"/>
              <w:rPr>
                <w:sz w:val="20"/>
                <w:szCs w:val="20"/>
                <w:color w:val="auto"/>
              </w:rPr>
            </w:pPr>
            <w:r>
              <w:rPr>
                <w:rFonts w:ascii="Arial" w:cs="Arial" w:eastAsia="Arial" w:hAnsi="Arial"/>
                <w:sz w:val="18"/>
                <w:szCs w:val="18"/>
                <w:color w:val="auto"/>
                <w:w w:val="95"/>
              </w:rPr>
              <w:t>Exhibit A -- Stock Option Agreement (with Notice of Exercise and Stock Option Exercise Agreement attached thereto)</w:t>
            </w:r>
          </w:p>
        </w:tc>
        <w:tc>
          <w:tcPr>
            <w:tcW w:w="580" w:type="dxa"/>
            <w:vAlign w:val="bottom"/>
          </w:tcPr>
          <w:p>
            <w:pPr>
              <w:spacing w:after="0"/>
              <w:rPr>
                <w:sz w:val="24"/>
                <w:szCs w:val="24"/>
                <w:color w:val="auto"/>
              </w:rPr>
            </w:pPr>
          </w:p>
        </w:tc>
      </w:tr>
      <w:tr>
        <w:trPr>
          <w:trHeight w:val="572"/>
        </w:trPr>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u w:val="single" w:color="auto"/>
          <w:color w:val="auto"/>
        </w:rPr>
        <w:t>Attachment 1 to Notice of Stock Option Grant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to Option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color w:val="auto"/>
                <w:w w:val="97"/>
              </w:rPr>
              <w:t>Participant:</w:t>
            </w:r>
          </w:p>
        </w:tc>
        <w:tc>
          <w:tcPr>
            <w:tcW w:w="400" w:type="dxa"/>
            <w:vAlign w:val="bottom"/>
            <w:tcBorders>
              <w:bottom w:val="single" w:sz="8" w:color="auto"/>
            </w:tcBorders>
            <w:gridSpan w:val="2"/>
          </w:tcPr>
          <w:p>
            <w:pPr>
              <w:spacing w:after="0"/>
              <w:rPr>
                <w:sz w:val="20"/>
                <w:szCs w:val="20"/>
                <w:color w:val="auto"/>
              </w:rPr>
            </w:pPr>
          </w:p>
        </w:tc>
        <w:tc>
          <w:tcPr>
            <w:tcW w:w="36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Optionee</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0"/>
        </w:trPr>
        <w:tc>
          <w:tcPr>
            <w:tcW w:w="1300" w:type="dxa"/>
            <w:vAlign w:val="bottom"/>
            <w:gridSpan w:val="3"/>
          </w:tcPr>
          <w:p>
            <w:pPr>
              <w:spacing w:after="0"/>
              <w:rPr>
                <w:sz w:val="20"/>
                <w:szCs w:val="20"/>
                <w:color w:val="auto"/>
              </w:rPr>
            </w:pPr>
            <w:r>
              <w:rPr>
                <w:rFonts w:ascii="Arial" w:cs="Arial" w:eastAsia="Arial" w:hAnsi="Arial"/>
                <w:sz w:val="18"/>
                <w:szCs w:val="18"/>
                <w:color w:val="auto"/>
              </w:rPr>
              <w:t>Number of</w:t>
            </w:r>
          </w:p>
        </w:tc>
        <w:tc>
          <w:tcPr>
            <w:tcW w:w="366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NoofShares</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9"/>
        </w:trPr>
        <w:tc>
          <w:tcPr>
            <w:tcW w:w="1300" w:type="dxa"/>
            <w:vAlign w:val="bottom"/>
            <w:gridSpan w:val="3"/>
            <w:vMerge w:val="restart"/>
          </w:tcPr>
          <w:p>
            <w:pPr>
              <w:spacing w:after="0"/>
              <w:rPr>
                <w:sz w:val="20"/>
                <w:szCs w:val="20"/>
                <w:color w:val="auto"/>
              </w:rPr>
            </w:pPr>
            <w:r>
              <w:rPr>
                <w:rFonts w:ascii="Arial" w:cs="Arial" w:eastAsia="Arial" w:hAnsi="Arial"/>
                <w:sz w:val="18"/>
                <w:szCs w:val="18"/>
                <w:color w:val="auto"/>
              </w:rPr>
              <w:t>Shares:</w:t>
            </w:r>
          </w:p>
        </w:tc>
        <w:tc>
          <w:tcPr>
            <w:tcW w:w="3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00" w:type="dxa"/>
            <w:vAlign w:val="bottom"/>
            <w:gridSpan w:val="3"/>
            <w:vMerge w:val="continue"/>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060" w:type="dxa"/>
            <w:vAlign w:val="bottom"/>
            <w:gridSpan w:val="2"/>
          </w:tcPr>
          <w:p>
            <w:pPr>
              <w:spacing w:after="0"/>
              <w:rPr>
                <w:sz w:val="20"/>
                <w:szCs w:val="20"/>
                <w:color w:val="auto"/>
              </w:rPr>
            </w:pPr>
            <w:r>
              <w:rPr>
                <w:rFonts w:ascii="Arial" w:cs="Arial" w:eastAsia="Arial" w:hAnsi="Arial"/>
                <w:sz w:val="18"/>
                <w:szCs w:val="18"/>
                <w:color w:val="auto"/>
                <w:w w:val="91"/>
              </w:rPr>
              <w:t>Date of Grant:</w:t>
            </w: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GrantDate</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terms and conditions apply to the Option described above and granted pursuant to the Notice of Stock Option Grant to which this Attachment 1 is attached:</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Option will vest fully on a Change of Control of the Company. A “Change of Control” shall mean a change in ownership or control of the Company effected through any of the following transactions: (i) a merger, consolidation or other reorganization approved by the Company’s stockholders, unless securities representing more than fifty percent (50%) of the total combined voting power of the voting securities of the successor company are immediately thereafter beneficially owned, directly or indirectly and in substantially the same proportion, by the persons who beneficially owned the Company’s outstanding voting securities immediately prior to such transaction; (ii) a stockholder – approved sale, transfer or other disposition of all or substantially all of the Company’s assets in liquidation or dissolution of the Company; or (iii) the acquisition, directly or indirectly by any person or related group of persons (other than the Company or a person that directly or indirectly controls, is controlled by, or is under common control with, the Company), of beneficial ownership (within the meaning of Rule 13d-3 of the Securities Exchange Act of 1934, as amended) of securities possessing more than fifty percent (50%) of the total combined voting power of the Company’s outstanding securities pursuant to a tender or exchange offer made directly to the Company’s stockholders; provided, that, in no event shall any private sale in a capital raising transaction or public offering of the Company’s securities be deemed to constitute a Change of Control.</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By their signatures below, the Company and the Participant agree that the Notice of Stock Option Grant and the Stock Option Agreement are only modified or supplemented hereby to the extent expressly provided for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AXART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ARTICIPANT</w:t>
            </w:r>
          </w:p>
        </w:tc>
        <w:tc>
          <w:tcPr>
            <w:tcW w:w="580" w:type="dxa"/>
            <w:vAlign w:val="bottom"/>
          </w:tcPr>
          <w:p>
            <w:pPr>
              <w:spacing w:after="0"/>
              <w:rPr>
                <w:sz w:val="20"/>
                <w:szCs w:val="20"/>
                <w:color w:val="auto"/>
              </w:rPr>
            </w:pPr>
          </w:p>
        </w:tc>
      </w:tr>
      <w:tr>
        <w:trPr>
          <w:trHeight w:val="437"/>
        </w:trPr>
        <w:tc>
          <w:tcPr>
            <w:tcW w:w="1620" w:type="dxa"/>
            <w:vAlign w:val="bottom"/>
            <w:gridSpan w:val="2"/>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7"/>
        </w:trPr>
        <w:tc>
          <w:tcPr>
            <w:tcW w:w="5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4880" w:type="dxa"/>
            <w:vAlign w:val="bottom"/>
            <w:tcBorders>
              <w:top w:val="single" w:sz="8" w:color="auto"/>
            </w:tcBorders>
            <w:gridSpan w:val="3"/>
          </w:tcPr>
          <w:p>
            <w:pPr>
              <w:spacing w:after="0" w:line="197" w:lineRule="exact"/>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17"/>
                <w:szCs w:val="17"/>
                <w:color w:val="auto"/>
              </w:rPr>
            </w:pPr>
          </w:p>
        </w:tc>
      </w:tr>
      <w:tr>
        <w:trPr>
          <w:trHeight w:val="193"/>
        </w:trPr>
        <w:tc>
          <w:tcPr>
            <w:tcW w:w="1620" w:type="dxa"/>
            <w:vAlign w:val="bottom"/>
            <w:gridSpan w:val="2"/>
          </w:tcPr>
          <w:p>
            <w:pPr>
              <w:spacing w:after="0" w:line="194" w:lineRule="exact"/>
              <w:rPr>
                <w:sz w:val="20"/>
                <w:szCs w:val="20"/>
                <w:color w:val="auto"/>
              </w:rPr>
            </w:pPr>
            <w:r>
              <w:rPr>
                <w:rFonts w:ascii="Arial" w:cs="Arial" w:eastAsia="Arial" w:hAnsi="Arial"/>
                <w:sz w:val="18"/>
                <w:szCs w:val="18"/>
                <w:color w:val="auto"/>
              </w:rPr>
              <w:t>Name:</w:t>
            </w:r>
          </w:p>
        </w:tc>
        <w:tc>
          <w:tcPr>
            <w:tcW w:w="3820" w:type="dxa"/>
            <w:vAlign w:val="bottom"/>
          </w:tcPr>
          <w:p>
            <w:pPr>
              <w:jc w:val="center"/>
              <w:ind w:right="990"/>
              <w:spacing w:after="0" w:line="194" w:lineRule="exact"/>
              <w:rPr>
                <w:sz w:val="20"/>
                <w:szCs w:val="20"/>
                <w:color w:val="auto"/>
              </w:rPr>
            </w:pPr>
            <w:r>
              <w:rPr>
                <w:rFonts w:ascii="Arial" w:cs="Arial" w:eastAsia="Arial" w:hAnsi="Arial"/>
                <w:sz w:val="18"/>
                <w:szCs w:val="18"/>
                <w:color w:val="auto"/>
                <w:w w:val="93"/>
              </w:rPr>
              <w:t>Wouter Latour, MD</w:t>
            </w:r>
          </w:p>
        </w:tc>
        <w:tc>
          <w:tcPr>
            <w:tcW w:w="520" w:type="dxa"/>
            <w:vAlign w:val="bottom"/>
          </w:tcPr>
          <w:p>
            <w:pPr>
              <w:spacing w:after="0"/>
              <w:rPr>
                <w:sz w:val="16"/>
                <w:szCs w:val="16"/>
                <w:color w:val="auto"/>
              </w:rPr>
            </w:pPr>
          </w:p>
        </w:tc>
        <w:tc>
          <w:tcPr>
            <w:tcW w:w="4880" w:type="dxa"/>
            <w:vAlign w:val="bottom"/>
            <w:gridSpan w:val="3"/>
          </w:tcPr>
          <w:p>
            <w:pPr>
              <w:spacing w:after="0" w:line="194" w:lineRule="exact"/>
              <w:rPr>
                <w:sz w:val="20"/>
                <w:szCs w:val="20"/>
                <w:color w:val="auto"/>
              </w:rPr>
            </w:pPr>
            <w:r>
              <w:rPr>
                <w:rFonts w:ascii="Arial" w:cs="Arial" w:eastAsia="Arial" w:hAnsi="Arial"/>
                <w:sz w:val="18"/>
                <w:szCs w:val="18"/>
                <w:color w:val="auto"/>
              </w:rPr>
              <w:t xml:space="preserve">Name: (Please Print): </w:t>
            </w:r>
            <w:r>
              <w:rPr>
                <w:rFonts w:ascii="Arial" w:cs="Arial" w:eastAsia="Arial" w:hAnsi="Arial"/>
                <w:sz w:val="18"/>
                <w:szCs w:val="18"/>
                <w:b w:val="1"/>
                <w:bCs w:val="1"/>
                <w:color w:val="auto"/>
              </w:rPr>
              <w:t>‹‹</w:t>
            </w:r>
            <w:r>
              <w:rPr>
                <w:rFonts w:ascii="Arial" w:cs="Arial" w:eastAsia="Arial" w:hAnsi="Arial"/>
                <w:sz w:val="18"/>
                <w:szCs w:val="18"/>
                <w:color w:val="auto"/>
              </w:rPr>
              <w:t>Optionee</w:t>
            </w:r>
            <w:r>
              <w:rPr>
                <w:rFonts w:ascii="Arial" w:cs="Arial" w:eastAsia="Arial" w:hAnsi="Arial"/>
                <w:sz w:val="18"/>
                <w:szCs w:val="18"/>
                <w:b w:val="1"/>
                <w:bCs w:val="1"/>
                <w:color w:val="auto"/>
              </w:rPr>
              <w:t>››</w:t>
            </w:r>
          </w:p>
        </w:tc>
        <w:tc>
          <w:tcPr>
            <w:tcW w:w="58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4"/>
        </w:trPr>
        <w:tc>
          <w:tcPr>
            <w:tcW w:w="1620" w:type="dxa"/>
            <w:vAlign w:val="bottom"/>
            <w:gridSpan w:val="2"/>
          </w:tcPr>
          <w:p>
            <w:pPr>
              <w:spacing w:after="0"/>
              <w:rPr>
                <w:sz w:val="20"/>
                <w:szCs w:val="20"/>
                <w:color w:val="auto"/>
              </w:rPr>
            </w:pPr>
            <w:r>
              <w:rPr>
                <w:rFonts w:ascii="Arial" w:cs="Arial" w:eastAsia="Arial" w:hAnsi="Arial"/>
                <w:sz w:val="18"/>
                <w:szCs w:val="18"/>
                <w:color w:val="auto"/>
              </w:rPr>
              <w:t>Its:</w:t>
            </w:r>
          </w:p>
        </w:tc>
        <w:tc>
          <w:tcPr>
            <w:tcW w:w="3820" w:type="dxa"/>
            <w:vAlign w:val="bottom"/>
          </w:tcPr>
          <w:p>
            <w:pPr>
              <w:jc w:val="center"/>
              <w:ind w:right="970"/>
              <w:spacing w:after="0"/>
              <w:rPr>
                <w:sz w:val="20"/>
                <w:szCs w:val="20"/>
                <w:color w:val="auto"/>
              </w:rPr>
            </w:pPr>
            <w:r>
              <w:rPr>
                <w:rFonts w:ascii="Arial" w:cs="Arial" w:eastAsia="Arial" w:hAnsi="Arial"/>
                <w:sz w:val="18"/>
                <w:szCs w:val="18"/>
                <w:color w:val="auto"/>
                <w:w w:val="92"/>
              </w:rPr>
              <w:t>CEO</w:t>
            </w: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6"/>
        </w:trPr>
        <w:tc>
          <w:tcPr>
            <w:tcW w:w="56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82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u w:val="single" w:color="auto"/>
          <w:color w:val="auto"/>
        </w:rPr>
        <w:t>Exhibit A to Notice of Exercise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VAXART,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AGREEMENT</w:t>
      </w:r>
    </w:p>
    <w:p>
      <w:pPr>
        <w:spacing w:after="0" w:line="205" w:lineRule="exact"/>
        <w:rPr>
          <w:sz w:val="20"/>
          <w:szCs w:val="20"/>
          <w:color w:val="auto"/>
        </w:rPr>
      </w:pPr>
    </w:p>
    <w:p>
      <w:pPr>
        <w:ind w:left="1020" w:hanging="366"/>
        <w:spacing w:after="0"/>
        <w:tabs>
          <w:tab w:leader="none" w:pos="102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Exercise</w:t>
      </w:r>
      <w:r>
        <w:rPr>
          <w:rFonts w:ascii="Arial" w:cs="Arial" w:eastAsia="Arial" w:hAnsi="Arial"/>
          <w:sz w:val="16"/>
          <w:szCs w:val="16"/>
          <w:color w:val="auto"/>
        </w:rPr>
        <w:t>. Pursuant to exercise of that certain option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granted to the Purchaser (the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named on the Notice</w:t>
      </w:r>
      <w:r>
        <w:rPr>
          <w:rFonts w:ascii="Arial" w:cs="Arial" w:eastAsia="Arial" w:hAnsi="Arial"/>
          <w:sz w:val="16"/>
          <w:szCs w:val="16"/>
          <w:b w:val="1"/>
          <w:bCs w:val="1"/>
          <w:color w:val="auto"/>
        </w:rPr>
        <w:t xml:space="preserve"> </w:t>
      </w:r>
      <w:r>
        <w:rPr>
          <w:rFonts w:ascii="Arial" w:cs="Arial" w:eastAsia="Arial" w:hAnsi="Arial"/>
          <w:sz w:val="16"/>
          <w:szCs w:val="16"/>
          <w:color w:val="auto"/>
        </w:rPr>
        <w:t>of Exercise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to which this Stock Option Exercise Agreement is attached, under the 2007 Equity Incentive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of Vaxart,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subject to the terms and conditions of the Exercise Notice and this Stock Option Exercise Agreement (the “</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the Purchaser hereby purchases from the Company, and the Company hereby sells to the Purchaser, the Total Shares Purchased set forth in the Exercise Notice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Common Stock, $0.0001 par value per share, at the Exercise Price per Share set forth in the Exercise Notice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As used in this Exercise Agreement, the term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refers to the Shares purchased under the Exercise Notice and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 Capitalized terms not defined herein shall have the meanings ascribed to them in the Plan or the Exercise Notice.</w:t>
      </w:r>
    </w:p>
    <w:p>
      <w:pPr>
        <w:spacing w:after="0" w:line="15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The Purchaser hereby delivers payment of the Exercise Price as set forth in the Exercise Notice.</w:t>
      </w:r>
    </w:p>
    <w:p>
      <w:pPr>
        <w:spacing w:after="0" w:line="224" w:lineRule="exact"/>
        <w:rPr>
          <w:sz w:val="20"/>
          <w:szCs w:val="20"/>
          <w:color w:val="auto"/>
        </w:rPr>
      </w:pPr>
    </w:p>
    <w:p>
      <w:pPr>
        <w:ind w:left="1020" w:hanging="366"/>
        <w:spacing w:after="0"/>
        <w:tabs>
          <w:tab w:leader="none" w:pos="102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Deliveries by Purchaser</w:t>
      </w:r>
      <w:r>
        <w:rPr>
          <w:rFonts w:ascii="Arial" w:cs="Arial" w:eastAsia="Arial" w:hAnsi="Arial"/>
          <w:sz w:val="18"/>
          <w:szCs w:val="18"/>
          <w:color w:val="auto"/>
        </w:rPr>
        <w:t>. The Purchaser hereby delivers to the Company (i) the Exercise Notice, (ii) the Stock Powers, (iii)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 Spouse Consent, and (iv) the Exercise Price and payment or other provision for any applicable tax obligations as specified in the Exercise Notice.</w:t>
      </w:r>
    </w:p>
    <w:p>
      <w:pPr>
        <w:spacing w:after="0" w:line="176"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Deliveries by the Company</w:t>
      </w:r>
      <w:r>
        <w:rPr>
          <w:rFonts w:ascii="Arial" w:cs="Arial" w:eastAsia="Arial" w:hAnsi="Arial"/>
          <w:sz w:val="18"/>
          <w:szCs w:val="18"/>
          <w:color w:val="auto"/>
        </w:rPr>
        <w:t>. Upon its receipt of the Exercise Price, payment or other provision for any applicable tax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the documents to be executed and delivered by the Purchaser to the Company under Section 2.1 above, the Company will issue a duly executed stock certificate evidencing the Shares in the name of the Purchaser to be placed in escrow as provided in Section 11 until expiration or termination of the Company’s Right of Repurchase and Right of First Refusal described in Sections 8, 9 and 11, hereof.</w:t>
      </w:r>
    </w:p>
    <w:p>
      <w:pPr>
        <w:spacing w:after="0" w:line="180" w:lineRule="exact"/>
        <w:rPr>
          <w:sz w:val="20"/>
          <w:szCs w:val="20"/>
          <w:color w:val="auto"/>
        </w:rPr>
      </w:pPr>
    </w:p>
    <w:p>
      <w:pPr>
        <w:ind w:left="1020" w:hanging="366"/>
        <w:spacing w:after="0"/>
        <w:tabs>
          <w:tab w:leader="none" w:pos="102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represents and warrants to the Company that:</w:t>
      </w:r>
    </w:p>
    <w:p>
      <w:pPr>
        <w:spacing w:after="0" w:line="224" w:lineRule="exact"/>
        <w:rPr>
          <w:sz w:val="20"/>
          <w:szCs w:val="20"/>
          <w:color w:val="auto"/>
        </w:rPr>
      </w:pPr>
    </w:p>
    <w:p>
      <w:pPr>
        <w:jc w:val="both"/>
        <w:ind w:firstLine="1292"/>
        <w:spacing w:after="0" w:line="28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Agrees to Terms of the Plan</w:t>
      </w:r>
      <w:r>
        <w:rPr>
          <w:rFonts w:ascii="Arial" w:cs="Arial" w:eastAsia="Arial" w:hAnsi="Arial"/>
          <w:sz w:val="17"/>
          <w:szCs w:val="17"/>
          <w:color w:val="auto"/>
        </w:rPr>
        <w:t>. The Purchaser has received a copy of the Plan, the Grant Notice and the Stock Option Agreement, has</w:t>
      </w:r>
      <w:r>
        <w:rPr>
          <w:rFonts w:ascii="Arial" w:cs="Arial" w:eastAsia="Arial" w:hAnsi="Arial"/>
          <w:sz w:val="17"/>
          <w:szCs w:val="17"/>
          <w:b w:val="1"/>
          <w:bCs w:val="1"/>
          <w:color w:val="auto"/>
        </w:rPr>
        <w:t xml:space="preserve"> </w:t>
      </w:r>
      <w:r>
        <w:rPr>
          <w:rFonts w:ascii="Arial" w:cs="Arial" w:eastAsia="Arial" w:hAnsi="Arial"/>
          <w:sz w:val="17"/>
          <w:szCs w:val="17"/>
          <w:color w:val="auto"/>
        </w:rPr>
        <w:t>read and understands the terms of the Plan, the Grant Notice, the Stock Option Agreement, the Exercise Notice and this Exercise Agreement, and agrees to be bound by their terms and conditions. The Purchaser acknowledges that there may be adverse tax consequences upon exercise of the Option or disposition of the Shares, and that the Purchaser should consult a tax adviser prior to such exercise or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725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88" w:name="page489"/>
    <w:bookmarkEnd w:id="488"/>
    <w:p>
      <w:pPr>
        <w:jc w:val="both"/>
        <w:ind w:right="20" w:firstLine="1292"/>
        <w:spacing w:after="0" w:line="260"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Purchase for Own Account for Investment</w:t>
      </w:r>
      <w:r>
        <w:rPr>
          <w:rFonts w:ascii="Arial" w:cs="Arial" w:eastAsia="Arial" w:hAnsi="Arial"/>
          <w:sz w:val="18"/>
          <w:szCs w:val="18"/>
          <w:color w:val="auto"/>
        </w:rPr>
        <w:t>. The Purchaser is purchasing the Shares for the Purchaser’s own account for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only and not with a view to, or for sale in connection with, a distribution of the Shares within the meaning of the Securities Act. The Purchaser has no present intention of selling or otherwise disposing of all or any portion of the Shares and no one other than the Purchaser has any beneficial ownership of any of the Shares.</w:t>
      </w:r>
    </w:p>
    <w:p>
      <w:pPr>
        <w:spacing w:after="0" w:line="180" w:lineRule="exact"/>
        <w:rPr>
          <w:sz w:val="20"/>
          <w:szCs w:val="20"/>
          <w:color w:val="auto"/>
        </w:rPr>
      </w:pPr>
    </w:p>
    <w:p>
      <w:pPr>
        <w:jc w:val="both"/>
        <w:ind w:firstLine="1292"/>
        <w:spacing w:after="0" w:line="287"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Access to Information</w:t>
      </w:r>
      <w:r>
        <w:rPr>
          <w:rFonts w:ascii="Arial" w:cs="Arial" w:eastAsia="Arial" w:hAnsi="Arial"/>
          <w:sz w:val="17"/>
          <w:szCs w:val="17"/>
          <w:color w:val="auto"/>
        </w:rPr>
        <w:t>. The Purchaser has had access to all information regarding the Company and its present and prospective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assets, liabilities and financial condition that the Purchaser reasonably considers important in making the decision to purchase the Shares, and the Purchaser has had ample opportunity to ask questions of the Company’s representatives concerning such matters and this investment.</w:t>
      </w:r>
    </w:p>
    <w:p>
      <w:pPr>
        <w:spacing w:after="0" w:line="160"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Understanding of Risks</w:t>
      </w:r>
      <w:r>
        <w:rPr>
          <w:rFonts w:ascii="Arial" w:cs="Arial" w:eastAsia="Arial" w:hAnsi="Arial"/>
          <w:sz w:val="17"/>
          <w:szCs w:val="17"/>
          <w:color w:val="auto"/>
        </w:rPr>
        <w:t>. The Purchaser is fully aware of: (i) the highly speculative nature of the investment in the Shares; (ii)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hazards involved; (iii) the lack of liquidity of the Shares and the restrictions on transferability of the Shares (e.g., that the Purchaser may not be able to sell or dispose of the Shares or use them as collateral for loans); (iv) the qualifications and backgrounds of the management of the Company; and (v) the tax consequences of investment in the Shares. The Purchaser is capable of evaluating the merits and risks of this investment, has the ability to protect his or her own interests in this transaction and is financially capable of bearing a total loss of this investment.</w:t>
      </w:r>
    </w:p>
    <w:p>
      <w:pPr>
        <w:spacing w:after="0" w:line="168" w:lineRule="exact"/>
        <w:rPr>
          <w:sz w:val="20"/>
          <w:szCs w:val="20"/>
          <w:color w:val="auto"/>
        </w:rPr>
      </w:pPr>
    </w:p>
    <w:p>
      <w:pPr>
        <w:jc w:val="both"/>
        <w:ind w:firstLine="1292"/>
        <w:spacing w:after="0" w:line="311"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No General Solicitation</w:t>
      </w:r>
      <w:r>
        <w:rPr>
          <w:rFonts w:ascii="Arial" w:cs="Arial" w:eastAsia="Arial" w:hAnsi="Arial"/>
          <w:sz w:val="17"/>
          <w:szCs w:val="17"/>
          <w:color w:val="auto"/>
        </w:rPr>
        <w:t>. At no time was the Purchaser presented with or solicited by any publicly issued or circulated newspaper,</w:t>
      </w:r>
      <w:r>
        <w:rPr>
          <w:rFonts w:ascii="Arial" w:cs="Arial" w:eastAsia="Arial" w:hAnsi="Arial"/>
          <w:sz w:val="17"/>
          <w:szCs w:val="17"/>
          <w:b w:val="1"/>
          <w:bCs w:val="1"/>
          <w:color w:val="auto"/>
        </w:rPr>
        <w:t xml:space="preserve"> </w:t>
      </w:r>
      <w:r>
        <w:rPr>
          <w:rFonts w:ascii="Arial" w:cs="Arial" w:eastAsia="Arial" w:hAnsi="Arial"/>
          <w:sz w:val="17"/>
          <w:szCs w:val="17"/>
          <w:color w:val="auto"/>
        </w:rPr>
        <w:t>mail, radio, television or other form of general advertising or solicitation in connection with the offer, sale and purchase of the Shares.</w:t>
      </w:r>
    </w:p>
    <w:p>
      <w:pPr>
        <w:spacing w:after="0" w:line="139" w:lineRule="exact"/>
        <w:rPr>
          <w:sz w:val="20"/>
          <w:szCs w:val="20"/>
          <w:color w:val="auto"/>
        </w:rPr>
      </w:pPr>
    </w:p>
    <w:p>
      <w:pPr>
        <w:ind w:left="1020" w:hanging="366"/>
        <w:spacing w:after="0"/>
        <w:tabs>
          <w:tab w:leader="none" w:pos="102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Compliance with U.S. Federal Securities Laws</w:t>
      </w:r>
      <w:r>
        <w:rPr>
          <w:rFonts w:ascii="Arial" w:cs="Arial" w:eastAsia="Arial" w:hAnsi="Arial"/>
          <w:sz w:val="18"/>
          <w:szCs w:val="18"/>
          <w:color w:val="auto"/>
        </w:rPr>
        <w:t>. The Purchaser understands and acknowledges that the Shares have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with the SEC under the Securities Act and that, notwithstanding any other provision of the Grant Notice and/or Stock Option Agreement to the contrary, the exercise of any rights to purchase any Shares is expressly conditioned upon compliance with the Securities Act and all applicable state securities laws. The Purchaser agrees to cooperate with the Company to ensure compliance with such laws.</w:t>
      </w:r>
    </w:p>
    <w:p>
      <w:pPr>
        <w:spacing w:after="0" w:line="180" w:lineRule="exact"/>
        <w:rPr>
          <w:sz w:val="20"/>
          <w:szCs w:val="20"/>
          <w:color w:val="auto"/>
        </w:rPr>
      </w:pPr>
    </w:p>
    <w:p>
      <w:pPr>
        <w:jc w:val="both"/>
        <w:ind w:firstLine="1292"/>
        <w:spacing w:after="0" w:line="254"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Compliance with Applicable State Securities Laws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ANY PROVISION OF THIS EXERCISE AGREEMENT THAT IS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INCONSISTENT WITH APPLICABLE STATE SECURITIES REGULATIONS SHALL, WITHOUT FURTHER ACT OR AMENDMENT BY THE COMPANY OR THE BOARD, BE REFORMED TO COMPLY WITH THE REQUIREMENTS OF SUCH REGULATIONS. THE SALE OF THE SECURITIES THAT ARE THE SUBJECT OF THIS EXERCISE AGREEMENT, IF NOT YET QUALIFIED WITH ANY APPLICABLE STATE AGENCY AND NOT EXEMPT FROM SUCH QUALIFICATION, IS SUBJECT TO SUCH QUALIFICATION, AND THE ISSUANCE OF SUCH SECURITIES, AND THE RECEIPT OF ANY PART OF THE CONSIDERATION THEREFOR PRIOR TO SUCH QUALIFICATION, IS UNLAWFUL UNLESS THE SALE IS EXEMPT. THE RIGHTS OF THE PARTIES TO THIS EXERCISE AGREEMENT ARE EXPRESSLY CONDITIONED UPON SUCH QUALIFICATION BEING OBTAINED OR AN EXEMPTION BEING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725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89" w:name="page490"/>
    <w:bookmarkEnd w:id="489"/>
    <w:p>
      <w:pPr>
        <w:ind w:left="1020" w:hanging="366"/>
        <w:spacing w:after="0"/>
        <w:tabs>
          <w:tab w:leader="none" w:pos="102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SECURITIES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No Transfer Unless Registered or Exempt</w:t>
      </w:r>
      <w:r>
        <w:rPr>
          <w:rFonts w:ascii="Arial" w:cs="Arial" w:eastAsia="Arial" w:hAnsi="Arial"/>
          <w:sz w:val="18"/>
          <w:szCs w:val="18"/>
          <w:color w:val="auto"/>
        </w:rPr>
        <w:t>. The Purchaser understands that the Purchaser may not transfer any Shares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registered under the Securities Act or qualified under applicable state securities laws or unless, in the opinion of counsel to the Company, exemptions from such registration and qualification requirements are available. The Purchaser understands that only the Company may file a registration statement with the SEC and that the Company is under no obligation to do so with respect to the Shares. The Purchaser has also been advised that exemptions from registration and qualification may not be available or may not permit the Purchaser to transfer all or any of the Shares in the amounts or at the times proposed by the Purchaser.</w:t>
      </w:r>
    </w:p>
    <w:p>
      <w:pPr>
        <w:spacing w:after="0" w:line="188"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SEC Rule 144</w:t>
      </w:r>
      <w:r>
        <w:rPr>
          <w:rFonts w:ascii="Arial" w:cs="Arial" w:eastAsia="Arial" w:hAnsi="Arial"/>
          <w:sz w:val="18"/>
          <w:szCs w:val="18"/>
          <w:color w:val="auto"/>
        </w:rPr>
        <w:t>. In addition, the Purchaser has been advised that SEC Rule 144 promulgated under the Securities Act, which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certain limited sales of unregistered securities, is not presently available with respect to the Shares and, in any event, requires that the Shares be held for a minimum of one (1) year, and in certain cases two (2) years, after they have been purchased </w:t>
      </w:r>
      <w:r>
        <w:rPr>
          <w:rFonts w:ascii="Arial" w:cs="Arial" w:eastAsia="Arial" w:hAnsi="Arial"/>
          <w:sz w:val="18"/>
          <w:szCs w:val="18"/>
          <w:u w:val="single" w:color="auto"/>
          <w:color w:val="auto"/>
        </w:rPr>
        <w:t>and paid for</w:t>
      </w:r>
      <w:r>
        <w:rPr>
          <w:rFonts w:ascii="Arial" w:cs="Arial" w:eastAsia="Arial" w:hAnsi="Arial"/>
          <w:sz w:val="18"/>
          <w:szCs w:val="18"/>
          <w:color w:val="auto"/>
        </w:rPr>
        <w:t xml:space="preserve"> (within the meaning of Rule 144). The Purchaser understands that Rule 144 may indefinitely restrict transfer of the Shares so long as the Purchaser remains an “affiliate” of the Company or if “current public information” about the Company (as defined in Rule 144) is not publicly available.</w:t>
      </w:r>
    </w:p>
    <w:p>
      <w:pPr>
        <w:spacing w:after="0" w:line="184"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SEC Rule 701</w:t>
      </w:r>
      <w:r>
        <w:rPr>
          <w:rFonts w:ascii="Arial" w:cs="Arial" w:eastAsia="Arial" w:hAnsi="Arial"/>
          <w:sz w:val="18"/>
          <w:szCs w:val="18"/>
          <w:color w:val="auto"/>
        </w:rPr>
        <w:t>. The Shares are issued pursuant to SEC Rule 701 promulgated under the Securities Act and may become freely</w:t>
      </w:r>
      <w:r>
        <w:rPr>
          <w:rFonts w:ascii="Arial" w:cs="Arial" w:eastAsia="Arial" w:hAnsi="Arial"/>
          <w:sz w:val="18"/>
          <w:szCs w:val="18"/>
          <w:b w:val="1"/>
          <w:bCs w:val="1"/>
          <w:color w:val="auto"/>
        </w:rPr>
        <w:t xml:space="preserve"> </w:t>
      </w:r>
      <w:r>
        <w:rPr>
          <w:rFonts w:ascii="Arial" w:cs="Arial" w:eastAsia="Arial" w:hAnsi="Arial"/>
          <w:sz w:val="18"/>
          <w:szCs w:val="18"/>
          <w:color w:val="auto"/>
        </w:rPr>
        <w:t>tradable by non-affiliates (under limited conditions regarding the method of sale) ninety (90) days after the first sale of Common Stock of the Company to the general public pursuant to a registration statement filed with and declared effective by the SEC, subject to the lengthier market standoff agreement contained in Section 7 of this Exercise Agreement or any other agreement entered into by the Purchaser. Affiliates must comply with the provisions (other than the holding period requirements) of Rule 144.</w:t>
      </w:r>
    </w:p>
    <w:p>
      <w:pPr>
        <w:spacing w:after="0" w:line="184" w:lineRule="exact"/>
        <w:rPr>
          <w:sz w:val="20"/>
          <w:szCs w:val="20"/>
          <w:color w:val="auto"/>
        </w:rPr>
      </w:pPr>
    </w:p>
    <w:p>
      <w:pPr>
        <w:ind w:left="1020" w:hanging="366"/>
        <w:spacing w:after="0"/>
        <w:tabs>
          <w:tab w:leader="none" w:pos="102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TRANSFERS</w:t>
      </w:r>
      <w:r>
        <w:rPr>
          <w:rFonts w:ascii="Arial" w:cs="Arial" w:eastAsia="Arial" w:hAnsi="Arial"/>
          <w:sz w:val="18"/>
          <w:szCs w:val="18"/>
          <w:color w:val="auto"/>
        </w:rPr>
        <w:t>.</w:t>
      </w:r>
    </w:p>
    <w:p>
      <w:pPr>
        <w:spacing w:after="0" w:line="224" w:lineRule="exact"/>
        <w:rPr>
          <w:sz w:val="20"/>
          <w:szCs w:val="20"/>
          <w:color w:val="auto"/>
        </w:rPr>
      </w:pPr>
    </w:p>
    <w:p>
      <w:pPr>
        <w:ind w:right="20" w:firstLine="1292"/>
        <w:spacing w:after="0" w:line="280"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Disposition of Shares</w:t>
      </w:r>
      <w:r>
        <w:rPr>
          <w:rFonts w:ascii="Arial" w:cs="Arial" w:eastAsia="Arial" w:hAnsi="Arial"/>
          <w:sz w:val="18"/>
          <w:szCs w:val="18"/>
          <w:color w:val="auto"/>
        </w:rPr>
        <w:t>. The Purchaser hereby agrees that the Purchaser shall make no disposition of the Shares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this Exercise Agreement) unless and until:</w:t>
      </w:r>
    </w:p>
    <w:p>
      <w:pPr>
        <w:spacing w:after="0" w:line="167" w:lineRule="exact"/>
        <w:rPr>
          <w:sz w:val="20"/>
          <w:szCs w:val="20"/>
          <w:color w:val="auto"/>
        </w:rPr>
      </w:pPr>
    </w:p>
    <w:p>
      <w:pPr>
        <w:ind w:firstLine="1946"/>
        <w:spacing w:after="0" w:line="276" w:lineRule="auto"/>
        <w:tabs>
          <w:tab w:leader="none" w:pos="237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Purchaser shall have notified the Company of the proposed disposition and provided a written summary of the terms and conditions of the proposed disposition;</w:t>
      </w:r>
    </w:p>
    <w:p>
      <w:pPr>
        <w:spacing w:after="0" w:line="169" w:lineRule="exact"/>
        <w:rPr>
          <w:rFonts w:ascii="Arial" w:cs="Arial" w:eastAsia="Arial" w:hAnsi="Arial"/>
          <w:sz w:val="18"/>
          <w:szCs w:val="18"/>
          <w:color w:val="auto"/>
        </w:rPr>
      </w:pPr>
    </w:p>
    <w:p>
      <w:pPr>
        <w:ind w:left="2480" w:hanging="534"/>
        <w:spacing w:after="0"/>
        <w:tabs>
          <w:tab w:leader="none" w:pos="248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Purchaser shall have complied with all requirements of this Exercise Agreement applicable to the disposition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725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0" w:name="page491"/>
    <w:bookmarkEnd w:id="490"/>
    <w:p>
      <w:pPr>
        <w:jc w:val="both"/>
        <w:ind w:firstLine="1946"/>
        <w:spacing w:after="0" w:line="258" w:lineRule="auto"/>
        <w:tabs>
          <w:tab w:leader="none" w:pos="235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Purchaser shall have provided the Company with written assurances, in form and substance satisfactory to counsel for the Company, that (i) the proposed disposition does not require registration of the Shares under the Securities Act or (ii) all appropriate actions necessary for compliance with the registration requirements of the Securities Act or of any exemption from registration available under the Securities Act (including Rule 144) have been taken; and</w:t>
      </w:r>
    </w:p>
    <w:p>
      <w:pPr>
        <w:spacing w:after="0" w:line="186" w:lineRule="exact"/>
        <w:rPr>
          <w:rFonts w:ascii="Arial" w:cs="Arial" w:eastAsia="Arial" w:hAnsi="Arial"/>
          <w:sz w:val="18"/>
          <w:szCs w:val="18"/>
          <w:color w:val="auto"/>
        </w:rPr>
      </w:pPr>
    </w:p>
    <w:p>
      <w:pPr>
        <w:jc w:val="both"/>
        <w:ind w:firstLine="1946"/>
        <w:spacing w:after="0" w:line="262" w:lineRule="auto"/>
        <w:tabs>
          <w:tab w:leader="none" w:pos="23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79"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Restriction on Transfer</w:t>
      </w:r>
      <w:r>
        <w:rPr>
          <w:rFonts w:ascii="Arial" w:cs="Arial" w:eastAsia="Arial" w:hAnsi="Arial"/>
          <w:sz w:val="18"/>
          <w:szCs w:val="18"/>
          <w:color w:val="auto"/>
        </w:rPr>
        <w:t>. The Purchaser shall not transfer, assign, grant a lien or security interest in, pledge, hypothecate, encumber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dispose of any of the Shares that are subject to the Company’s Right of First Refusal described below, except as permitted by this Exercise Agreement.</w:t>
      </w:r>
    </w:p>
    <w:p>
      <w:pPr>
        <w:spacing w:after="0" w:line="176"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Transferee Obligations</w:t>
      </w:r>
      <w:r>
        <w:rPr>
          <w:rFonts w:ascii="Arial" w:cs="Arial" w:eastAsia="Arial" w:hAnsi="Arial"/>
          <w:sz w:val="18"/>
          <w:szCs w:val="18"/>
          <w:color w:val="auto"/>
        </w:rPr>
        <w:t>. Each person (other than the Company) to whom the Shares are transferred by means of one of the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specified in this Exercise Agreement must, as a condition precedent to the validity of such transfer, acknowledge in writing to the Company that such person is bound by the provisions of this Exercise Agreement and that the transferred Shares are subject to (i) the Company’s Right of Repurchase and Right of First Refusal granted hereunder and (ii) the market stand-off provisions of Section 7 hereof, to the same extent such Shares would be so subject if retained by the Purchaser.</w:t>
      </w:r>
    </w:p>
    <w:p>
      <w:pPr>
        <w:spacing w:after="0" w:line="184" w:lineRule="exact"/>
        <w:rPr>
          <w:sz w:val="20"/>
          <w:szCs w:val="20"/>
          <w:color w:val="auto"/>
        </w:rPr>
      </w:pPr>
    </w:p>
    <w:p>
      <w:pPr>
        <w:jc w:val="both"/>
        <w:ind w:firstLine="654"/>
        <w:spacing w:after="0" w:line="288" w:lineRule="auto"/>
        <w:tabs>
          <w:tab w:leader="none" w:pos="1032" w:val="left"/>
        </w:tabs>
        <w:numPr>
          <w:ilvl w:val="1"/>
          <w:numId w:val="4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MARKET STANDOFF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Purchaser agrees in connection with any registration of the Company’s securities that,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of the Company or the underwriters managing any public offering of the Company’s securities, the Purchaser will not sell or otherwise dispose of any Shares without the prior written consent of the Company or such underwriters, as the case may be, for such period of time (not to exceed one hundred eighty</w:t>
      </w:r>
    </w:p>
    <w:p>
      <w:pPr>
        <w:spacing w:after="0" w:line="2" w:lineRule="exact"/>
        <w:rPr>
          <w:rFonts w:ascii="Arial" w:cs="Arial" w:eastAsia="Arial" w:hAnsi="Arial"/>
          <w:sz w:val="16"/>
          <w:szCs w:val="16"/>
          <w:b w:val="1"/>
          <w:bCs w:val="1"/>
          <w:color w:val="auto"/>
        </w:rPr>
      </w:pPr>
    </w:p>
    <w:p>
      <w:pPr>
        <w:ind w:right="20" w:firstLine="8"/>
        <w:spacing w:after="0" w:line="321" w:lineRule="auto"/>
        <w:tabs>
          <w:tab w:leader="none" w:pos="464" w:val="left"/>
        </w:tabs>
        <w:numPr>
          <w:ilvl w:val="0"/>
          <w:numId w:val="451"/>
        </w:numPr>
        <w:rPr>
          <w:rFonts w:ascii="Arial" w:cs="Arial" w:eastAsia="Arial" w:hAnsi="Arial"/>
          <w:sz w:val="16"/>
          <w:szCs w:val="16"/>
          <w:color w:val="auto"/>
        </w:rPr>
      </w:pPr>
      <w:r>
        <w:rPr>
          <w:rFonts w:ascii="Arial" w:cs="Arial" w:eastAsia="Arial" w:hAnsi="Arial"/>
          <w:sz w:val="16"/>
          <w:szCs w:val="16"/>
          <w:color w:val="auto"/>
        </w:rPr>
        <w:t>days) after the effective date of such registration requested by such managing underwriters and subject to all restrictions as the Company or the underwriters may specify. The Purchaser further agrees to enter into any agreement reasonably required by the underwriters to implement the foregoing.</w:t>
      </w:r>
    </w:p>
    <w:p>
      <w:pPr>
        <w:spacing w:after="0" w:line="135" w:lineRule="exact"/>
        <w:rPr>
          <w:rFonts w:ascii="Arial" w:cs="Arial" w:eastAsia="Arial" w:hAnsi="Arial"/>
          <w:sz w:val="16"/>
          <w:szCs w:val="16"/>
          <w:color w:val="auto"/>
        </w:rPr>
      </w:pPr>
    </w:p>
    <w:p>
      <w:pPr>
        <w:jc w:val="both"/>
        <w:ind w:firstLine="654"/>
        <w:spacing w:after="0" w:line="280" w:lineRule="auto"/>
        <w:tabs>
          <w:tab w:leader="none" w:pos="1018" w:val="left"/>
        </w:tabs>
        <w:numPr>
          <w:ilvl w:val="1"/>
          <w:numId w:val="4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COMPANY’S REPURCHASE OPTION FOR UNVESTED SHARES</w:t>
      </w:r>
      <w:r>
        <w:rPr>
          <w:rFonts w:ascii="Arial" w:cs="Arial" w:eastAsia="Arial" w:hAnsi="Arial"/>
          <w:sz w:val="17"/>
          <w:szCs w:val="17"/>
          <w:color w:val="auto"/>
        </w:rPr>
        <w:t>. The Company, or its assignee, shall have the option to repurchase all</w:t>
      </w:r>
      <w:r>
        <w:rPr>
          <w:rFonts w:ascii="Arial" w:cs="Arial" w:eastAsia="Arial" w:hAnsi="Arial"/>
          <w:sz w:val="17"/>
          <w:szCs w:val="17"/>
          <w:b w:val="1"/>
          <w:bCs w:val="1"/>
          <w:color w:val="auto"/>
        </w:rPr>
        <w:t xml:space="preserve"> </w:t>
      </w:r>
      <w:r>
        <w:rPr>
          <w:rFonts w:ascii="Arial" w:cs="Arial" w:eastAsia="Arial" w:hAnsi="Arial"/>
          <w:sz w:val="17"/>
          <w:szCs w:val="17"/>
          <w:color w:val="auto"/>
        </w:rPr>
        <w:t>or a portion of the Shares that are Unvested Shares (as defined in the Stock Option Agreement) on the terms and conditions set forth in this Section (the “</w:t>
      </w:r>
      <w:r>
        <w:rPr>
          <w:rFonts w:ascii="Arial" w:cs="Arial" w:eastAsia="Arial" w:hAnsi="Arial"/>
          <w:sz w:val="17"/>
          <w:szCs w:val="17"/>
          <w:b w:val="1"/>
          <w:bCs w:val="1"/>
          <w:i w:val="1"/>
          <w:iCs w:val="1"/>
          <w:color w:val="auto"/>
        </w:rPr>
        <w:t>Repurchase Option</w:t>
      </w:r>
      <w:r>
        <w:rPr>
          <w:rFonts w:ascii="Arial" w:cs="Arial" w:eastAsia="Arial" w:hAnsi="Arial"/>
          <w:sz w:val="17"/>
          <w:szCs w:val="17"/>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164" w:lineRule="exact"/>
        <w:rPr>
          <w:sz w:val="20"/>
          <w:szCs w:val="20"/>
          <w:color w:val="auto"/>
        </w:rPr>
      </w:pPr>
    </w:p>
    <w:p>
      <w:pPr>
        <w:ind w:firstLine="1292"/>
        <w:spacing w:after="0" w:line="280"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Termination and Termination Date</w:t>
      </w:r>
      <w:r>
        <w:rPr>
          <w:rFonts w:ascii="Arial" w:cs="Arial" w:eastAsia="Arial" w:hAnsi="Arial"/>
          <w:sz w:val="18"/>
          <w:szCs w:val="18"/>
          <w:color w:val="auto"/>
        </w:rPr>
        <w:t>. In case of any dispute as to whether Purchaser is Terminated, the Committee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determine whether Purchaser has been Terminated and the effective date of such Termination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725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91" w:name="page492"/>
    <w:bookmarkEnd w:id="491"/>
    <w:p>
      <w:pPr>
        <w:jc w:val="both"/>
        <w:ind w:firstLine="1292"/>
        <w:spacing w:after="0" w:line="313"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Exercise of Repurchase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within ninety (90) days after the Purchaser’s Termination Date (or, in the case of</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issued upon exercise of an Option after the Purchaser’s Termination Date, within ninety (90) days after the date of such exercise), the Company, or its assignee, may elect to repurchase any or all the Shares that are Unvested Shares by giving Purchaser written notice of exercise of the Repurchase Option.</w:t>
      </w:r>
    </w:p>
    <w:p>
      <w:pPr>
        <w:spacing w:after="0" w:line="141" w:lineRule="exact"/>
        <w:rPr>
          <w:sz w:val="20"/>
          <w:szCs w:val="20"/>
          <w:color w:val="auto"/>
        </w:rPr>
      </w:pPr>
    </w:p>
    <w:p>
      <w:pPr>
        <w:jc w:val="both"/>
        <w:ind w:firstLine="1292"/>
        <w:spacing w:after="0" w:line="287"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Calculation of Repurchase Price for Unvested Shares</w:t>
      </w:r>
      <w:r>
        <w:rPr>
          <w:rFonts w:ascii="Arial" w:cs="Arial" w:eastAsia="Arial" w:hAnsi="Arial"/>
          <w:sz w:val="17"/>
          <w:szCs w:val="17"/>
          <w:color w:val="auto"/>
        </w:rPr>
        <w:t>. The Company or its assignee shall have the option to repurchase from</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(or from Purchaser’s personal representative as the case may be) the Unvested Shares at the Purchaser’s Exercise Price, proportionately adjusted for any stock split or similar change in the capital structure of the Company as set forth in Section 2.2 of the Plan (the “</w:t>
      </w:r>
      <w:r>
        <w:rPr>
          <w:rFonts w:ascii="Arial" w:cs="Arial" w:eastAsia="Arial" w:hAnsi="Arial"/>
          <w:sz w:val="17"/>
          <w:szCs w:val="17"/>
          <w:b w:val="1"/>
          <w:bCs w:val="1"/>
          <w:i w:val="1"/>
          <w:iCs w:val="1"/>
          <w:color w:val="auto"/>
        </w:rPr>
        <w:t>Repurchase Price</w:t>
      </w:r>
      <w:r>
        <w:rPr>
          <w:rFonts w:ascii="Arial" w:cs="Arial" w:eastAsia="Arial" w:hAnsi="Arial"/>
          <w:sz w:val="17"/>
          <w:szCs w:val="17"/>
          <w:color w:val="auto"/>
        </w:rPr>
        <w:t>”).</w:t>
      </w:r>
    </w:p>
    <w:p>
      <w:pPr>
        <w:spacing w:after="0" w:line="160" w:lineRule="exact"/>
        <w:rPr>
          <w:sz w:val="20"/>
          <w:szCs w:val="20"/>
          <w:color w:val="auto"/>
        </w:rPr>
      </w:pPr>
    </w:p>
    <w:p>
      <w:pPr>
        <w:jc w:val="both"/>
        <w:ind w:firstLine="1292"/>
        <w:spacing w:after="0" w:line="287"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b w:val="1"/>
          <w:bCs w:val="1"/>
          <w:u w:val="single" w:color="auto"/>
          <w:color w:val="auto"/>
        </w:rPr>
        <w:t>Payment of Repurchase Price</w:t>
      </w:r>
      <w:r>
        <w:rPr>
          <w:rFonts w:ascii="Arial" w:cs="Arial" w:eastAsia="Arial" w:hAnsi="Arial"/>
          <w:sz w:val="17"/>
          <w:szCs w:val="17"/>
          <w:color w:val="auto"/>
        </w:rPr>
        <w:t>. The Repurchase Price shall be payable, at the option of the Company or its assignee, by check or by</w:t>
      </w:r>
      <w:r>
        <w:rPr>
          <w:rFonts w:ascii="Arial" w:cs="Arial" w:eastAsia="Arial" w:hAnsi="Arial"/>
          <w:sz w:val="17"/>
          <w:szCs w:val="17"/>
          <w:b w:val="1"/>
          <w:bCs w:val="1"/>
          <w:color w:val="auto"/>
        </w:rPr>
        <w:t xml:space="preserve"> </w:t>
      </w:r>
      <w:r>
        <w:rPr>
          <w:rFonts w:ascii="Arial" w:cs="Arial" w:eastAsia="Arial" w:hAnsi="Arial"/>
          <w:sz w:val="17"/>
          <w:szCs w:val="17"/>
          <w:color w:val="auto"/>
        </w:rPr>
        <w:t>cancellation of all or a portion of any outstanding purchase money indebtedness owed by Purchaser to the Company or such assignee, or by any combination thereof. The Repurchase Price shall be paid without interest within the term of the Repurchase Option as described in Section 8.2.</w:t>
      </w:r>
    </w:p>
    <w:p>
      <w:pPr>
        <w:spacing w:after="0" w:line="160" w:lineRule="exact"/>
        <w:rPr>
          <w:sz w:val="20"/>
          <w:szCs w:val="20"/>
          <w:color w:val="auto"/>
        </w:rPr>
      </w:pPr>
    </w:p>
    <w:p>
      <w:pPr>
        <w:jc w:val="both"/>
        <w:ind w:firstLine="1938"/>
        <w:spacing w:after="0" w:line="287"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b w:val="1"/>
          <w:bCs w:val="1"/>
          <w:u w:val="single" w:color="auto"/>
          <w:color w:val="auto"/>
        </w:rPr>
        <w:t>Right of Termination Unaffected</w:t>
      </w:r>
      <w:r>
        <w:rPr>
          <w:rFonts w:ascii="Arial" w:cs="Arial" w:eastAsia="Arial" w:hAnsi="Arial"/>
          <w:sz w:val="17"/>
          <w:szCs w:val="17"/>
          <w:color w:val="auto"/>
        </w:rPr>
        <w:t>. Nothing in this Exercise Agreement shall be construed to limit or otherwise affect in any</w:t>
      </w:r>
      <w:r>
        <w:rPr>
          <w:rFonts w:ascii="Arial" w:cs="Arial" w:eastAsia="Arial" w:hAnsi="Arial"/>
          <w:sz w:val="17"/>
          <w:szCs w:val="17"/>
          <w:b w:val="1"/>
          <w:bCs w:val="1"/>
          <w:color w:val="auto"/>
        </w:rPr>
        <w:t xml:space="preserve"> </w:t>
      </w:r>
      <w:r>
        <w:rPr>
          <w:rFonts w:ascii="Arial" w:cs="Arial" w:eastAsia="Arial" w:hAnsi="Arial"/>
          <w:sz w:val="17"/>
          <w:szCs w:val="17"/>
          <w:color w:val="auto"/>
        </w:rPr>
        <w:t>manner 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160" w:lineRule="exact"/>
        <w:rPr>
          <w:sz w:val="20"/>
          <w:szCs w:val="20"/>
          <w:color w:val="auto"/>
        </w:rPr>
      </w:pPr>
    </w:p>
    <w:p>
      <w:pPr>
        <w:jc w:val="both"/>
        <w:ind w:firstLine="654"/>
        <w:spacing w:after="0" w:line="257" w:lineRule="auto"/>
        <w:tabs>
          <w:tab w:leader="none" w:pos="118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RIGHT OF FIRST REFUSAL</w:t>
      </w:r>
      <w:r>
        <w:rPr>
          <w:rFonts w:ascii="Arial" w:cs="Arial" w:eastAsia="Arial" w:hAnsi="Arial"/>
          <w:sz w:val="18"/>
          <w:szCs w:val="18"/>
          <w:color w:val="auto"/>
        </w:rPr>
        <w:t>. Unvested Shares may not be sold or otherwise transferred by the Purchaser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prior written consent. Before any Vested Shares held by the Purchaser or any transferee of such Vested Shares (either sometimes referred to herein as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8"/>
          <w:szCs w:val="18"/>
          <w:b w:val="1"/>
          <w:bCs w:val="1"/>
          <w:i w:val="1"/>
          <w:iCs w:val="1"/>
          <w:color w:val="auto"/>
        </w:rPr>
        <w:t>Offered Shares</w:t>
      </w:r>
      <w:r>
        <w:rPr>
          <w:rFonts w:ascii="Arial" w:cs="Arial" w:eastAsia="Arial" w:hAnsi="Arial"/>
          <w:sz w:val="18"/>
          <w:szCs w:val="18"/>
          <w:color w:val="auto"/>
        </w:rPr>
        <w:t>”) on the terms and conditions set forth in this Section (the “</w:t>
      </w:r>
      <w:r>
        <w:rPr>
          <w:rFonts w:ascii="Arial" w:cs="Arial" w:eastAsia="Arial" w:hAnsi="Arial"/>
          <w:sz w:val="18"/>
          <w:szCs w:val="18"/>
          <w:b w:val="1"/>
          <w:bCs w:val="1"/>
          <w:i w:val="1"/>
          <w:iCs w:val="1"/>
          <w:color w:val="auto"/>
        </w:rPr>
        <w:t>Right of First Refusal</w:t>
      </w:r>
      <w:r>
        <w:rPr>
          <w:rFonts w:ascii="Arial" w:cs="Arial" w:eastAsia="Arial" w:hAnsi="Arial"/>
          <w:sz w:val="18"/>
          <w:szCs w:val="18"/>
          <w:color w:val="auto"/>
        </w:rPr>
        <w:t>”).</w:t>
      </w:r>
    </w:p>
    <w:p>
      <w:pPr>
        <w:spacing w:after="0" w:line="184"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Notice of Proposed Transfer</w:t>
      </w:r>
      <w:r>
        <w:rPr>
          <w:rFonts w:ascii="Arial" w:cs="Arial" w:eastAsia="Arial" w:hAnsi="Arial"/>
          <w:sz w:val="18"/>
          <w:szCs w:val="18"/>
          <w:color w:val="auto"/>
        </w:rPr>
        <w:t>. The Holder of the Offered Shares will deliver to the Company a written notice (the “</w:t>
      </w:r>
      <w:r>
        <w:rPr>
          <w:rFonts w:ascii="Arial" w:cs="Arial" w:eastAsia="Arial" w:hAnsi="Arial"/>
          <w:sz w:val="18"/>
          <w:szCs w:val="18"/>
          <w:b w:val="1"/>
          <w:bCs w:val="1"/>
          <w:i w:val="1"/>
          <w:iCs w:val="1"/>
          <w:color w:val="auto"/>
        </w:rPr>
        <w:t>Notice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stating: (i) the Holder’s bona fide intention to sell or otherwise transfer the Offered Shares; (ii) the name and address of each proposed purchaser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transferee (the “</w:t>
      </w:r>
      <w:r>
        <w:rPr>
          <w:rFonts w:ascii="Arial" w:cs="Arial" w:eastAsia="Arial" w:hAnsi="Arial"/>
          <w:sz w:val="18"/>
          <w:szCs w:val="18"/>
          <w:b w:val="1"/>
          <w:bCs w:val="1"/>
          <w:i w:val="1"/>
          <w:iCs w:val="1"/>
          <w:color w:val="auto"/>
        </w:rPr>
        <w:t>Proposed Transferee</w:t>
      </w:r>
      <w:r>
        <w:rPr>
          <w:rFonts w:ascii="Arial" w:cs="Arial" w:eastAsia="Arial" w:hAnsi="Arial"/>
          <w:sz w:val="18"/>
          <w:szCs w:val="18"/>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(v) that the Holder acknowledges this Notice of Transfer is an offer to sell the Offered Shares to the Company and/or its assignee(s) pursuant to the Company’s Right of First Refusal at the Offered Price as provided for in this Exercise Agreement.</w:t>
      </w:r>
    </w:p>
    <w:p>
      <w:pPr>
        <w:spacing w:after="0" w:line="188" w:lineRule="exact"/>
        <w:rPr>
          <w:sz w:val="20"/>
          <w:szCs w:val="20"/>
          <w:color w:val="auto"/>
        </w:rPr>
      </w:pPr>
    </w:p>
    <w:p>
      <w:pPr>
        <w:jc w:val="both"/>
        <w:ind w:firstLine="1292"/>
        <w:spacing w:after="0" w:line="313"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Exercise of Right of First Refusal</w:t>
      </w:r>
      <w:r>
        <w:rPr>
          <w:rFonts w:ascii="Arial" w:cs="Arial" w:eastAsia="Arial" w:hAnsi="Arial"/>
          <w:sz w:val="16"/>
          <w:szCs w:val="16"/>
          <w:color w:val="auto"/>
        </w:rPr>
        <w:t>. At any time within thirty (30) days after the date of the Notice of Transfer, the Company and/or</w:t>
      </w:r>
      <w:r>
        <w:rPr>
          <w:rFonts w:ascii="Arial" w:cs="Arial" w:eastAsia="Arial" w:hAnsi="Arial"/>
          <w:sz w:val="16"/>
          <w:szCs w:val="16"/>
          <w:b w:val="1"/>
          <w:bCs w:val="1"/>
          <w:color w:val="auto"/>
        </w:rPr>
        <w:t xml:space="preserve"> </w:t>
      </w:r>
      <w:r>
        <w:rPr>
          <w:rFonts w:ascii="Arial" w:cs="Arial" w:eastAsia="Arial" w:hAnsi="Arial"/>
          <w:sz w:val="16"/>
          <w:szCs w:val="16"/>
          <w:color w:val="auto"/>
        </w:rPr>
        <w:t>its assignee(s) may, by giving written notice to the Holder, elect to purchase all (or, with the consent of the Holder, less than all) the Offered Shares proposed to be transferred to any one or more of the Proposed Transferees named in the Notice of Transfer, at the purchase price, determined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725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2" w:name="page493"/>
    <w:bookmarkEnd w:id="492"/>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for the Offered Shares purchased under this Section will be the Offered Price, provided that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Price consists of no legal consideration (as, for example, in the case of a transfer by gift)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84" w:lineRule="exact"/>
        <w:rPr>
          <w:sz w:val="20"/>
          <w:szCs w:val="20"/>
          <w:color w:val="auto"/>
        </w:rPr>
      </w:pPr>
    </w:p>
    <w:p>
      <w:pPr>
        <w:jc w:val="both"/>
        <w:ind w:firstLine="1292"/>
        <w:spacing w:after="0" w:line="257"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for the Offered Shares will be payable, at the option of the Company and/or its assignee(s)</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of Transfer, or, at the option of the Company and/or its assignee(s), in the manner and at the time(s) set forth in the Notice of Transfer.</w:t>
      </w:r>
    </w:p>
    <w:p>
      <w:pPr>
        <w:spacing w:after="0" w:line="184" w:lineRule="exact"/>
        <w:rPr>
          <w:sz w:val="20"/>
          <w:szCs w:val="20"/>
          <w:color w:val="auto"/>
        </w:rPr>
      </w:pPr>
    </w:p>
    <w:p>
      <w:pPr>
        <w:jc w:val="both"/>
        <w:ind w:firstLine="1292"/>
        <w:spacing w:after="0" w:line="286" w:lineRule="auto"/>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If all of the Offered Shares proposed in the Notice of Transfer to be transferred to a given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sale or other transfer is consummated within one hundred twenty (120) days after the date of the Notice of Transfer, (ii) any such sale or other transfer is effected in compliance with all applicable securities laws, and</w:t>
      </w:r>
    </w:p>
    <w:p>
      <w:pPr>
        <w:spacing w:after="0" w:line="3" w:lineRule="exact"/>
        <w:rPr>
          <w:sz w:val="20"/>
          <w:szCs w:val="20"/>
          <w:color w:val="auto"/>
        </w:rPr>
      </w:pPr>
    </w:p>
    <w:p>
      <w:pPr>
        <w:jc w:val="both"/>
        <w:ind w:firstLine="8"/>
        <w:spacing w:after="0" w:line="252" w:lineRule="auto"/>
        <w:tabs>
          <w:tab w:leader="none" w:pos="3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each Proposed Transferee agrees in writing that the provisions of this Section will continue to apply to the Offered Shares in the hands of such Proposed Transferee. If the Offered Shares described in the Notice of Transfer are not transferred to each Proposed Transferee within such one hundred twenty (120) day period, then a new Notice of Transfer must be given to the Company pursuant to which the Company will again be offered the Right of First Refusal before any Shares held by the Holder may be sold or otherwise transferred.</w:t>
      </w:r>
    </w:p>
    <w:p>
      <w:pPr>
        <w:spacing w:after="0" w:line="189" w:lineRule="exact"/>
        <w:rPr>
          <w:sz w:val="20"/>
          <w:szCs w:val="20"/>
          <w:color w:val="auto"/>
        </w:rPr>
      </w:pPr>
    </w:p>
    <w:p>
      <w:pPr>
        <w:jc w:val="both"/>
        <w:ind w:firstLine="1292"/>
        <w:spacing w:after="0" w:line="268"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7"/>
          <w:szCs w:val="17"/>
          <w:b w:val="1"/>
          <w:bCs w:val="1"/>
          <w:u w:val="single" w:color="auto"/>
          <w:color w:val="auto"/>
        </w:rPr>
        <w:t>Exempt Transfers</w:t>
      </w:r>
      <w:r>
        <w:rPr>
          <w:rFonts w:ascii="Arial" w:cs="Arial" w:eastAsia="Arial" w:hAnsi="Arial"/>
          <w:sz w:val="17"/>
          <w:szCs w:val="17"/>
          <w:color w:val="auto"/>
        </w:rPr>
        <w:t>. Notwithstanding anything to the contrary in this Section, the following transfers of Vested Shares will be exempt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Right of First Refusal: (i) the transfer of any or all of the Vested Shares during the Purchaser’s lifetime by gift or on the Purchaser’s death by will or intestacy to the Purchaser’s “Immediate Family” (as defined below) or to a trust for the benefit of the Purchaser or the Purchaser’s Immediate Family, provided that each transferee or other recipient agrees in a writing satisfactory to the Company that the provisions of this Agreement will continue to apply to the transferred Vested Shares in the hands of such transferee or other recipient; (ii) any transfer or conversion of Vested Shares made pursuant to a statutory 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(i) the common stock of the surviving corporation or any direct or indirect parent corporation thereof is registered under the Securities Exchange Act of 1934, as amended; or (ii) the agreement of merger or consolidation expressly otherwise provides); or (iii) any transfer of Vested Shares pursuant to the winding up and dissolution of the Company.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will mean the Purchaser’s spouse, the lineal descendant or antecedent, father, mother, brother or sister, child, adopted child, grandchild or adopted grandchild of the Purchaser or the Purchaser’s spouse, or the spouse of any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725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3" w:name="page494"/>
    <w:bookmarkEnd w:id="493"/>
    <w:p>
      <w:pPr>
        <w:jc w:val="both"/>
        <w:ind w:firstLine="1292"/>
        <w:spacing w:after="0" w:line="255"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Termination of Right of First Refusal</w:t>
      </w:r>
      <w:r>
        <w:rPr>
          <w:rFonts w:ascii="Arial" w:cs="Arial" w:eastAsia="Arial" w:hAnsi="Arial"/>
          <w:sz w:val="18"/>
          <w:szCs w:val="18"/>
          <w:color w:val="auto"/>
        </w:rPr>
        <w:t>. The Right of First Refusal will terminate as to all Shares (i) on the effective date of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Common Stock of the Company to the general public pursuant to a registration statement filed with and declared effective by the SEC under the 1933 Act (other than a registration statement relating solely to the issuance of Common Stock pursuant to a business combination or an employee incentive or benefit plan) or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88" w:lineRule="exact"/>
        <w:rPr>
          <w:sz w:val="20"/>
          <w:szCs w:val="20"/>
          <w:color w:val="auto"/>
        </w:rPr>
      </w:pPr>
    </w:p>
    <w:p>
      <w:pPr>
        <w:jc w:val="both"/>
        <w:ind w:firstLine="1292"/>
        <w:spacing w:after="0" w:line="255"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b w:val="1"/>
          <w:bCs w:val="1"/>
          <w:u w:val="single" w:color="auto"/>
          <w:color w:val="auto"/>
        </w:rPr>
        <w:t>Encumbrances on Vested Shares</w:t>
      </w:r>
      <w:r>
        <w:rPr>
          <w:rFonts w:ascii="Arial" w:cs="Arial" w:eastAsia="Arial" w:hAnsi="Arial"/>
          <w:sz w:val="18"/>
          <w:szCs w:val="18"/>
          <w:color w:val="auto"/>
        </w:rPr>
        <w:t>. The Purchaser may grant a lien or security interest in, or pledge, hypothecate or encumber Vested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Agreement will continue to apply to such Vested Shares in the hands of such party and any transferee of such party. The Purchaser may not grant a lien or security interest in, or pledge, hypothecate or encumber, any Unvested Shares.</w:t>
      </w:r>
    </w:p>
    <w:p>
      <w:pPr>
        <w:spacing w:after="0" w:line="188" w:lineRule="exact"/>
        <w:rPr>
          <w:sz w:val="20"/>
          <w:szCs w:val="20"/>
          <w:color w:val="auto"/>
        </w:rPr>
      </w:pPr>
    </w:p>
    <w:p>
      <w:pPr>
        <w:jc w:val="both"/>
        <w:ind w:firstLine="654"/>
        <w:spacing w:after="0" w:line="273" w:lineRule="auto"/>
        <w:tabs>
          <w:tab w:leader="none" w:pos="1094"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A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Exercise Agreement, the Purchaser will have all of the rights of</w:t>
      </w:r>
      <w:r>
        <w:rPr>
          <w:rFonts w:ascii="Arial" w:cs="Arial" w:eastAsia="Arial" w:hAnsi="Arial"/>
          <w:sz w:val="17"/>
          <w:szCs w:val="17"/>
          <w:b w:val="1"/>
          <w:bCs w:val="1"/>
          <w:color w:val="auto"/>
        </w:rPr>
        <w:t xml:space="preserve"> </w:t>
      </w:r>
      <w:r>
        <w:rPr>
          <w:rFonts w:ascii="Arial" w:cs="Arial" w:eastAsia="Arial" w:hAnsi="Arial"/>
          <w:sz w:val="17"/>
          <w:szCs w:val="17"/>
          <w:color w:val="auto"/>
        </w:rPr>
        <w:t>a stockholder of the Company with respect to the Shares from and after the date that Shares are issued to the Purchaser until such time as the Purchaser disposes of the Shares or the Company and/or its assignee(s) exercise(s) the Right of Repurchase or Right of First Refusal. Upon an exercise of the Right of Repurchase or Right of First Refusal, the Purchaser will have no further rights as a holder of the Shares so purchased upon such exercise, other than the right to receive payment for the Shares so purchased in accordance with the provisions of this Exercise Agreement, and the Purchaser will promptly surrender the stock certificate(s) evidencing the Shares so purchased to the Company for transfer or cancellation.</w:t>
      </w:r>
    </w:p>
    <w:p>
      <w:pPr>
        <w:spacing w:after="0" w:line="173" w:lineRule="exact"/>
        <w:rPr>
          <w:rFonts w:ascii="Arial" w:cs="Arial" w:eastAsia="Arial" w:hAnsi="Arial"/>
          <w:sz w:val="17"/>
          <w:szCs w:val="17"/>
          <w:b w:val="1"/>
          <w:bCs w:val="1"/>
          <w:color w:val="auto"/>
        </w:rPr>
      </w:pPr>
    </w:p>
    <w:p>
      <w:pPr>
        <w:jc w:val="both"/>
        <w:ind w:firstLine="654"/>
        <w:spacing w:after="0" w:line="289" w:lineRule="auto"/>
        <w:tabs>
          <w:tab w:leader="none" w:pos="1085"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w:t>
      </w:r>
      <w:r>
        <w:rPr>
          <w:rFonts w:ascii="Arial" w:cs="Arial" w:eastAsia="Arial" w:hAnsi="Arial"/>
          <w:sz w:val="16"/>
          <w:szCs w:val="16"/>
          <w:b w:val="1"/>
          <w:bCs w:val="1"/>
          <w:color w:val="auto"/>
        </w:rPr>
        <w:t xml:space="preserve">. </w:t>
      </w:r>
      <w:r>
        <w:rPr>
          <w:rFonts w:ascii="Arial" w:cs="Arial" w:eastAsia="Arial" w:hAnsi="Arial"/>
          <w:sz w:val="16"/>
          <w:szCs w:val="16"/>
          <w:color w:val="auto"/>
        </w:rPr>
        <w:t>As security for the Purchaser’s faithful performance of this Exercise Agreement, the Purchaser agrees, immediately upon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 certificate(s) evidencing the Shares, to deliver such certificate(s), together with the Stock Powers executed by the Purchaser and by the Purchaser’s spouse, if any (with the date and number of Shares left blank),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and Stock Powers in escrow and to take all such actions and to effectuate all such transfers and/or releases of such Shares as are in accordance with the terms of this Exercise Agreement. The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Shares will be released from escrow upon termination of both the Right of Repurchase Option and Right of First Refusal.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725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4" w:name="page495"/>
    <w:bookmarkEnd w:id="494"/>
    <w:p>
      <w:pPr>
        <w:ind w:left="1100" w:hanging="446"/>
        <w:spacing w:after="0"/>
        <w:tabs>
          <w:tab w:leader="none" w:pos="110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224"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Purchaser understands and agrees that the Company will place the legends set forth below or similar legends on 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certificate(s) evidencing the Shares, together with any other legends that may be required by state or U.S. Federal securities laws, the Company’s Certificate of Incorporation or Bylaws, any other agreement between the Purchaser and the Company or any agreement between the Purchaser and any third party:</w:t>
      </w:r>
    </w:p>
    <w:p>
      <w:pPr>
        <w:spacing w:after="0" w:line="184" w:lineRule="exact"/>
        <w:rPr>
          <w:sz w:val="20"/>
          <w:szCs w:val="20"/>
          <w:color w:val="auto"/>
        </w:rPr>
      </w:pPr>
    </w:p>
    <w:p>
      <w:pPr>
        <w:jc w:val="both"/>
        <w:ind w:left="1300" w:right="640"/>
        <w:spacing w:after="0" w:line="269" w:lineRule="auto"/>
        <w:rPr>
          <w:sz w:val="20"/>
          <w:szCs w:val="20"/>
          <w:color w:val="auto"/>
        </w:rPr>
      </w:pPr>
      <w:r>
        <w:rPr>
          <w:rFonts w:ascii="Arial" w:cs="Arial" w:eastAsia="Arial" w:hAnsi="Arial"/>
          <w:sz w:val="17"/>
          <w:szCs w:val="17"/>
          <w:b w:val="1"/>
          <w:bCs w:val="1"/>
          <w:i w:val="1"/>
          <w:iCs w:val="1"/>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81" w:lineRule="exact"/>
        <w:rPr>
          <w:sz w:val="20"/>
          <w:szCs w:val="20"/>
          <w:color w:val="auto"/>
        </w:rPr>
      </w:pPr>
    </w:p>
    <w:p>
      <w:pPr>
        <w:jc w:val="both"/>
        <w:ind w:left="1300" w:right="640"/>
        <w:spacing w:after="0" w:line="272" w:lineRule="auto"/>
        <w:rPr>
          <w:sz w:val="20"/>
          <w:szCs w:val="20"/>
          <w:color w:val="auto"/>
        </w:rPr>
      </w:pPr>
      <w:r>
        <w:rPr>
          <w:rFonts w:ascii="Arial" w:cs="Arial" w:eastAsia="Arial" w:hAnsi="Arial"/>
          <w:sz w:val="17"/>
          <w:szCs w:val="17"/>
          <w:b w:val="1"/>
          <w:bCs w:val="1"/>
          <w:i w:val="1"/>
          <w:iCs w:val="1"/>
          <w:color w:val="auto"/>
        </w:rPr>
        <w:t>THE SHARES REPRESENTED BY THIS CERTIFICATE ARE SUBJECT TO CERTAIN RESTRICTIONS ON PUBLIC RESALE AND TRANSFER, INCLUDING THE REPURCHASE AND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178" w:lineRule="exact"/>
        <w:rPr>
          <w:sz w:val="20"/>
          <w:szCs w:val="20"/>
          <w:color w:val="auto"/>
        </w:rPr>
      </w:pPr>
    </w:p>
    <w:p>
      <w:pPr>
        <w:jc w:val="both"/>
        <w:ind w:left="1300" w:right="660"/>
        <w:spacing w:after="0" w:line="254" w:lineRule="auto"/>
        <w:rPr>
          <w:sz w:val="20"/>
          <w:szCs w:val="20"/>
          <w:color w:val="auto"/>
        </w:rPr>
      </w:pPr>
      <w:r>
        <w:rPr>
          <w:rFonts w:ascii="Arial" w:cs="Arial" w:eastAsia="Arial" w:hAnsi="Arial"/>
          <w:sz w:val="18"/>
          <w:szCs w:val="18"/>
          <w:b w:val="1"/>
          <w:bCs w:val="1"/>
          <w:i w:val="1"/>
          <w:iCs w:val="1"/>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725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5" w:name="page496"/>
    <w:bookmarkEnd w:id="495"/>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The Purchaser agrees that, to ensure compliance with the restrictions imposed by this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may issue appropriate “stop-transfer” instructions to its transfer agent, if any, and if the Company transfers its own securities, it may make appropriate notations to the same effect in its own records.</w:t>
      </w:r>
    </w:p>
    <w:p>
      <w:pPr>
        <w:spacing w:after="0" w:line="176" w:lineRule="exact"/>
        <w:rPr>
          <w:sz w:val="20"/>
          <w:szCs w:val="20"/>
          <w:color w:val="auto"/>
        </w:rPr>
      </w:pPr>
    </w:p>
    <w:p>
      <w:pPr>
        <w:jc w:val="both"/>
        <w:ind w:firstLine="1292"/>
        <w:spacing w:after="0" w:line="265"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will not be required (i) to transfer on its books any Shares that have been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176" w:lineRule="exact"/>
        <w:rPr>
          <w:sz w:val="20"/>
          <w:szCs w:val="20"/>
          <w:color w:val="auto"/>
        </w:rPr>
      </w:pPr>
    </w:p>
    <w:p>
      <w:pPr>
        <w:jc w:val="both"/>
        <w:ind w:firstLine="654"/>
        <w:spacing w:after="0" w:line="288" w:lineRule="auto"/>
        <w:tabs>
          <w:tab w:leader="none" w:pos="1135" w:val="left"/>
        </w:tabs>
        <w:numPr>
          <w:ilvl w:val="0"/>
          <w:numId w:val="4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PURCHASER UNDERSTANDS THAT THE PURCHASER MAY SUFFER ADVERSE TAX CONSEQUENCES AS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RESULT OF THE PURCHASER’S PURCHASE OR DISPOSITION OF THE SHARES. THE PURCHASER REPRESENTS: (i) THAT THE PURCHASER HAS CONSULTED WITH ANY TAX ADVISER THAT THE PURCHASER DEEMS ADVISABLE IN CONNECTION WITH THE PURCHASE OR DISPOSITION OF THE SHARES AND (ii) THAT THE PURCHASER IS NOT RELYING ON THE COMPANY FOR ANY TAX ADVICE</w:t>
      </w:r>
      <w:r>
        <w:rPr>
          <w:rFonts w:ascii="Arial" w:cs="Arial" w:eastAsia="Arial" w:hAnsi="Arial"/>
          <w:sz w:val="16"/>
          <w:szCs w:val="16"/>
          <w:color w:val="auto"/>
        </w:rPr>
        <w:t>.</w:t>
      </w:r>
      <w:r>
        <w:rPr>
          <w:rFonts w:ascii="Arial" w:cs="Arial" w:eastAsia="Arial" w:hAnsi="Arial"/>
          <w:sz w:val="16"/>
          <w:szCs w:val="16"/>
          <w:i w:val="1"/>
          <w:iCs w:val="1"/>
          <w:color w:val="auto"/>
        </w:rPr>
        <w:t xml:space="preserve"> IN PARTICULAR, IF UNVESTED SHARES ARE SUBJECT TO REPURCHASE BY THE COMPANY, PURCHASER REPRESENTS THAT PURCHASER HAS CONSULTED WITH PURCHASER'S OWN TAX ADVISER CONCERNING THE ADVISABILITY OF FILING AN 83(b) ELECTION WITH THE INTERNAL REVENUE SERVICE WHICH MUST BE FILED WITHIN THIRTY (30) DAYS OF THE PURCHASE OF THE SHARES TO BE EFFECTIVE. </w:t>
      </w:r>
      <w:r>
        <w:rPr>
          <w:rFonts w:ascii="Arial" w:cs="Arial" w:eastAsia="Arial" w:hAnsi="Arial"/>
          <w:sz w:val="16"/>
          <w:szCs w:val="16"/>
          <w:color w:val="auto"/>
        </w:rPr>
        <w:t>Set forth below is a brief summary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date the Plan was adopted by the Board of some of the U.S. Federal and applicable state tax consequences of exercise of the Option and disposition of the Shares. </w:t>
      </w:r>
      <w:r>
        <w:rPr>
          <w:rFonts w:ascii="Arial" w:cs="Arial" w:eastAsia="Arial" w:hAnsi="Arial"/>
          <w:sz w:val="16"/>
          <w:szCs w:val="16"/>
          <w:i w:val="1"/>
          <w:iCs w:val="1"/>
          <w:color w:val="auto"/>
        </w:rPr>
        <w:t>THIS SUMMARY IS NECESSARILY INCOMPLETE, AND THE TAX LAWS AND REGULATIONS ARE SUBJECT TO CHANGE. THE</w:t>
      </w:r>
      <w:r>
        <w:rPr>
          <w:rFonts w:ascii="Arial" w:cs="Arial" w:eastAsia="Arial" w:hAnsi="Arial"/>
          <w:sz w:val="16"/>
          <w:szCs w:val="16"/>
          <w:color w:val="auto"/>
        </w:rPr>
        <w:t xml:space="preserve"> </w:t>
      </w:r>
      <w:r>
        <w:rPr>
          <w:rFonts w:ascii="Arial" w:cs="Arial" w:eastAsia="Arial" w:hAnsi="Arial"/>
          <w:sz w:val="16"/>
          <w:szCs w:val="16"/>
          <w:i w:val="1"/>
          <w:iCs w:val="1"/>
          <w:color w:val="auto"/>
        </w:rPr>
        <w:t>PURCHASER SHOULD CONSULT HIS OR HER OWN TAX ADVISER BEFORE EXERCISING THIS OPTION OR DISPOSING OF THE SHARES</w:t>
      </w:r>
      <w:r>
        <w:rPr>
          <w:rFonts w:ascii="Arial" w:cs="Arial" w:eastAsia="Arial" w:hAnsi="Arial"/>
          <w:sz w:val="16"/>
          <w:szCs w:val="16"/>
          <w:color w:val="auto"/>
        </w:rPr>
        <w:t>.</w:t>
      </w:r>
    </w:p>
    <w:p>
      <w:pPr>
        <w:spacing w:after="0" w:line="161" w:lineRule="exact"/>
        <w:rPr>
          <w:sz w:val="20"/>
          <w:szCs w:val="20"/>
          <w:color w:val="auto"/>
        </w:rPr>
      </w:pPr>
    </w:p>
    <w:p>
      <w:pPr>
        <w:jc w:val="both"/>
        <w:ind w:firstLine="1292"/>
        <w:spacing w:after="0" w:line="260"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Exercise of Incentive Stock Option</w:t>
      </w:r>
      <w:r>
        <w:rPr>
          <w:rFonts w:ascii="Arial" w:cs="Arial" w:eastAsia="Arial" w:hAnsi="Arial"/>
          <w:sz w:val="18"/>
          <w:szCs w:val="18"/>
          <w:color w:val="auto"/>
        </w:rPr>
        <w:t>. If the Option qualifies as an ISO, there will be no regular U.S. Federal income tax liability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income tax liability upon the exercise of the Option, although the excess, if any, of the Fair Market Value of the Shares on the date of exercise over the Exercise Price will be treated as a tax preference item for U.S. Federal alternative minimum tax purposes and may subject the Purchaser to the alternative minimum tax in the year of exercise.</w:t>
      </w:r>
    </w:p>
    <w:p>
      <w:pPr>
        <w:spacing w:after="0" w:line="180" w:lineRule="exact"/>
        <w:rPr>
          <w:sz w:val="20"/>
          <w:szCs w:val="20"/>
          <w:color w:val="auto"/>
        </w:rPr>
      </w:pPr>
    </w:p>
    <w:p>
      <w:pPr>
        <w:jc w:val="both"/>
        <w:ind w:firstLine="1292"/>
        <w:spacing w:after="0" w:line="297"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Exercise of Nonqualified Stock Option</w:t>
      </w:r>
      <w:r>
        <w:rPr>
          <w:rFonts w:ascii="Arial" w:cs="Arial" w:eastAsia="Arial" w:hAnsi="Arial"/>
          <w:sz w:val="16"/>
          <w:szCs w:val="16"/>
          <w:color w:val="auto"/>
        </w:rPr>
        <w:t>. If the Option does not qualify as an ISO, there may be a regular U.S.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an applicable state income tax liability upon the exercise of the Option. The Purchaser will be treated as having received compensation income (taxable at ordinary income tax rates) equal to the excess, if any, of the Fair Market Value of the Shares on the date of exercise over the Exercise Price. If the Purchaser is or was an employee of the Company, the Company may be required to withhold from the Purchaser’s compensation or collect from the Purchaser and pay to the applicable taxing authorities an amount equal to a percentage of this compensation income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7255"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96" w:name="page497"/>
    <w:bookmarkEnd w:id="496"/>
    <w:p>
      <w:pPr>
        <w:ind w:left="1300"/>
        <w:spacing w:after="0"/>
        <w:tabs>
          <w:tab w:leader="none" w:pos="18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Disposition of Shares</w:t>
      </w:r>
      <w:r>
        <w:rPr>
          <w:rFonts w:ascii="Arial" w:cs="Arial" w:eastAsia="Arial" w:hAnsi="Arial"/>
          <w:sz w:val="16"/>
          <w:szCs w:val="16"/>
          <w:color w:val="auto"/>
        </w:rPr>
        <w:t>. The following tax consequences may apply upon disposition of the Shares.</w:t>
      </w:r>
    </w:p>
    <w:p>
      <w:pPr>
        <w:spacing w:after="0" w:line="228" w:lineRule="exact"/>
        <w:rPr>
          <w:sz w:val="20"/>
          <w:szCs w:val="20"/>
          <w:color w:val="auto"/>
        </w:rPr>
      </w:pPr>
    </w:p>
    <w:p>
      <w:pPr>
        <w:jc w:val="both"/>
        <w:ind w:firstLine="1946"/>
        <w:spacing w:after="0" w:line="254" w:lineRule="auto"/>
        <w:tabs>
          <w:tab w:leader="none" w:pos="2428"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If the Shares are held for more than twelve (12) months after the date of purchase of the Shares pursuant to the exercise of an ISO and are disposed of more than two (2) years after the Date of Grant as set forth in the Grant Notice, any gain realized on disposition of the Shares will be treated as long term capital gain for U.S. federal and applicable state income tax purposes. If Vested Shares purchased under an ISO are disposed of within either of the applicable one (1) or two (2) year holding periods,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192" w:lineRule="exact"/>
        <w:rPr>
          <w:rFonts w:ascii="Arial" w:cs="Arial" w:eastAsia="Arial" w:hAnsi="Arial"/>
          <w:sz w:val="18"/>
          <w:szCs w:val="18"/>
          <w:color w:val="auto"/>
        </w:rPr>
      </w:pPr>
    </w:p>
    <w:p>
      <w:pPr>
        <w:ind w:firstLine="1946"/>
        <w:spacing w:after="0" w:line="276" w:lineRule="auto"/>
        <w:tabs>
          <w:tab w:leader="none" w:pos="2385"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long-term capital gain.</w:t>
      </w:r>
    </w:p>
    <w:p>
      <w:pPr>
        <w:spacing w:after="0" w:line="169" w:lineRule="exact"/>
        <w:rPr>
          <w:rFonts w:ascii="Arial" w:cs="Arial" w:eastAsia="Arial" w:hAnsi="Arial"/>
          <w:sz w:val="18"/>
          <w:szCs w:val="18"/>
          <w:color w:val="auto"/>
        </w:rPr>
      </w:pPr>
    </w:p>
    <w:p>
      <w:pPr>
        <w:ind w:firstLine="1946"/>
        <w:spacing w:after="0" w:line="276" w:lineRule="auto"/>
        <w:tabs>
          <w:tab w:leader="none" w:pos="2415"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be required to withhold from the Purchaser’s compensation or collect from the Purchaser and pay to the applicable taxing authorities an amount equal to a percentage of this compensation income.</w:t>
      </w:r>
    </w:p>
    <w:p>
      <w:pPr>
        <w:spacing w:after="0" w:line="166" w:lineRule="exact"/>
        <w:rPr>
          <w:sz w:val="20"/>
          <w:szCs w:val="20"/>
          <w:color w:val="auto"/>
        </w:rPr>
      </w:pPr>
    </w:p>
    <w:p>
      <w:pPr>
        <w:jc w:val="both"/>
        <w:ind w:firstLine="1292"/>
        <w:spacing w:after="0" w:line="273"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Section 83(b) Election for Unvested Shares</w:t>
      </w:r>
      <w:r>
        <w:rPr>
          <w:rFonts w:ascii="Arial" w:cs="Arial" w:eastAsia="Arial" w:hAnsi="Arial"/>
          <w:sz w:val="17"/>
          <w:szCs w:val="17"/>
          <w:color w:val="auto"/>
        </w:rPr>
        <w:t>. With respect to Unvested Shares, which are subject to the Repurchase Option,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election is filed by the Purchaser with the Internal Revenue Service (and, if necessary, the proper state taxing authorities), </w:t>
      </w:r>
      <w:r>
        <w:rPr>
          <w:rFonts w:ascii="Arial" w:cs="Arial" w:eastAsia="Arial" w:hAnsi="Arial"/>
          <w:sz w:val="17"/>
          <w:szCs w:val="17"/>
          <w:b w:val="1"/>
          <w:bCs w:val="1"/>
          <w:u w:val="single" w:color="auto"/>
          <w:color w:val="auto"/>
        </w:rPr>
        <w:t>within 30 days of the purchase</w:t>
      </w:r>
      <w:r>
        <w:rPr>
          <w:rFonts w:ascii="Arial" w:cs="Arial" w:eastAsia="Arial" w:hAnsi="Arial"/>
          <w:sz w:val="17"/>
          <w:szCs w:val="17"/>
          <w:color w:val="auto"/>
        </w:rPr>
        <w:t xml:space="preserv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Purchaser, measured by the excess, if any, of the Fair Market Value of the Unvested Shares at the time they cease to be Unvested Shares, over the Exercise Price of the Unvested Shares.</w:t>
      </w:r>
    </w:p>
    <w:p>
      <w:pPr>
        <w:spacing w:after="0" w:line="173" w:lineRule="exact"/>
        <w:rPr>
          <w:sz w:val="20"/>
          <w:szCs w:val="20"/>
          <w:color w:val="auto"/>
        </w:rPr>
      </w:pPr>
    </w:p>
    <w:p>
      <w:pPr>
        <w:jc w:val="both"/>
        <w:ind w:firstLine="654"/>
        <w:spacing w:after="0" w:line="313" w:lineRule="auto"/>
        <w:tabs>
          <w:tab w:leader="none" w:pos="1175" w:val="left"/>
        </w:tabs>
        <w:numPr>
          <w:ilvl w:val="0"/>
          <w:numId w:val="4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and transfer of the Shares will be subject to and conditioned upon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by the Company and the Purchaser with all applicable state and U.S. Federal laws and regulations and with all applicable requirements of any stock exchange or automated quotation system on which the Company’s Common Stock may be listed or quoted at the time of such issuance or transfer.</w:t>
      </w:r>
    </w:p>
    <w:p>
      <w:pPr>
        <w:spacing w:after="0" w:line="141" w:lineRule="exact"/>
        <w:rPr>
          <w:rFonts w:ascii="Arial" w:cs="Arial" w:eastAsia="Arial" w:hAnsi="Arial"/>
          <w:sz w:val="16"/>
          <w:szCs w:val="16"/>
          <w:b w:val="1"/>
          <w:bCs w:val="1"/>
          <w:color w:val="auto"/>
        </w:rPr>
      </w:pPr>
    </w:p>
    <w:p>
      <w:pPr>
        <w:jc w:val="both"/>
        <w:ind w:firstLine="654"/>
        <w:spacing w:after="0" w:line="260" w:lineRule="auto"/>
        <w:tabs>
          <w:tab w:leader="none" w:pos="1148"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may assign any of its rights under this Exercise Agreement, including its right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under the Repurchase Option and its Right of First Refusal. This Exercise Agreement shall be binding upon and inure to the benefit of the successors and assigns of the Company. Subject to the restrictions on transfer herein set forth, this Exercise Agreement will be binding upon the Purchaser and the Purchaser’s heirs, executors, administrators, legal representatives, successors and assigns.</w:t>
      </w:r>
    </w:p>
    <w:p>
      <w:pPr>
        <w:spacing w:after="0" w:line="179" w:lineRule="exact"/>
        <w:rPr>
          <w:rFonts w:ascii="Arial" w:cs="Arial" w:eastAsia="Arial" w:hAnsi="Arial"/>
          <w:sz w:val="18"/>
          <w:szCs w:val="18"/>
          <w:b w:val="1"/>
          <w:bCs w:val="1"/>
          <w:color w:val="auto"/>
        </w:rPr>
      </w:pPr>
    </w:p>
    <w:p>
      <w:pPr>
        <w:jc w:val="both"/>
        <w:ind w:firstLine="654"/>
        <w:spacing w:after="0" w:line="260" w:lineRule="auto"/>
        <w:tabs>
          <w:tab w:leader="none" w:pos="1121"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shall be governed by and construed in accordance with the internal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 as such laws are applied to agreements between California residents entered into and to be performed entirely within California. If any provision of this Exercise Agreement is determined by a court of law to be illegal or unenforceable, then such provision will be enforced to the maximum extent possible and the other provisions will remain fully effective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725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7" w:name="page498"/>
    <w:bookmarkEnd w:id="497"/>
    <w:p>
      <w:pPr>
        <w:jc w:val="both"/>
        <w:ind w:left="-654" w:firstLine="654"/>
        <w:spacing w:after="0" w:line="276" w:lineRule="auto"/>
        <w:tabs>
          <w:tab w:leader="none" w:pos="468"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to be given or delivered to the Company shall be in writing and addressed to the Corporate Secretary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at its principal corporate offices. Any notice required to be given or delivered to the Purchaser shall be in writing and addressed to the Purchaser at the address indicated in the Exercise Notice or to such other address as the Purchaser may designate in writing from time to time to the Company. All notices shall be deemed to have been given or delivered upon: (i) personal delivery; (ii) three (3) days after deposit in the United States mail by certified or registered mail (return receipt requested); or (iii) one (1) business day after deposit with any return receipt express courier (prepaid).</w:t>
      </w:r>
    </w:p>
    <w:p>
      <w:pPr>
        <w:spacing w:after="0" w:line="168" w:lineRule="exact"/>
        <w:rPr>
          <w:rFonts w:ascii="Arial" w:cs="Arial" w:eastAsia="Arial" w:hAnsi="Arial"/>
          <w:sz w:val="17"/>
          <w:szCs w:val="17"/>
          <w:b w:val="1"/>
          <w:bCs w:val="1"/>
          <w:color w:val="auto"/>
        </w:rPr>
      </w:pPr>
    </w:p>
    <w:p>
      <w:pPr>
        <w:ind w:left="-654" w:firstLine="654"/>
        <w:spacing w:after="0" w:line="280" w:lineRule="auto"/>
        <w:tabs>
          <w:tab w:leader="none" w:pos="508"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instruments and to take such further action as may be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and intent of the Exercise Notice and/or this Exercise Agreement.</w:t>
      </w:r>
    </w:p>
    <w:p>
      <w:pPr>
        <w:spacing w:after="0" w:line="163" w:lineRule="exact"/>
        <w:rPr>
          <w:rFonts w:ascii="Arial" w:cs="Arial" w:eastAsia="Arial" w:hAnsi="Arial"/>
          <w:sz w:val="18"/>
          <w:szCs w:val="18"/>
          <w:b w:val="1"/>
          <w:bCs w:val="1"/>
          <w:color w:val="auto"/>
        </w:rPr>
      </w:pPr>
    </w:p>
    <w:p>
      <w:pPr>
        <w:ind w:left="-654" w:firstLine="654"/>
        <w:spacing w:after="0" w:line="311" w:lineRule="auto"/>
        <w:tabs>
          <w:tab w:leader="none" w:pos="562" w:val="left"/>
        </w:tabs>
        <w:numPr>
          <w:ilvl w:val="0"/>
          <w:numId w:val="4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captions and headings of this Exercise Agreement are included for ease of reference only and will be disregarded in</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interpreting or construing this Exercise Agreement. All references herein to Sections will refer to Sections of this Exercise Agreement.</w:t>
      </w:r>
    </w:p>
    <w:p>
      <w:pPr>
        <w:spacing w:after="0" w:line="139" w:lineRule="exact"/>
        <w:rPr>
          <w:rFonts w:ascii="Arial" w:cs="Arial" w:eastAsia="Arial" w:hAnsi="Arial"/>
          <w:sz w:val="17"/>
          <w:szCs w:val="17"/>
          <w:b w:val="1"/>
          <w:bCs w:val="1"/>
          <w:color w:val="auto"/>
        </w:rPr>
      </w:pPr>
    </w:p>
    <w:p>
      <w:pPr>
        <w:jc w:val="both"/>
        <w:ind w:left="-654" w:firstLine="654"/>
        <w:spacing w:after="0" w:line="260" w:lineRule="auto"/>
        <w:tabs>
          <w:tab w:leader="none" w:pos="575"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the Stock Option Agreement, the Exercise Notice and this Exercise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all Exhibits thereto, constitute the entire agreement and understanding of the parties with respect to the subject matter of the Exercise Notice and this Exercise Agreement, and supersede all prior understandings and agreements, whether oral or written, between the parties hereto with respect to the specific subject matter hereof.</w:t>
      </w:r>
    </w:p>
    <w:p>
      <w:pPr>
        <w:sectPr>
          <w:pgSz w:w="11900" w:h="16838" w:orient="portrait"/>
          <w:cols w:equalWidth="0" w:num="1">
            <w:col w:w="10766"/>
          </w:cols>
          <w:pgMar w:left="894" w:top="579" w:right="239" w:bottom="1440" w:gutter="0" w:footer="0" w:header="0"/>
        </w:sectPr>
      </w:pPr>
    </w:p>
    <w:bookmarkStart w:id="498" w:name="page499"/>
    <w:bookmarkEnd w:id="498"/>
    <w:p>
      <w:pPr>
        <w:jc w:val="right"/>
        <w:spacing w:after="0"/>
        <w:rPr>
          <w:sz w:val="20"/>
          <w:szCs w:val="20"/>
          <w:color w:val="auto"/>
        </w:rPr>
      </w:pPr>
      <w:r>
        <w:rPr>
          <w:rFonts w:ascii="Arial" w:cs="Arial" w:eastAsia="Arial" w:hAnsi="Arial"/>
          <w:sz w:val="18"/>
          <w:szCs w:val="18"/>
          <w:b w:val="1"/>
          <w:bCs w:val="1"/>
          <w:color w:val="auto"/>
        </w:rPr>
        <w:t>Exhibit 10.25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May 25,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Wouter Latour,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3826 Magnolia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Wouter:</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Vaxart (the “Company”) is pleased to offer you the position of </w:t>
      </w:r>
      <w:r>
        <w:rPr>
          <w:rFonts w:ascii="Arial" w:cs="Arial" w:eastAsia="Arial" w:hAnsi="Arial"/>
          <w:sz w:val="18"/>
          <w:szCs w:val="18"/>
          <w:b w:val="1"/>
          <w:bCs w:val="1"/>
          <w:color w:val="auto"/>
        </w:rPr>
        <w:t>Chief Operating Officer</w:t>
      </w:r>
      <w:r>
        <w:rPr>
          <w:rFonts w:ascii="Arial" w:cs="Arial" w:eastAsia="Arial" w:hAnsi="Arial"/>
          <w:sz w:val="18"/>
          <w:szCs w:val="18"/>
          <w:color w:val="auto"/>
        </w:rPr>
        <w:t xml:space="preserve"> to begin on June 15, 2011. This is a sixty-percent-time position, reporting to the CEO. Any employment or other engagement with any entity other than the Company must have prior approval from the Company’s Board of Directors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Salary and Benefits</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will be paid an annual salary of $180,000. Your salary will be payable in either one payment per month or in two equal payments per month pursuant to the Company’s regular payroll policy. You will be eligible for an annual bonus with a target of 30% of your base salary; the actual amount awarded will be dependent on achievement of company goals and your personal goals, as assessed by the Board in their sole discretion. You will be paid a signing bonus of $25,000 with your first payroll; if you resign other than in association with a Change of Control within your first year of employment, you agree to repay the Company the amount of your signing bonus. If you are terminated except for either i) cause or ii) within the six months following Change of Control, you will be eligible for severance pay at your then-current base salary for six months. Your base salary will be reviewed at least annually as part of the Company’s normal performance and salary review process.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will provide you with the opportunity to participate in standard benefit plans, if any, available to other similarly situated employees, subject to any eligibility requirements imposed by such plans.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 will be entitled to Standard Company Holidays and paid vacation of 9 days per year. Vacation may be accrued up to a maximum of 18 days. Sick leave is accrued according to the city of San Francisco policy of 1 sick leave hour for every 30 hours worked (up to a maximum of 40 hours). Vacation may not be taken before it is accrued, without senior management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725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b w:val="1"/>
          <w:bCs w:val="1"/>
          <w:u w:val="single" w:color="auto"/>
          <w:color w:val="auto"/>
        </w:rPr>
        <w:t>Grant of Stock Options</w:t>
      </w:r>
    </w:p>
    <w:p>
      <w:pPr>
        <w:spacing w:after="0" w:line="22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It will be recommended to the Board that you be granted an incentive stock option to purchase 324,600 shares of the Company’s common stock in accordance with the Company’s 2007 Equity Incentive Program. The recommendation will set the per share exercise price of the option, at the fair market value of the stock on the date of grant. The option will vest over time as you provide services to the Company. The recommended vesting schedule shall be over a four-year period with 25% of the option shares vesting upon the first anniversary of your employment with the Company, and thereafter at the rate of 1/48 per month over the next three years, subject to your continuous employment with the Company. If you are terminated except for cause in the first year of your employment, 1/48 of the option shares per month of employment will vest immediately. The option and any associated restrictions will be evidenced by the Company’s standard stock option agreement. The above options will vest fully on a Change of Control of the Company.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 change in ownership or control of the Company effected through any of the following transactions: (i) a merger, consolidation or other reorganization approved by the Company’s stockholders, unless securities representing more than fifty percent (50%) of the total combined voting power of the voting securities of the successor company are immediately thereafter beneficially owned, directly or indirectly and in substantially the same proportion, by the persons who beneficially owned the Company’s outstanding voting securities immediately prior to such transaction; (ii) a stockholder-approved sale, transfer or other disposition of all or substantially all of the Company’s assets in liquidation or dissolution of the Company; or (iii) the acquisition, directly or indirectly by any person or related group of persons (other than the Company or a person that directly or indirectly controls, is controlled by, or is under common control with, the Company), of beneficial ownership (within the meaning of Rule 13d-3 of the Securities Exchange Act of 1934, as amended) of securities possessing more than fifty percent (50%) of the total combined voting power of the Company’s outstanding securities pursuant to a tender or exchange offer made directly to the Company’s stockholders; provided, that, in no event shall any private sale in a capital raising transaction or public offering of the Company’s securities be deemed to constitute a Change of Control.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At-Will Employment</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Your employment with the Company is “at-will.” That means that it is not for any specified period of time and can be terminated either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with or without notice at any time in the sole discretion of the Company. The “at-will” nature of your employment is one aspect of our employment relationship that will not change during your tenure as an employee, except by way of written agreement expressly altering the at-will employment relationship and signed by you and the Company’s CEO.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This offer, and any employment pursuant to this offer, is conditioned upon the following:</w:t>
      </w:r>
    </w:p>
    <w:p>
      <w:pPr>
        <w:spacing w:after="0" w:line="224" w:lineRule="exact"/>
        <w:rPr>
          <w:sz w:val="20"/>
          <w:szCs w:val="20"/>
          <w:color w:val="auto"/>
        </w:rPr>
      </w:pPr>
    </w:p>
    <w:p>
      <w:pPr>
        <w:jc w:val="both"/>
        <w:ind w:firstLine="654"/>
        <w:spacing w:after="0" w:line="262" w:lineRule="auto"/>
        <w:tabs>
          <w:tab w:leader="none" w:pos="947"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xml:space="preserve">Your ability to provide satisfactory documentary proof of your identity and eligibility to work in the United States on or before your third day of employment. Enclosed is the </w:t>
      </w:r>
      <w:r>
        <w:rPr>
          <w:rFonts w:ascii="Arial" w:cs="Arial" w:eastAsia="Arial" w:hAnsi="Arial"/>
          <w:sz w:val="18"/>
          <w:szCs w:val="18"/>
          <w:i w:val="1"/>
          <w:iCs w:val="1"/>
          <w:color w:val="auto"/>
        </w:rPr>
        <w:t>INS Form 1-9, Employment Eligibility Verification</w:t>
      </w:r>
      <w:r>
        <w:rPr>
          <w:rFonts w:ascii="Arial" w:cs="Arial" w:eastAsia="Arial" w:hAnsi="Arial"/>
          <w:sz w:val="18"/>
          <w:szCs w:val="18"/>
          <w:color w:val="auto"/>
        </w:rPr>
        <w:t>, the second page of which includes a description of acceptable documentary proof.</w:t>
      </w:r>
    </w:p>
    <w:p>
      <w:pPr>
        <w:spacing w:after="0" w:line="183" w:lineRule="exact"/>
        <w:rPr>
          <w:rFonts w:ascii="Arial" w:cs="Arial" w:eastAsia="Arial" w:hAnsi="Arial"/>
          <w:sz w:val="18"/>
          <w:szCs w:val="18"/>
          <w:color w:val="auto"/>
        </w:rPr>
      </w:pPr>
    </w:p>
    <w:p>
      <w:pPr>
        <w:ind w:firstLine="654"/>
        <w:spacing w:after="0" w:line="276" w:lineRule="auto"/>
        <w:tabs>
          <w:tab w:leader="none" w:pos="92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Your signed agreement to, and ongoing compliance with, the terms of the enclosed Employment, Confidential Information, Invention Assignment and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00" w:name="page501"/>
    <w:bookmarkEnd w:id="500"/>
    <w:p>
      <w:pPr>
        <w:ind w:left="940" w:hanging="286"/>
        <w:spacing w:after="0"/>
        <w:tabs>
          <w:tab w:leader="none" w:pos="9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Your consent to, and our receipt of results satisfactory to the Company of, reference and background checks.</w:t>
      </w:r>
    </w:p>
    <w:p>
      <w:pPr>
        <w:spacing w:after="0" w:line="223" w:lineRule="exact"/>
        <w:rPr>
          <w:rFonts w:ascii="Arial" w:cs="Arial" w:eastAsia="Arial" w:hAnsi="Arial"/>
          <w:sz w:val="18"/>
          <w:szCs w:val="18"/>
          <w:color w:val="auto"/>
        </w:rPr>
      </w:pPr>
    </w:p>
    <w:p>
      <w:pPr>
        <w:jc w:val="both"/>
        <w:ind w:firstLine="654"/>
        <w:spacing w:after="0" w:line="254" w:lineRule="auto"/>
        <w:tabs>
          <w:tab w:leader="none" w:pos="94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Your execution and return of the enclosed copy of this letter to me no later than 27 May, 2011, after which time this offer will expire. By signing and accepting this offer, you represent and warrant that: (a) you are not subject to any pre-existing contractual or other legal obligation with any person, company or business enterprise which may be an impediment to your employment with, or your providing services to, the Company as its employee, except for any such obligations that have been approved by the Board; and (b) you have no and shall not bring onto Company premises, or use in the course of your employment with the Company, any confidential or proprietary information of another person, company or business enterprise to whom you previously provided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accept this offer, and the conditions of this offer are satisfied, this offer and the written agreements referenced in this letter shall constitute the complete agreement between you and the Company with respect to the terms and conditions of your employment. This letter shall supersede any existing employment arrangement or agreement with the Company. Any representations, whether written or oral, not contained in this letter or contrary to those contained in this letter, that may have been made to you are expressly cancelled and superseded by this offer. Except as otherwise specified in this letter, the terms and conditions of your employment pursuant to this letter may not be changed, except by a writing issued by the CEO. California law shall govern this letter. If any provision of this letter is held invalid or unenforceable, such provision shall be severed, and the remaining provisions shall continue to be valid and enforceable.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look forward to you accepting this offer and our having a mutually rewarding relationship. As with all important decisions, you should make a decision concerning this offer based on your own independent investigation and judgment concerning the Company and its future prospects.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you accept this offer, please date and sign below on the enclosed copy of this letter and return it to me. You should bring your INS Form 1-9 required identification and proof of authorization to work with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letter, please fee free to contact me at (415) 437-0132.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Michael J. Finney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offer, and will begin employment on the date set forth above.</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 w:leader="none" w:pos="6060" w:val="left"/>
        </w:tabs>
        <w:rPr>
          <w:sz w:val="20"/>
          <w:szCs w:val="20"/>
          <w:color w:val="auto"/>
        </w:rPr>
      </w:pPr>
      <w:r>
        <w:rPr>
          <w:rFonts w:ascii="Arial" w:cs="Arial" w:eastAsia="Arial" w:hAnsi="Arial"/>
          <w:sz w:val="18"/>
          <w:szCs w:val="18"/>
          <w:color w:val="auto"/>
        </w:rPr>
        <w:t>Dated:</w:t>
        <w:tab/>
        <w:t>27 March  , 2011</w:t>
      </w:r>
      <w:r>
        <w:rPr>
          <w:sz w:val="20"/>
          <w:szCs w:val="20"/>
          <w:color w:val="auto"/>
        </w:rPr>
        <w:tab/>
      </w:r>
      <w:r>
        <w:rPr>
          <w:rFonts w:ascii="Arial" w:cs="Arial" w:eastAsia="Arial" w:hAnsi="Arial"/>
          <w:sz w:val="15"/>
          <w:szCs w:val="15"/>
          <w:i w:val="1"/>
          <w:i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14605</wp:posOffset>
            </wp:positionV>
            <wp:extent cx="252984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7">
                      <a:extLst>
                        <a:ext uri="{28A0092B-C50C-407E-A947-70E740481C1C}"/>
                      </a:extLst>
                    </a:blip>
                    <a:srcRect/>
                    <a:stretch>
                      <a:fillRect/>
                    </a:stretch>
                  </pic:blipFill>
                  <pic:spPr bwMode="auto">
                    <a:xfrm>
                      <a:off x="0" y="0"/>
                      <a:ext cx="252984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-10795</wp:posOffset>
            </wp:positionV>
            <wp:extent cx="6102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8">
                      <a:extLst>
                        <a:ext uri="{28A0092B-C50C-407E-A947-70E740481C1C}"/>
                      </a:extLst>
                    </a:blip>
                    <a:srcRect/>
                    <a:stretch>
                      <a:fillRect/>
                    </a:stretch>
                  </pic:blipFill>
                  <pic:spPr bwMode="auto">
                    <a:xfrm>
                      <a:off x="0" y="0"/>
                      <a:ext cx="610235" cy="8255"/>
                    </a:xfrm>
                    <a:prstGeom prst="rect">
                      <a:avLst/>
                    </a:prstGeom>
                    <a:noFill/>
                  </pic:spPr>
                </pic:pic>
              </a:graphicData>
            </a:graphic>
          </wp:anchor>
        </w:drawing>
      </w:r>
    </w:p>
    <w:p>
      <w:pPr>
        <w:spacing w:after="0" w:line="3"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24725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583" w:right="1440" w:bottom="1440" w:gutter="0" w:footer="0" w:header="0"/>
        </w:sectPr>
      </w:pPr>
    </w:p>
    <w:bookmarkStart w:id="502" w:name="page503"/>
    <w:bookmarkEnd w:id="502"/>
    <w:p>
      <w:pPr>
        <w:jc w:val="center"/>
        <w:spacing w:after="0"/>
        <w:rPr>
          <w:sz w:val="20"/>
          <w:szCs w:val="20"/>
          <w:color w:val="auto"/>
        </w:rPr>
      </w:pPr>
      <w:r>
        <w:rPr>
          <w:rFonts w:ascii="Arial" w:cs="Arial" w:eastAsia="Arial" w:hAnsi="Arial"/>
          <w:sz w:val="18"/>
          <w:szCs w:val="18"/>
          <w:b w:val="1"/>
          <w:bCs w:val="1"/>
          <w:color w:val="auto"/>
        </w:rPr>
        <w:t>VAXART,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OFFER LETTER AND OPTION GRANT AGREEMENT</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Amendment to Offer Letter and Option Grant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effective as of October 1, 2011, by and between Vaxart,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Wouter Latour, MD (the “</w:t>
      </w:r>
      <w:r>
        <w:rPr>
          <w:rFonts w:ascii="Arial" w:cs="Arial" w:eastAsia="Arial" w:hAnsi="Arial"/>
          <w:sz w:val="18"/>
          <w:szCs w:val="18"/>
          <w:u w:val="single" w:color="auto"/>
          <w:color w:val="auto"/>
        </w:rPr>
        <w:t>Officer</w:t>
      </w:r>
      <w:r>
        <w:rPr>
          <w:rFonts w:ascii="Arial" w:cs="Arial" w:eastAsia="Arial" w:hAnsi="Arial"/>
          <w:sz w:val="18"/>
          <w:szCs w:val="18"/>
          <w:color w:val="auto"/>
        </w:rPr>
        <w:t>”), and amends the Officer’s original offer letter with the Company dated as of May 25, 2011 (the “</w:t>
      </w:r>
      <w:r>
        <w:rPr>
          <w:rFonts w:ascii="Arial" w:cs="Arial" w:eastAsia="Arial" w:hAnsi="Arial"/>
          <w:sz w:val="18"/>
          <w:szCs w:val="18"/>
          <w:u w:val="single" w:color="auto"/>
          <w:color w:val="auto"/>
        </w:rPr>
        <w:t>Offer Letter</w:t>
      </w:r>
      <w:r>
        <w:rPr>
          <w:rFonts w:ascii="Arial" w:cs="Arial" w:eastAsia="Arial" w:hAnsi="Arial"/>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w:t>
      </w:r>
    </w:p>
    <w:p>
      <w:pPr>
        <w:spacing w:after="0" w:line="228" w:lineRule="exact"/>
        <w:rPr>
          <w:sz w:val="20"/>
          <w:szCs w:val="20"/>
          <w:color w:val="auto"/>
        </w:rPr>
      </w:pPr>
    </w:p>
    <w:p>
      <w:pPr>
        <w:ind w:left="400" w:hanging="392"/>
        <w:spacing w:after="0"/>
        <w:tabs>
          <w:tab w:leader="none" w:pos="4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Company and the Officer wish to amend the Offer Letter to provide for the Officer’s new role as President and Chief Executive Officer.</w:t>
      </w:r>
    </w:p>
    <w:p>
      <w:pPr>
        <w:spacing w:after="0" w:line="219"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AGREEMENT</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consideration of the mutual promises, covenants and conditions hereinafter set forth, and other consideration, the receipt and adequacy of which are hereby acknowledged, the parties hereto agree as follows:</w:t>
      </w:r>
    </w:p>
    <w:p>
      <w:pPr>
        <w:spacing w:after="0" w:line="170" w:lineRule="exact"/>
        <w:rPr>
          <w:sz w:val="20"/>
          <w:szCs w:val="20"/>
          <w:color w:val="auto"/>
        </w:rPr>
      </w:pPr>
    </w:p>
    <w:p>
      <w:pPr>
        <w:ind w:left="360" w:hanging="352"/>
        <w:spacing w:after="0"/>
        <w:tabs>
          <w:tab w:leader="none" w:pos="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first and second sentence of the introduction paragraph of the Offer Letter entitled is hereby amended to read in its entirety as follows:</w:t>
      </w:r>
    </w:p>
    <w:p>
      <w:pPr>
        <w:spacing w:after="0" w:line="224" w:lineRule="exact"/>
        <w:rPr>
          <w:sz w:val="20"/>
          <w:szCs w:val="20"/>
          <w:color w:val="auto"/>
        </w:rPr>
      </w:pPr>
    </w:p>
    <w:p>
      <w:pPr>
        <w:ind w:firstLine="1292"/>
        <w:spacing w:after="0" w:line="276" w:lineRule="auto"/>
        <w:rPr>
          <w:sz w:val="20"/>
          <w:szCs w:val="20"/>
          <w:color w:val="auto"/>
        </w:rPr>
      </w:pPr>
      <w:r>
        <w:rPr>
          <w:rFonts w:ascii="Arial" w:cs="Arial" w:eastAsia="Arial" w:hAnsi="Arial"/>
          <w:sz w:val="18"/>
          <w:szCs w:val="18"/>
          <w:color w:val="auto"/>
        </w:rPr>
        <w:t>“Vaxart, Inc. (the “Company”) is pleased to offer you the position of President and Chief Executive Officer, effective October 1, 2011. This is a full-time position, reporting to the Company Board of Directors.”</w:t>
      </w:r>
    </w:p>
    <w:p>
      <w:pPr>
        <w:spacing w:after="0" w:line="170" w:lineRule="exact"/>
        <w:rPr>
          <w:sz w:val="20"/>
          <w:szCs w:val="20"/>
          <w:color w:val="auto"/>
        </w:rPr>
      </w:pPr>
    </w:p>
    <w:p>
      <w:pPr>
        <w:ind w:left="1300" w:right="1240" w:hanging="1292"/>
        <w:spacing w:after="0" w:line="499" w:lineRule="auto"/>
        <w:tabs>
          <w:tab w:leader="none" w:pos="40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first sentence of the first paragraph of the section entitled “</w:t>
      </w:r>
      <w:r>
        <w:rPr>
          <w:rFonts w:ascii="Arial" w:cs="Arial" w:eastAsia="Arial" w:hAnsi="Arial"/>
          <w:sz w:val="18"/>
          <w:szCs w:val="18"/>
          <w:u w:val="single" w:color="auto"/>
          <w:color w:val="auto"/>
        </w:rPr>
        <w:t>Salary and Benefits</w:t>
      </w:r>
      <w:r>
        <w:rPr>
          <w:rFonts w:ascii="Arial" w:cs="Arial" w:eastAsia="Arial" w:hAnsi="Arial"/>
          <w:sz w:val="18"/>
          <w:szCs w:val="18"/>
          <w:color w:val="auto"/>
        </w:rPr>
        <w:t>” is hereby amended to read in its entirety as follows: “You will be paid an annual salary of $300,000.”</w:t>
      </w:r>
    </w:p>
    <w:p>
      <w:pPr>
        <w:ind w:left="400" w:hanging="392"/>
        <w:spacing w:after="0"/>
        <w:tabs>
          <w:tab w:leader="none" w:pos="40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first two sentences of the third paragraph of the section entitled “Salary and Benefits” is hereby amended to read in its entirety as follows:</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“You will entitled to Standard Company Holidays and paid vacation of 15 days per year. Vacation may be accrued up to a maximum of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days.”</w:t>
      </w:r>
    </w:p>
    <w:p>
      <w:pPr>
        <w:spacing w:after="0" w:line="209" w:lineRule="exact"/>
        <w:rPr>
          <w:sz w:val="20"/>
          <w:szCs w:val="20"/>
          <w:color w:val="auto"/>
        </w:rPr>
      </w:pPr>
    </w:p>
    <w:p>
      <w:pPr>
        <w:jc w:val="both"/>
        <w:ind w:firstLine="8"/>
        <w:spacing w:after="0" w:line="258" w:lineRule="auto"/>
        <w:tabs>
          <w:tab w:leader="none" w:pos="409"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Additionally, in connection with this Amendment, it will be recommended to the Board of Directors of the Company that you be granted an incentive stock option (to the maximum extent permissible under Internal Revenue Code) to purchase up to 468,900 shares of Common Stock pursuant to the Company’s 2007 Equity Incentive Program. The exercise price per share will be determined by the Board of Directors, and the terms of this option grant will be the same as the prior grant set forth in your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4725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03" w:name="page504"/>
    <w:bookmarkEnd w:id="503"/>
    <w:p>
      <w:pPr>
        <w:ind w:left="360" w:hanging="352"/>
        <w:spacing w:after="0"/>
        <w:tabs>
          <w:tab w:leader="none" w:pos="36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 new section entitled “Parachute Payments” is hereby added to the Offer Letter, reading in its entirety as follows:</w:t>
      </w:r>
    </w:p>
    <w:p>
      <w:pPr>
        <w:spacing w:after="0" w:line="224" w:lineRule="exact"/>
        <w:rPr>
          <w:sz w:val="20"/>
          <w:szCs w:val="20"/>
          <w:color w:val="auto"/>
        </w:rPr>
      </w:pPr>
    </w:p>
    <w:p>
      <w:pPr>
        <w:jc w:val="both"/>
        <w:ind w:firstLine="1292"/>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Parachute Payments</w:t>
      </w:r>
      <w:r>
        <w:rPr>
          <w:rFonts w:ascii="Arial" w:cs="Arial" w:eastAsia="Arial" w:hAnsi="Arial"/>
          <w:sz w:val="17"/>
          <w:szCs w:val="17"/>
          <w:color w:val="auto"/>
        </w:rPr>
        <w:t>. If any payment or benefit you would receive pursuant to a Change of Control from the Company or otherwise (“</w:t>
      </w:r>
      <w:r>
        <w:rPr>
          <w:rFonts w:ascii="Arial" w:cs="Arial" w:eastAsia="Arial" w:hAnsi="Arial"/>
          <w:sz w:val="17"/>
          <w:szCs w:val="17"/>
          <w:u w:val="single" w:color="auto"/>
          <w:color w:val="auto"/>
        </w:rPr>
        <w:t>Payment</w:t>
      </w:r>
      <w:r>
        <w:rPr>
          <w:rFonts w:ascii="Arial" w:cs="Arial" w:eastAsia="Arial" w:hAnsi="Arial"/>
          <w:sz w:val="17"/>
          <w:szCs w:val="17"/>
          <w:color w:val="auto"/>
        </w:rPr>
        <w:t>”) would (i) constitute a “parachute payment” within the meaning of Section 280G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(ii) but for this sentence,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such Payment shall be reduced to the Reduced Amount. The “</w:t>
      </w:r>
      <w:r>
        <w:rPr>
          <w:rFonts w:ascii="Arial" w:cs="Arial" w:eastAsia="Arial" w:hAnsi="Arial"/>
          <w:sz w:val="17"/>
          <w:szCs w:val="17"/>
          <w:u w:val="single" w:color="auto"/>
          <w:color w:val="auto"/>
        </w:rPr>
        <w:t>Reduced Amount</w:t>
      </w:r>
      <w:r>
        <w:rPr>
          <w:rFonts w:ascii="Arial" w:cs="Arial" w:eastAsia="Arial" w:hAnsi="Arial"/>
          <w:sz w:val="17"/>
          <w:szCs w:val="17"/>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and/or benefits constituting “parachute payments” is necessary so that the Payment equals the Reduced Amount, reduction shall occur in the following order: reduction of current cash payments; reduction of deferred cash payments subject to Code Section 409A; cancellation of accelerated vesting of stock awards; reduction of employee benefits. In the event that acceleration of vesting of stock award compensation is to be reduced, such acceleration of vesting shall be cancelled in the reverse order of the date of grant of your stock awards.</w:t>
      </w:r>
    </w:p>
    <w:p>
      <w:pPr>
        <w:spacing w:after="0" w:line="183" w:lineRule="exact"/>
        <w:rPr>
          <w:sz w:val="20"/>
          <w:szCs w:val="20"/>
          <w:color w:val="auto"/>
        </w:rPr>
      </w:pPr>
    </w:p>
    <w:p>
      <w:pPr>
        <w:jc w:val="both"/>
        <w:ind w:firstLine="1292"/>
        <w:spacing w:after="0" w:line="300" w:lineRule="auto"/>
        <w:rPr>
          <w:sz w:val="20"/>
          <w:szCs w:val="20"/>
          <w:color w:val="auto"/>
        </w:rPr>
      </w:pPr>
      <w:r>
        <w:rPr>
          <w:rFonts w:ascii="Arial" w:cs="Arial" w:eastAsia="Arial" w:hAnsi="Arial"/>
          <w:sz w:val="16"/>
          <w:szCs w:val="16"/>
          <w:color w:val="auto"/>
        </w:rPr>
        <w:t>The professional firm engaged by the Company for general tax purposes as of the day prior to the effective date of the Change of Control shall perform the foregoing calculations. If the professional firm so engaged by the Company is serving as accountant or auditor for the individual, entity or group affecting the Change of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57" w:lineRule="exact"/>
        <w:rPr>
          <w:sz w:val="20"/>
          <w:szCs w:val="20"/>
          <w:color w:val="auto"/>
        </w:rPr>
      </w:pPr>
    </w:p>
    <w:p>
      <w:pPr>
        <w:jc w:val="both"/>
        <w:ind w:firstLine="1292"/>
        <w:spacing w:after="0" w:line="295" w:lineRule="auto"/>
        <w:rPr>
          <w:sz w:val="20"/>
          <w:szCs w:val="20"/>
          <w:color w:val="auto"/>
        </w:rPr>
      </w:pPr>
      <w:r>
        <w:rPr>
          <w:rFonts w:ascii="Arial" w:cs="Arial" w:eastAsia="Arial" w:hAnsi="Arial"/>
          <w:sz w:val="16"/>
          <w:szCs w:val="16"/>
          <w:color w:val="auto"/>
        </w:rPr>
        <w:t>The professional firm engaged to make the determinations hereunder shall provide its calculations, together with detailed supporting documentation, to the Company and you within fifteen (15) calendar days after the date on which your right to a Payment is triggered (if requested at that time by the Company or you) or such other time as requested by the Company or you. If the professional firm determines that no Excise Tax is payable with respect to a Payment, it shall furnish the Company and you with an opinion reasonably acceptable to you that no Excise Tax will be imposed with respect to such Payment. Any good faith determinations of the accounting firm made hereunder shall be final, binding and conclusive upon the Company and you.”</w:t>
      </w:r>
    </w:p>
    <w:p>
      <w:pPr>
        <w:spacing w:after="0" w:line="161" w:lineRule="exact"/>
        <w:rPr>
          <w:sz w:val="20"/>
          <w:szCs w:val="20"/>
          <w:color w:val="auto"/>
        </w:rPr>
      </w:pPr>
    </w:p>
    <w:p>
      <w:pPr>
        <w:ind w:left="360" w:hanging="352"/>
        <w:spacing w:after="0"/>
        <w:tabs>
          <w:tab w:leader="none" w:pos="36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A new section entitled “Code Section 409A” is hereby added to the Offer Letter, reading in its entirety as follows:</w:t>
      </w:r>
    </w:p>
    <w:p>
      <w:pPr>
        <w:spacing w:after="0" w:line="224" w:lineRule="exact"/>
        <w:rPr>
          <w:sz w:val="20"/>
          <w:szCs w:val="20"/>
          <w:color w:val="auto"/>
        </w:rPr>
      </w:pPr>
    </w:p>
    <w:p>
      <w:pPr>
        <w:jc w:val="both"/>
        <w:ind w:firstLine="1292"/>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 Section 409A</w:t>
      </w:r>
      <w:r>
        <w:rPr>
          <w:rFonts w:ascii="Arial" w:cs="Arial" w:eastAsia="Arial" w:hAnsi="Arial"/>
          <w:sz w:val="16"/>
          <w:szCs w:val="16"/>
          <w:color w:val="auto"/>
        </w:rPr>
        <w:t>. Notwithstanding any provision to the contrary in this Amendment, if you are deemed by the Company at the time of your separation from service (as defined under Treasury Regulation Section 1.409A-1(h)) to be a “specified employee” for purposes of Section 409A(a)(2)(B)</w:t>
      </w:r>
    </w:p>
    <w:p>
      <w:pPr>
        <w:spacing w:after="0" w:line="1" w:lineRule="exact"/>
        <w:rPr>
          <w:sz w:val="20"/>
          <w:szCs w:val="20"/>
          <w:color w:val="auto"/>
        </w:rPr>
      </w:pPr>
    </w:p>
    <w:p>
      <w:pPr>
        <w:jc w:val="both"/>
        <w:ind w:firstLine="8"/>
        <w:spacing w:after="0" w:line="267" w:lineRule="auto"/>
        <w:tabs>
          <w:tab w:leader="none" w:pos="216" w:val="left"/>
        </w:tabs>
        <w:numPr>
          <w:ilvl w:val="0"/>
          <w:numId w:val="468"/>
        </w:numPr>
        <w:rPr>
          <w:rFonts w:ascii="Arial" w:cs="Arial" w:eastAsia="Arial" w:hAnsi="Arial"/>
          <w:sz w:val="17"/>
          <w:szCs w:val="17"/>
          <w:color w:val="auto"/>
        </w:rPr>
      </w:pPr>
      <w:r>
        <w:rPr>
          <w:rFonts w:ascii="Arial" w:cs="Arial" w:eastAsia="Arial" w:hAnsi="Arial"/>
          <w:sz w:val="17"/>
          <w:szCs w:val="17"/>
          <w:color w:val="auto"/>
        </w:rPr>
        <w:t>of the Code, to the extent delayed commencement of any portion of the benefits to which you are entitled under this agreement is required in order to avoid a prohibited distribution under Section 409A(a)(2)(B)(i) of the Code, such portion of your benefits shall not be provided to you prior to the earlier of (i) the expiration of the six-month period measured from the date of your separation from service with the Company or (ii) the date of your death. Upon the first business day following the expiration of the applicable Code Section 409A(a)(2)(B)(i) period, all payments deferred pursuant to this paragraph shall be paid in a lump sum to you, and any remaining payments due under this Amendment shall be paid as otherwise provided herein. For purposes of Code Section 409A (including, without limitation, for purposes of Treasury Regulation Section 1.409A 2(b)(2)(iii)), your right to receive installment payments under this Amendment shall be treated as a right to receive a series of separate payments and, accordingly, each installment payment hereunder shall at all times be considered a separate and distinct payment. It is intended that all of the severance payments satisfy, to the greatest extent possible, the exemptions from the application of Code Section 409A provided under of Treasury Regulation 1.409A 1(b)(4), 1.409A 1(b)(5) and 1.409A 1(b)(9), and this agreement will be construed to the greatest extent possible as consistent with those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725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04" w:name="page505"/>
    <w:bookmarkEnd w:id="504"/>
    <w:p>
      <w:pPr>
        <w:ind w:left="352" w:hanging="352"/>
        <w:spacing w:after="0"/>
        <w:tabs>
          <w:tab w:leader="none" w:pos="35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Except as specifically amended herein, the Offer Letter shall remain in full force and effect.</w:t>
      </w:r>
    </w:p>
    <w:p>
      <w:pPr>
        <w:spacing w:after="0" w:line="223" w:lineRule="exact"/>
        <w:rPr>
          <w:rFonts w:ascii="Arial" w:cs="Arial" w:eastAsia="Arial" w:hAnsi="Arial"/>
          <w:sz w:val="18"/>
          <w:szCs w:val="18"/>
          <w:color w:val="auto"/>
        </w:rPr>
      </w:pPr>
    </w:p>
    <w:p>
      <w:pPr>
        <w:ind w:left="-8" w:firstLine="8"/>
        <w:spacing w:after="0" w:line="276" w:lineRule="auto"/>
        <w:tabs>
          <w:tab w:leader="none" w:pos="39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This Amendment may be executed simultaneously in any number of counterparts, each of which shall be deemed an original, but all of which together shall constitute one and the same instrument.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373380</wp:posOffset>
            </wp:positionV>
            <wp:extent cx="724725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92"/>
          </w:cols>
          <w:pgMar w:left="248" w:top="583" w:right="25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t>The parties hereto have executed this Amendment as of the day and year above first written.</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VAXART, INC.</w:t>
      </w:r>
    </w:p>
    <w:p>
      <w:pPr>
        <w:spacing w:after="0" w:line="200" w:lineRule="exact"/>
        <w:rPr>
          <w:sz w:val="20"/>
          <w:szCs w:val="20"/>
          <w:color w:val="auto"/>
        </w:rPr>
      </w:pPr>
    </w:p>
    <w:p>
      <w:pPr>
        <w:spacing w:after="0" w:line="243" w:lineRule="exact"/>
        <w:rPr>
          <w:sz w:val="20"/>
          <w:szCs w:val="20"/>
          <w:color w:val="auto"/>
        </w:rPr>
      </w:pPr>
    </w:p>
    <w:p>
      <w:pPr>
        <w:jc w:val="both"/>
        <w:ind w:left="57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14605</wp:posOffset>
            </wp:positionV>
            <wp:extent cx="252984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3">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spacing w:after="0" w:line="217"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Name:</w:t>
        <w:tab/>
        <w:t>SeanTucker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14605</wp:posOffset>
            </wp:positionV>
            <wp:extent cx="252984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4">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(print)</w:t>
      </w:r>
    </w:p>
    <w:p>
      <w:pPr>
        <w:spacing w:after="0" w:line="22"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5080</wp:posOffset>
            </wp:positionV>
            <wp:extent cx="25298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5">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OFFICER:</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WOUTER LATOUR</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Wouter Latour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14605</wp:posOffset>
            </wp:positionV>
            <wp:extent cx="296545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6">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506" w:name="page507"/>
    <w:bookmarkEnd w:id="506"/>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3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INDUSTRIAL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OYSTER POINT BUSINESS PARK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SOUTH SAN FRANCISCO,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OYSTER POINT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VAXART, INC.,</w:t>
      </w:r>
    </w:p>
    <w:p>
      <w:pPr>
        <w:spacing w:after="0" w:line="22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3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725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507" w:name="page508"/>
    <w:bookmarkEnd w:id="5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56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1"/>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86"/>
              </w:rPr>
              <w:t>Section</w:t>
            </w:r>
          </w:p>
        </w:tc>
        <w:tc>
          <w:tcPr>
            <w:tcW w:w="4300" w:type="dxa"/>
            <w:vAlign w:val="bottom"/>
          </w:tcPr>
          <w:p>
            <w:pPr>
              <w:spacing w:after="0"/>
              <w:rPr>
                <w:sz w:val="24"/>
                <w:szCs w:val="24"/>
                <w:color w:val="auto"/>
              </w:rPr>
            </w:pPr>
          </w:p>
        </w:tc>
        <w:tc>
          <w:tcPr>
            <w:tcW w:w="6560" w:type="dxa"/>
            <w:vAlign w:val="bottom"/>
            <w:gridSpan w:val="2"/>
          </w:tcPr>
          <w:p>
            <w:pPr>
              <w:ind w:left="61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Provisions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Parties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1.2</w:t>
            </w:r>
          </w:p>
        </w:tc>
        <w:tc>
          <w:tcPr>
            <w:tcW w:w="4300" w:type="dxa"/>
            <w:vAlign w:val="bottom"/>
          </w:tcPr>
          <w:p>
            <w:pPr>
              <w:ind w:left="500"/>
              <w:spacing w:after="0"/>
              <w:rPr>
                <w:sz w:val="20"/>
                <w:szCs w:val="20"/>
                <w:color w:val="auto"/>
              </w:rPr>
            </w:pPr>
            <w:r>
              <w:rPr>
                <w:rFonts w:ascii="Arial" w:cs="Arial" w:eastAsia="Arial" w:hAnsi="Arial"/>
                <w:sz w:val="18"/>
                <w:szCs w:val="18"/>
                <w:color w:val="auto"/>
              </w:rPr>
              <w:t>Premises</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1.3</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Term</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1.4</w:t>
            </w:r>
          </w:p>
        </w:tc>
        <w:tc>
          <w:tcPr>
            <w:tcW w:w="4300" w:type="dxa"/>
            <w:vAlign w:val="bottom"/>
          </w:tcPr>
          <w:p>
            <w:pPr>
              <w:ind w:left="500"/>
              <w:spacing w:after="0"/>
              <w:rPr>
                <w:sz w:val="20"/>
                <w:szCs w:val="20"/>
                <w:color w:val="auto"/>
              </w:rPr>
            </w:pPr>
            <w:r>
              <w:rPr>
                <w:rFonts w:ascii="Arial" w:cs="Arial" w:eastAsia="Arial" w:hAnsi="Arial"/>
                <w:sz w:val="18"/>
                <w:szCs w:val="18"/>
                <w:color w:val="auto"/>
              </w:rPr>
              <w:t>Base Rent</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Tenant’s Share of Operating Expenses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1.6</w:t>
            </w:r>
          </w:p>
        </w:tc>
        <w:tc>
          <w:tcPr>
            <w:tcW w:w="4300" w:type="dxa"/>
            <w:vAlign w:val="bottom"/>
          </w:tcPr>
          <w:p>
            <w:pPr>
              <w:ind w:left="500"/>
              <w:spacing w:after="0"/>
              <w:rPr>
                <w:sz w:val="20"/>
                <w:szCs w:val="20"/>
                <w:color w:val="auto"/>
              </w:rPr>
            </w:pPr>
            <w:r>
              <w:rPr>
                <w:rFonts w:ascii="Arial" w:cs="Arial" w:eastAsia="Arial" w:hAnsi="Arial"/>
                <w:sz w:val="18"/>
                <w:szCs w:val="18"/>
                <w:color w:val="auto"/>
              </w:rPr>
              <w:t>Tenant’s Estimated Monthly Rent Payment</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Security Deposit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1.8</w:t>
            </w:r>
          </w:p>
        </w:tc>
        <w:tc>
          <w:tcPr>
            <w:tcW w:w="4300" w:type="dxa"/>
            <w:vAlign w:val="bottom"/>
          </w:tcPr>
          <w:p>
            <w:pPr>
              <w:ind w:left="500"/>
              <w:spacing w:after="0"/>
              <w:rPr>
                <w:sz w:val="20"/>
                <w:szCs w:val="20"/>
                <w:color w:val="auto"/>
              </w:rPr>
            </w:pPr>
            <w:r>
              <w:rPr>
                <w:rFonts w:ascii="Arial" w:cs="Arial" w:eastAsia="Arial" w:hAnsi="Arial"/>
                <w:sz w:val="18"/>
                <w:szCs w:val="18"/>
                <w:color w:val="auto"/>
              </w:rPr>
              <w:t>Permitted Use</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Guarantor</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1.10</w:t>
            </w:r>
          </w:p>
        </w:tc>
        <w:tc>
          <w:tcPr>
            <w:tcW w:w="4300" w:type="dxa"/>
            <w:vAlign w:val="bottom"/>
          </w:tcPr>
          <w:p>
            <w:pPr>
              <w:ind w:left="500"/>
              <w:spacing w:after="0"/>
              <w:rPr>
                <w:sz w:val="20"/>
                <w:szCs w:val="20"/>
                <w:color w:val="auto"/>
              </w:rPr>
            </w:pPr>
            <w:r>
              <w:rPr>
                <w:rFonts w:ascii="Arial" w:cs="Arial" w:eastAsia="Arial" w:hAnsi="Arial"/>
                <w:sz w:val="18"/>
                <w:szCs w:val="18"/>
                <w:color w:val="auto"/>
              </w:rPr>
              <w:t>Address for Rent Payments</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1.11</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Brokers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w:t>
            </w: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Premises and Common Areas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Letting</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2.2</w:t>
            </w:r>
          </w:p>
        </w:tc>
        <w:tc>
          <w:tcPr>
            <w:tcW w:w="4300" w:type="dxa"/>
            <w:vAlign w:val="bottom"/>
          </w:tcPr>
          <w:p>
            <w:pPr>
              <w:ind w:left="500"/>
              <w:spacing w:after="0"/>
              <w:rPr>
                <w:sz w:val="20"/>
                <w:szCs w:val="20"/>
                <w:color w:val="auto"/>
              </w:rPr>
            </w:pPr>
            <w:r>
              <w:rPr>
                <w:rFonts w:ascii="Arial" w:cs="Arial" w:eastAsia="Arial" w:hAnsi="Arial"/>
                <w:sz w:val="18"/>
                <w:szCs w:val="18"/>
                <w:color w:val="auto"/>
              </w:rPr>
              <w:t>Common Areas - Definition</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Areas - Tenant’s Rights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2.4</w:t>
            </w:r>
          </w:p>
        </w:tc>
        <w:tc>
          <w:tcPr>
            <w:tcW w:w="4300" w:type="dxa"/>
            <w:vAlign w:val="bottom"/>
          </w:tcPr>
          <w:p>
            <w:pPr>
              <w:ind w:left="500"/>
              <w:spacing w:after="0"/>
              <w:rPr>
                <w:sz w:val="20"/>
                <w:szCs w:val="20"/>
                <w:color w:val="auto"/>
              </w:rPr>
            </w:pPr>
            <w:r>
              <w:rPr>
                <w:rFonts w:ascii="Arial" w:cs="Arial" w:eastAsia="Arial" w:hAnsi="Arial"/>
                <w:sz w:val="18"/>
                <w:szCs w:val="18"/>
                <w:color w:val="auto"/>
              </w:rPr>
              <w:t>Common Areas - Rules and Regulations</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2.5</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Common Area Changes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2.6</w:t>
            </w:r>
          </w:p>
        </w:tc>
        <w:tc>
          <w:tcPr>
            <w:tcW w:w="4300" w:type="dxa"/>
            <w:vAlign w:val="bottom"/>
          </w:tcPr>
          <w:p>
            <w:pPr>
              <w:ind w:left="500"/>
              <w:spacing w:after="0"/>
              <w:rPr>
                <w:sz w:val="20"/>
                <w:szCs w:val="20"/>
                <w:color w:val="auto"/>
              </w:rPr>
            </w:pPr>
            <w:r>
              <w:rPr>
                <w:rFonts w:ascii="Arial" w:cs="Arial" w:eastAsia="Arial" w:hAnsi="Arial"/>
                <w:sz w:val="18"/>
                <w:szCs w:val="18"/>
                <w:color w:val="auto"/>
              </w:rPr>
              <w:t>Parking</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3.</w:t>
            </w:r>
          </w:p>
        </w:tc>
        <w:tc>
          <w:tcPr>
            <w:tcW w:w="430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3.1</w:t>
            </w:r>
          </w:p>
        </w:tc>
        <w:tc>
          <w:tcPr>
            <w:tcW w:w="4300" w:type="dxa"/>
            <w:vAlign w:val="bottom"/>
          </w:tcPr>
          <w:p>
            <w:pPr>
              <w:ind w:left="500"/>
              <w:spacing w:after="0"/>
              <w:rPr>
                <w:sz w:val="20"/>
                <w:szCs w:val="20"/>
                <w:color w:val="auto"/>
              </w:rPr>
            </w:pPr>
            <w:r>
              <w:rPr>
                <w:rFonts w:ascii="Arial" w:cs="Arial" w:eastAsia="Arial" w:hAnsi="Arial"/>
                <w:sz w:val="18"/>
                <w:szCs w:val="18"/>
                <w:color w:val="auto"/>
              </w:rPr>
              <w:t>Term</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Delay in Possession</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3.3</w:t>
            </w:r>
          </w:p>
        </w:tc>
        <w:tc>
          <w:tcPr>
            <w:tcW w:w="4300" w:type="dxa"/>
            <w:vAlign w:val="bottom"/>
          </w:tcPr>
          <w:p>
            <w:pPr>
              <w:ind w:left="500"/>
              <w:spacing w:after="0"/>
              <w:rPr>
                <w:sz w:val="20"/>
                <w:szCs w:val="20"/>
                <w:color w:val="auto"/>
              </w:rPr>
            </w:pPr>
            <w:r>
              <w:rPr>
                <w:rFonts w:ascii="Arial" w:cs="Arial" w:eastAsia="Arial" w:hAnsi="Arial"/>
                <w:sz w:val="18"/>
                <w:szCs w:val="18"/>
                <w:color w:val="auto"/>
              </w:rPr>
              <w:t>Commencement Date Certificate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4.</w:t>
            </w:r>
          </w:p>
        </w:tc>
        <w:tc>
          <w:tcPr>
            <w:tcW w:w="4300" w:type="dxa"/>
            <w:vAlign w:val="bottom"/>
          </w:tcPr>
          <w:p>
            <w:pPr>
              <w:spacing w:after="0"/>
              <w:rPr>
                <w:sz w:val="20"/>
                <w:szCs w:val="20"/>
                <w:color w:val="auto"/>
              </w:rPr>
            </w:pPr>
            <w:r>
              <w:rPr>
                <w:rFonts w:ascii="Arial" w:cs="Arial" w:eastAsia="Arial" w:hAnsi="Arial"/>
                <w:sz w:val="18"/>
                <w:szCs w:val="18"/>
                <w:b w:val="1"/>
                <w:bCs w:val="1"/>
                <w:color w:val="auto"/>
              </w:rPr>
              <w:t>Rent</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4.1</w:t>
            </w:r>
          </w:p>
        </w:tc>
        <w:tc>
          <w:tcPr>
            <w:tcW w:w="4300" w:type="dxa"/>
            <w:vAlign w:val="bottom"/>
          </w:tcPr>
          <w:p>
            <w:pPr>
              <w:ind w:left="500"/>
              <w:spacing w:after="0"/>
              <w:rPr>
                <w:sz w:val="20"/>
                <w:szCs w:val="20"/>
                <w:color w:val="auto"/>
              </w:rPr>
            </w:pPr>
            <w:r>
              <w:rPr>
                <w:rFonts w:ascii="Arial" w:cs="Arial" w:eastAsia="Arial" w:hAnsi="Arial"/>
                <w:sz w:val="18"/>
                <w:szCs w:val="18"/>
                <w:color w:val="auto"/>
              </w:rPr>
              <w:t>Base Rent</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4.2</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Expenses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Security Deposit</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6.</w:t>
            </w: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6.1</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Permitted Use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6.2</w:t>
            </w:r>
          </w:p>
        </w:tc>
        <w:tc>
          <w:tcPr>
            <w:tcW w:w="4300" w:type="dxa"/>
            <w:vAlign w:val="bottom"/>
          </w:tcPr>
          <w:p>
            <w:pPr>
              <w:ind w:left="500"/>
              <w:spacing w:after="0"/>
              <w:rPr>
                <w:sz w:val="20"/>
                <w:szCs w:val="20"/>
                <w:color w:val="auto"/>
              </w:rPr>
            </w:pPr>
            <w:r>
              <w:rPr>
                <w:rFonts w:ascii="Arial" w:cs="Arial" w:eastAsia="Arial" w:hAnsi="Arial"/>
                <w:sz w:val="18"/>
                <w:szCs w:val="18"/>
                <w:color w:val="auto"/>
              </w:rPr>
              <w:t>Hazardous Substances</w:t>
            </w:r>
          </w:p>
        </w:tc>
        <w:tc>
          <w:tcPr>
            <w:tcW w:w="65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6.3</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Tenant’s Compliance with Requirements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6.4</w:t>
            </w:r>
          </w:p>
        </w:tc>
        <w:tc>
          <w:tcPr>
            <w:tcW w:w="4300" w:type="dxa"/>
            <w:vAlign w:val="bottom"/>
          </w:tcPr>
          <w:p>
            <w:pPr>
              <w:ind w:left="500"/>
              <w:spacing w:after="0"/>
              <w:rPr>
                <w:sz w:val="20"/>
                <w:szCs w:val="20"/>
                <w:color w:val="auto"/>
              </w:rPr>
            </w:pPr>
            <w:r>
              <w:rPr>
                <w:rFonts w:ascii="Arial" w:cs="Arial" w:eastAsia="Arial" w:hAnsi="Arial"/>
                <w:sz w:val="18"/>
                <w:szCs w:val="18"/>
                <w:color w:val="auto"/>
              </w:rPr>
              <w:t>Inspection; Compliance with Law</w:t>
            </w:r>
          </w:p>
        </w:tc>
        <w:tc>
          <w:tcPr>
            <w:tcW w:w="65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Tenant Move-in Questionnaire</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Maintenance, Repairs, Trade Fixtures and Alterations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7.1</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Tenant’s Obligations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7.2</w:t>
            </w:r>
          </w:p>
        </w:tc>
        <w:tc>
          <w:tcPr>
            <w:tcW w:w="4300" w:type="dxa"/>
            <w:vAlign w:val="bottom"/>
          </w:tcPr>
          <w:p>
            <w:pPr>
              <w:ind w:left="500"/>
              <w:spacing w:after="0"/>
              <w:rPr>
                <w:sz w:val="20"/>
                <w:szCs w:val="20"/>
                <w:color w:val="auto"/>
              </w:rPr>
            </w:pPr>
            <w:r>
              <w:rPr>
                <w:rFonts w:ascii="Arial" w:cs="Arial" w:eastAsia="Arial" w:hAnsi="Arial"/>
                <w:sz w:val="18"/>
                <w:szCs w:val="18"/>
                <w:color w:val="auto"/>
              </w:rPr>
              <w:t>Landlord’s Obligations</w:t>
            </w:r>
          </w:p>
        </w:tc>
        <w:tc>
          <w:tcPr>
            <w:tcW w:w="65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7.3</w:t>
            </w:r>
          </w:p>
        </w:tc>
        <w:tc>
          <w:tcPr>
            <w:tcW w:w="4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Alterations</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7.4</w:t>
            </w:r>
          </w:p>
        </w:tc>
        <w:tc>
          <w:tcPr>
            <w:tcW w:w="4300" w:type="dxa"/>
            <w:vAlign w:val="bottom"/>
          </w:tcPr>
          <w:p>
            <w:pPr>
              <w:ind w:left="500"/>
              <w:spacing w:after="0"/>
              <w:rPr>
                <w:sz w:val="20"/>
                <w:szCs w:val="20"/>
                <w:color w:val="auto"/>
              </w:rPr>
            </w:pPr>
            <w:r>
              <w:rPr>
                <w:rFonts w:ascii="Arial" w:cs="Arial" w:eastAsia="Arial" w:hAnsi="Arial"/>
                <w:sz w:val="18"/>
                <w:szCs w:val="18"/>
                <w:color w:val="auto"/>
              </w:rPr>
              <w:t>Surrender/Restoration</w:t>
            </w:r>
          </w:p>
        </w:tc>
        <w:tc>
          <w:tcPr>
            <w:tcW w:w="65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7"/>
                <w:szCs w:val="17"/>
                <w:b w:val="1"/>
                <w:bCs w:val="1"/>
                <w:color w:val="auto"/>
                <w:w w:val="70"/>
              </w:rPr>
              <w:t>8.</w:t>
            </w: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Insurance; Indemnity</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Payment of Premiums</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7040" w:type="dxa"/>
            <w:vAlign w:val="bottom"/>
          </w:tcPr>
          <w:p>
            <w:pPr>
              <w:ind w:left="600"/>
              <w:spacing w:after="0"/>
              <w:rPr>
                <w:sz w:val="20"/>
                <w:szCs w:val="20"/>
                <w:color w:val="auto"/>
              </w:rPr>
            </w:pPr>
            <w:r>
              <w:rPr>
                <w:rFonts w:ascii="Arial" w:cs="Arial" w:eastAsia="Arial" w:hAnsi="Arial"/>
                <w:sz w:val="18"/>
                <w:szCs w:val="18"/>
                <w:color w:val="auto"/>
              </w:rPr>
              <w:t>Tenant’s Insurance</w:t>
            </w:r>
          </w:p>
        </w:tc>
        <w:tc>
          <w:tcPr>
            <w:tcW w:w="3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Landlord’s Insurance</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7040" w:type="dxa"/>
            <w:vAlign w:val="bottom"/>
          </w:tcPr>
          <w:p>
            <w:pPr>
              <w:ind w:left="600"/>
              <w:spacing w:after="0"/>
              <w:rPr>
                <w:sz w:val="20"/>
                <w:szCs w:val="20"/>
                <w:color w:val="auto"/>
              </w:rPr>
            </w:pPr>
            <w:r>
              <w:rPr>
                <w:rFonts w:ascii="Arial" w:cs="Arial" w:eastAsia="Arial" w:hAnsi="Arial"/>
                <w:sz w:val="18"/>
                <w:szCs w:val="18"/>
                <w:color w:val="auto"/>
              </w:rPr>
              <w:t>Waiver of Subrogation</w:t>
            </w:r>
          </w:p>
        </w:tc>
        <w:tc>
          <w:tcPr>
            <w:tcW w:w="3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Indemnity</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7040" w:type="dxa"/>
            <w:vAlign w:val="bottom"/>
          </w:tcPr>
          <w:p>
            <w:pPr>
              <w:ind w:left="600"/>
              <w:spacing w:after="0"/>
              <w:rPr>
                <w:sz w:val="20"/>
                <w:szCs w:val="20"/>
                <w:color w:val="auto"/>
              </w:rPr>
            </w:pPr>
            <w:r>
              <w:rPr>
                <w:rFonts w:ascii="Arial" w:cs="Arial" w:eastAsia="Arial" w:hAnsi="Arial"/>
                <w:sz w:val="18"/>
                <w:szCs w:val="18"/>
                <w:color w:val="auto"/>
              </w:rPr>
              <w:t>Exemption of Landlord from Liability</w:t>
            </w:r>
          </w:p>
        </w:tc>
        <w:tc>
          <w:tcPr>
            <w:tcW w:w="3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7500" w:type="dxa"/>
            <w:vAlign w:val="bottom"/>
          </w:tcPr>
          <w:p>
            <w:pPr>
              <w:spacing w:after="0"/>
              <w:rPr>
                <w:sz w:val="20"/>
                <w:szCs w:val="20"/>
                <w:color w:val="auto"/>
              </w:rPr>
            </w:pPr>
            <w:r>
              <w:rPr>
                <w:rFonts w:ascii="Arial" w:cs="Arial" w:eastAsia="Arial" w:hAnsi="Arial"/>
                <w:sz w:val="18"/>
                <w:szCs w:val="18"/>
                <w:b w:val="1"/>
                <w:bCs w:val="1"/>
                <w:color w:val="auto"/>
              </w:rPr>
              <w:t>Damage or Destruction</w:t>
            </w:r>
          </w:p>
        </w:tc>
        <w:tc>
          <w:tcPr>
            <w:tcW w:w="3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9.1</w:t>
            </w:r>
          </w:p>
        </w:tc>
        <w:tc>
          <w:tcPr>
            <w:tcW w:w="7500" w:type="dxa"/>
            <w:vAlign w:val="bottom"/>
          </w:tcPr>
          <w:p>
            <w:pPr>
              <w:ind w:left="500"/>
              <w:spacing w:after="0"/>
              <w:rPr>
                <w:sz w:val="20"/>
                <w:szCs w:val="20"/>
                <w:color w:val="auto"/>
              </w:rPr>
            </w:pPr>
            <w:r>
              <w:rPr>
                <w:rFonts w:ascii="Arial" w:cs="Arial" w:eastAsia="Arial" w:hAnsi="Arial"/>
                <w:sz w:val="18"/>
                <w:szCs w:val="18"/>
                <w:color w:val="auto"/>
              </w:rPr>
              <w:t>Termination Right</w:t>
            </w:r>
          </w:p>
        </w:tc>
        <w:tc>
          <w:tcPr>
            <w:tcW w:w="33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9.2</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Damage Caused by Tenant</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10.</w:t>
            </w: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Property Taxes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10.1</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Real Property Taxes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10.2</w:t>
            </w:r>
          </w:p>
        </w:tc>
        <w:tc>
          <w:tcPr>
            <w:tcW w:w="7500" w:type="dxa"/>
            <w:vAlign w:val="bottom"/>
          </w:tcPr>
          <w:p>
            <w:pPr>
              <w:ind w:left="500"/>
              <w:spacing w:after="0"/>
              <w:rPr>
                <w:sz w:val="20"/>
                <w:szCs w:val="20"/>
                <w:color w:val="auto"/>
              </w:rPr>
            </w:pPr>
            <w:r>
              <w:rPr>
                <w:rFonts w:ascii="Arial" w:cs="Arial" w:eastAsia="Arial" w:hAnsi="Arial"/>
                <w:sz w:val="18"/>
                <w:szCs w:val="18"/>
                <w:color w:val="auto"/>
              </w:rPr>
              <w:t>Real Property Tax Definition</w:t>
            </w:r>
          </w:p>
        </w:tc>
        <w:tc>
          <w:tcPr>
            <w:tcW w:w="3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10.3</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Additional Improvements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10.4</w:t>
            </w:r>
          </w:p>
        </w:tc>
        <w:tc>
          <w:tcPr>
            <w:tcW w:w="7500" w:type="dxa"/>
            <w:vAlign w:val="bottom"/>
          </w:tcPr>
          <w:p>
            <w:pPr>
              <w:ind w:left="500"/>
              <w:spacing w:after="0"/>
              <w:rPr>
                <w:sz w:val="20"/>
                <w:szCs w:val="20"/>
                <w:color w:val="auto"/>
              </w:rPr>
            </w:pPr>
            <w:r>
              <w:rPr>
                <w:rFonts w:ascii="Arial" w:cs="Arial" w:eastAsia="Arial" w:hAnsi="Arial"/>
                <w:sz w:val="18"/>
                <w:szCs w:val="18"/>
                <w:color w:val="auto"/>
              </w:rPr>
              <w:t>Joint Assessment</w:t>
            </w:r>
          </w:p>
        </w:tc>
        <w:tc>
          <w:tcPr>
            <w:tcW w:w="3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10.5</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Tenant’s Property Taxes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Utilities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12.</w:t>
            </w: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Assignment and Subleasing</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12.1</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Prohibition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12.2</w:t>
            </w:r>
          </w:p>
        </w:tc>
        <w:tc>
          <w:tcPr>
            <w:tcW w:w="7500" w:type="dxa"/>
            <w:vAlign w:val="bottom"/>
          </w:tcPr>
          <w:p>
            <w:pPr>
              <w:ind w:left="500"/>
              <w:spacing w:after="0"/>
              <w:rPr>
                <w:sz w:val="20"/>
                <w:szCs w:val="20"/>
                <w:color w:val="auto"/>
              </w:rPr>
            </w:pPr>
            <w:r>
              <w:rPr>
                <w:rFonts w:ascii="Arial" w:cs="Arial" w:eastAsia="Arial" w:hAnsi="Arial"/>
                <w:sz w:val="18"/>
                <w:szCs w:val="18"/>
                <w:color w:val="auto"/>
              </w:rPr>
              <w:t>Request for Consent</w:t>
            </w:r>
          </w:p>
        </w:tc>
        <w:tc>
          <w:tcPr>
            <w:tcW w:w="33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12.3</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Criteria for Consent</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12.4</w:t>
            </w:r>
          </w:p>
        </w:tc>
        <w:tc>
          <w:tcPr>
            <w:tcW w:w="7500" w:type="dxa"/>
            <w:vAlign w:val="bottom"/>
          </w:tcPr>
          <w:p>
            <w:pPr>
              <w:ind w:left="500"/>
              <w:spacing w:after="0"/>
              <w:rPr>
                <w:sz w:val="20"/>
                <w:szCs w:val="20"/>
                <w:color w:val="auto"/>
              </w:rPr>
            </w:pPr>
            <w:r>
              <w:rPr>
                <w:rFonts w:ascii="Arial" w:cs="Arial" w:eastAsia="Arial" w:hAnsi="Arial"/>
                <w:sz w:val="18"/>
                <w:szCs w:val="18"/>
                <w:color w:val="auto"/>
              </w:rPr>
              <w:t>Effectiveness of Transfer and Continuing Obligations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12.5</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Rent Adjustment</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12.6</w:t>
            </w:r>
          </w:p>
        </w:tc>
        <w:tc>
          <w:tcPr>
            <w:tcW w:w="7500" w:type="dxa"/>
            <w:vAlign w:val="bottom"/>
          </w:tcPr>
          <w:p>
            <w:pPr>
              <w:ind w:left="500"/>
              <w:spacing w:after="0"/>
              <w:rPr>
                <w:sz w:val="20"/>
                <w:szCs w:val="20"/>
                <w:color w:val="auto"/>
              </w:rPr>
            </w:pPr>
            <w:r>
              <w:rPr>
                <w:rFonts w:ascii="Arial" w:cs="Arial" w:eastAsia="Arial" w:hAnsi="Arial"/>
                <w:sz w:val="18"/>
                <w:szCs w:val="18"/>
                <w:color w:val="auto"/>
              </w:rPr>
              <w:t>Transfer Premium</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12.7</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Waiver</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12.8</w:t>
            </w:r>
          </w:p>
        </w:tc>
        <w:tc>
          <w:tcPr>
            <w:tcW w:w="7500" w:type="dxa"/>
            <w:vAlign w:val="bottom"/>
          </w:tcPr>
          <w:p>
            <w:pPr>
              <w:ind w:left="500"/>
              <w:spacing w:after="0"/>
              <w:rPr>
                <w:sz w:val="20"/>
                <w:szCs w:val="20"/>
                <w:color w:val="auto"/>
              </w:rPr>
            </w:pPr>
            <w:r>
              <w:rPr>
                <w:rFonts w:ascii="Arial" w:cs="Arial" w:eastAsia="Arial" w:hAnsi="Arial"/>
                <w:sz w:val="18"/>
                <w:szCs w:val="18"/>
                <w:color w:val="auto"/>
              </w:rPr>
              <w:t>Special Transfer Prohibitions</w:t>
            </w:r>
          </w:p>
        </w:tc>
        <w:tc>
          <w:tcPr>
            <w:tcW w:w="33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500" w:type="dxa"/>
            <w:vAlign w:val="bottom"/>
          </w:tcPr>
          <w:p>
            <w:pPr>
              <w:spacing w:after="0"/>
              <w:rPr>
                <w:sz w:val="20"/>
                <w:szCs w:val="20"/>
                <w:color w:val="auto"/>
              </w:rPr>
            </w:pPr>
            <w:r>
              <w:rPr>
                <w:rFonts w:ascii="Arial" w:cs="Arial" w:eastAsia="Arial" w:hAnsi="Arial"/>
                <w:sz w:val="18"/>
                <w:szCs w:val="18"/>
                <w:b w:val="1"/>
                <w:bCs w:val="1"/>
                <w:color w:val="auto"/>
              </w:rPr>
              <w:t>Default; Remedies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13.1</w:t>
            </w:r>
          </w:p>
        </w:tc>
        <w:tc>
          <w:tcPr>
            <w:tcW w:w="7500" w:type="dxa"/>
            <w:vAlign w:val="bottom"/>
          </w:tcPr>
          <w:p>
            <w:pPr>
              <w:ind w:left="500"/>
              <w:spacing w:after="0"/>
              <w:rPr>
                <w:sz w:val="20"/>
                <w:szCs w:val="20"/>
                <w:color w:val="auto"/>
              </w:rPr>
            </w:pPr>
            <w:r>
              <w:rPr>
                <w:rFonts w:ascii="Arial" w:cs="Arial" w:eastAsia="Arial" w:hAnsi="Arial"/>
                <w:sz w:val="18"/>
                <w:szCs w:val="18"/>
                <w:color w:val="auto"/>
              </w:rPr>
              <w:t>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13.2</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Remedies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13.3</w:t>
            </w:r>
          </w:p>
        </w:tc>
        <w:tc>
          <w:tcPr>
            <w:tcW w:w="7500" w:type="dxa"/>
            <w:vAlign w:val="bottom"/>
          </w:tcPr>
          <w:p>
            <w:pPr>
              <w:ind w:left="500"/>
              <w:spacing w:after="0"/>
              <w:rPr>
                <w:sz w:val="20"/>
                <w:szCs w:val="20"/>
                <w:color w:val="auto"/>
              </w:rPr>
            </w:pPr>
            <w:r>
              <w:rPr>
                <w:rFonts w:ascii="Arial" w:cs="Arial" w:eastAsia="Arial" w:hAnsi="Arial"/>
                <w:sz w:val="18"/>
                <w:szCs w:val="18"/>
                <w:color w:val="auto"/>
              </w:rPr>
              <w:t>Late Charges</w:t>
            </w:r>
          </w:p>
        </w:tc>
        <w:tc>
          <w:tcPr>
            <w:tcW w:w="3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14.</w:t>
            </w:r>
          </w:p>
        </w:tc>
        <w:tc>
          <w:tcPr>
            <w:tcW w:w="7500" w:type="dxa"/>
            <w:vAlign w:val="bottom"/>
          </w:tcPr>
          <w:p>
            <w:pPr>
              <w:spacing w:after="0"/>
              <w:rPr>
                <w:sz w:val="20"/>
                <w:szCs w:val="20"/>
                <w:color w:val="auto"/>
              </w:rPr>
            </w:pPr>
            <w:r>
              <w:rPr>
                <w:rFonts w:ascii="Arial" w:cs="Arial" w:eastAsia="Arial" w:hAnsi="Arial"/>
                <w:sz w:val="18"/>
                <w:szCs w:val="18"/>
                <w:b w:val="1"/>
                <w:bCs w:val="1"/>
                <w:color w:val="auto"/>
              </w:rPr>
              <w:t>Condemnation</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500" w:type="dxa"/>
            <w:vAlign w:val="bottom"/>
          </w:tcPr>
          <w:p>
            <w:pPr>
              <w:spacing w:after="0"/>
              <w:rPr>
                <w:sz w:val="20"/>
                <w:szCs w:val="20"/>
                <w:color w:val="auto"/>
              </w:rPr>
            </w:pPr>
            <w:r>
              <w:rPr>
                <w:rFonts w:ascii="Arial" w:cs="Arial" w:eastAsia="Arial" w:hAnsi="Arial"/>
                <w:sz w:val="18"/>
                <w:szCs w:val="18"/>
                <w:b w:val="1"/>
                <w:bCs w:val="1"/>
                <w:color w:val="auto"/>
              </w:rPr>
              <w:t>Estoppel Certificate and Financial Statements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15.1</w:t>
            </w:r>
          </w:p>
        </w:tc>
        <w:tc>
          <w:tcPr>
            <w:tcW w:w="7500" w:type="dxa"/>
            <w:vAlign w:val="bottom"/>
          </w:tcPr>
          <w:p>
            <w:pPr>
              <w:ind w:left="500"/>
              <w:spacing w:after="0"/>
              <w:rPr>
                <w:sz w:val="20"/>
                <w:szCs w:val="20"/>
                <w:color w:val="auto"/>
              </w:rPr>
            </w:pPr>
            <w:r>
              <w:rPr>
                <w:rFonts w:ascii="Arial" w:cs="Arial" w:eastAsia="Arial" w:hAnsi="Arial"/>
                <w:sz w:val="18"/>
                <w:szCs w:val="18"/>
                <w:color w:val="auto"/>
              </w:rPr>
              <w:t>Estoppel Certificate</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15.2</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Financial Statement</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16.</w:t>
            </w: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Covenants and Provisions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16.1</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Severability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16.2</w:t>
            </w:r>
          </w:p>
        </w:tc>
        <w:tc>
          <w:tcPr>
            <w:tcW w:w="7500" w:type="dxa"/>
            <w:vAlign w:val="bottom"/>
          </w:tcPr>
          <w:p>
            <w:pPr>
              <w:ind w:left="500"/>
              <w:spacing w:after="0"/>
              <w:rPr>
                <w:sz w:val="20"/>
                <w:szCs w:val="20"/>
                <w:color w:val="auto"/>
              </w:rPr>
            </w:pPr>
            <w:r>
              <w:rPr>
                <w:rFonts w:ascii="Arial" w:cs="Arial" w:eastAsia="Arial" w:hAnsi="Arial"/>
                <w:sz w:val="18"/>
                <w:szCs w:val="18"/>
                <w:color w:val="auto"/>
              </w:rPr>
              <w:t>Interest on Past-Due Obligations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16.3</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Time of Essence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16.4</w:t>
            </w:r>
          </w:p>
        </w:tc>
        <w:tc>
          <w:tcPr>
            <w:tcW w:w="7500" w:type="dxa"/>
            <w:vAlign w:val="bottom"/>
          </w:tcPr>
          <w:p>
            <w:pPr>
              <w:ind w:left="500"/>
              <w:spacing w:after="0"/>
              <w:rPr>
                <w:sz w:val="20"/>
                <w:szCs w:val="20"/>
                <w:color w:val="auto"/>
              </w:rPr>
            </w:pPr>
            <w:r>
              <w:rPr>
                <w:rFonts w:ascii="Arial" w:cs="Arial" w:eastAsia="Arial" w:hAnsi="Arial"/>
                <w:sz w:val="18"/>
                <w:szCs w:val="18"/>
                <w:color w:val="auto"/>
              </w:rPr>
              <w:t>Landlord Liability</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16.5</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 Prior or Other Agreements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16.6</w:t>
            </w:r>
          </w:p>
        </w:tc>
        <w:tc>
          <w:tcPr>
            <w:tcW w:w="7500" w:type="dxa"/>
            <w:vAlign w:val="bottom"/>
          </w:tcPr>
          <w:p>
            <w:pPr>
              <w:ind w:left="500"/>
              <w:spacing w:after="0"/>
              <w:rPr>
                <w:sz w:val="20"/>
                <w:szCs w:val="20"/>
                <w:color w:val="auto"/>
              </w:rPr>
            </w:pPr>
            <w:r>
              <w:rPr>
                <w:rFonts w:ascii="Arial" w:cs="Arial" w:eastAsia="Arial" w:hAnsi="Arial"/>
                <w:sz w:val="18"/>
                <w:szCs w:val="18"/>
                <w:color w:val="auto"/>
              </w:rPr>
              <w:t>Notice Requirements</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16.7</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Date of Notice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16.8</w:t>
            </w:r>
          </w:p>
        </w:tc>
        <w:tc>
          <w:tcPr>
            <w:tcW w:w="7500" w:type="dxa"/>
            <w:vAlign w:val="bottom"/>
          </w:tcPr>
          <w:p>
            <w:pPr>
              <w:ind w:left="500"/>
              <w:spacing w:after="0"/>
              <w:rPr>
                <w:sz w:val="20"/>
                <w:szCs w:val="20"/>
                <w:color w:val="auto"/>
              </w:rPr>
            </w:pPr>
            <w:r>
              <w:rPr>
                <w:rFonts w:ascii="Arial" w:cs="Arial" w:eastAsia="Arial" w:hAnsi="Arial"/>
                <w:sz w:val="18"/>
                <w:szCs w:val="18"/>
                <w:color w:val="auto"/>
              </w:rPr>
              <w:t>Waivers</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16.9</w:t>
            </w:r>
          </w:p>
        </w:tc>
        <w:tc>
          <w:tcPr>
            <w:tcW w:w="7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Holdover</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w w:val="88"/>
              </w:rPr>
              <w:t>16.10</w:t>
            </w:r>
          </w:p>
        </w:tc>
        <w:tc>
          <w:tcPr>
            <w:tcW w:w="7500" w:type="dxa"/>
            <w:vAlign w:val="bottom"/>
          </w:tcPr>
          <w:p>
            <w:pPr>
              <w:ind w:left="500"/>
              <w:spacing w:after="0"/>
              <w:rPr>
                <w:sz w:val="20"/>
                <w:szCs w:val="20"/>
                <w:color w:val="auto"/>
              </w:rPr>
            </w:pPr>
            <w:r>
              <w:rPr>
                <w:rFonts w:ascii="Arial" w:cs="Arial" w:eastAsia="Arial" w:hAnsi="Arial"/>
                <w:sz w:val="18"/>
                <w:szCs w:val="18"/>
                <w:color w:val="auto"/>
              </w:rPr>
              <w:t>Cumulative Remedies</w:t>
            </w:r>
          </w:p>
        </w:tc>
        <w:tc>
          <w:tcPr>
            <w:tcW w:w="33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16.11</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Binding Effect: Choice of Law</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16.12</w:t>
            </w:r>
          </w:p>
        </w:tc>
        <w:tc>
          <w:tcPr>
            <w:tcW w:w="7960" w:type="dxa"/>
            <w:vAlign w:val="bottom"/>
          </w:tcPr>
          <w:p>
            <w:pPr>
              <w:ind w:left="260"/>
              <w:spacing w:after="0"/>
              <w:rPr>
                <w:sz w:val="20"/>
                <w:szCs w:val="20"/>
                <w:color w:val="auto"/>
              </w:rPr>
            </w:pPr>
            <w:r>
              <w:rPr>
                <w:rFonts w:ascii="Arial" w:cs="Arial" w:eastAsia="Arial" w:hAnsi="Arial"/>
                <w:sz w:val="18"/>
                <w:szCs w:val="18"/>
                <w:color w:val="auto"/>
              </w:rPr>
              <w:t>Landlord</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16.13</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Attorneys’ Fees and Other Costs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16.14</w:t>
            </w:r>
          </w:p>
        </w:tc>
        <w:tc>
          <w:tcPr>
            <w:tcW w:w="7960" w:type="dxa"/>
            <w:vAlign w:val="bottom"/>
          </w:tcPr>
          <w:p>
            <w:pPr>
              <w:ind w:left="260"/>
              <w:spacing w:after="0"/>
              <w:rPr>
                <w:sz w:val="20"/>
                <w:szCs w:val="20"/>
                <w:color w:val="auto"/>
              </w:rPr>
            </w:pPr>
            <w:r>
              <w:rPr>
                <w:rFonts w:ascii="Arial" w:cs="Arial" w:eastAsia="Arial" w:hAnsi="Arial"/>
                <w:sz w:val="18"/>
                <w:szCs w:val="18"/>
                <w:color w:val="auto"/>
              </w:rPr>
              <w:t>Landlord’s Access; Showing Premises; Repairs</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16.15</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Signs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16.16</w:t>
            </w:r>
          </w:p>
        </w:tc>
        <w:tc>
          <w:tcPr>
            <w:tcW w:w="7960" w:type="dxa"/>
            <w:vAlign w:val="bottom"/>
          </w:tcPr>
          <w:p>
            <w:pPr>
              <w:ind w:left="260"/>
              <w:spacing w:after="0"/>
              <w:rPr>
                <w:sz w:val="20"/>
                <w:szCs w:val="20"/>
                <w:color w:val="auto"/>
              </w:rPr>
            </w:pPr>
            <w:r>
              <w:rPr>
                <w:rFonts w:ascii="Arial" w:cs="Arial" w:eastAsia="Arial" w:hAnsi="Arial"/>
                <w:sz w:val="18"/>
                <w:szCs w:val="18"/>
                <w:color w:val="auto"/>
              </w:rPr>
              <w:t>Transportation Demand Management and Other Governmental Programs</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16.17</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Quiet Possession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16.18</w:t>
            </w:r>
          </w:p>
        </w:tc>
        <w:tc>
          <w:tcPr>
            <w:tcW w:w="7960" w:type="dxa"/>
            <w:vAlign w:val="bottom"/>
          </w:tcPr>
          <w:p>
            <w:pPr>
              <w:ind w:left="260"/>
              <w:spacing w:after="0"/>
              <w:rPr>
                <w:sz w:val="20"/>
                <w:szCs w:val="20"/>
                <w:color w:val="auto"/>
              </w:rPr>
            </w:pPr>
            <w:r>
              <w:rPr>
                <w:rFonts w:ascii="Arial" w:cs="Arial" w:eastAsia="Arial" w:hAnsi="Arial"/>
                <w:sz w:val="18"/>
                <w:szCs w:val="18"/>
                <w:color w:val="auto"/>
              </w:rPr>
              <w:t>Subordination; Attornment; Non-Disturbance</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16.19</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Rules and Regulations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16.20</w:t>
            </w:r>
          </w:p>
        </w:tc>
        <w:tc>
          <w:tcPr>
            <w:tcW w:w="7960" w:type="dxa"/>
            <w:vAlign w:val="bottom"/>
          </w:tcPr>
          <w:p>
            <w:pPr>
              <w:ind w:left="260"/>
              <w:spacing w:after="0"/>
              <w:rPr>
                <w:sz w:val="20"/>
                <w:szCs w:val="20"/>
                <w:color w:val="auto"/>
              </w:rPr>
            </w:pPr>
            <w:r>
              <w:rPr>
                <w:rFonts w:ascii="Arial" w:cs="Arial" w:eastAsia="Arial" w:hAnsi="Arial"/>
                <w:sz w:val="18"/>
                <w:szCs w:val="18"/>
                <w:color w:val="auto"/>
              </w:rPr>
              <w:t>Security Measures</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16.21</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Reservations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16.22</w:t>
            </w:r>
          </w:p>
        </w:tc>
        <w:tc>
          <w:tcPr>
            <w:tcW w:w="7960" w:type="dxa"/>
            <w:vAlign w:val="bottom"/>
          </w:tcPr>
          <w:p>
            <w:pPr>
              <w:ind w:left="260"/>
              <w:spacing w:after="0"/>
              <w:rPr>
                <w:sz w:val="20"/>
                <w:szCs w:val="20"/>
                <w:color w:val="auto"/>
              </w:rPr>
            </w:pPr>
            <w:r>
              <w:rPr>
                <w:rFonts w:ascii="Arial" w:cs="Arial" w:eastAsia="Arial" w:hAnsi="Arial"/>
                <w:sz w:val="18"/>
                <w:szCs w:val="18"/>
                <w:color w:val="auto"/>
              </w:rPr>
              <w:t>Conflict</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16.23</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16.24</w:t>
            </w:r>
          </w:p>
        </w:tc>
        <w:tc>
          <w:tcPr>
            <w:tcW w:w="7960" w:type="dxa"/>
            <w:vAlign w:val="bottom"/>
          </w:tcPr>
          <w:p>
            <w:pPr>
              <w:ind w:left="260"/>
              <w:spacing w:after="0"/>
              <w:rPr>
                <w:sz w:val="20"/>
                <w:szCs w:val="20"/>
                <w:color w:val="auto"/>
              </w:rPr>
            </w:pPr>
            <w:r>
              <w:rPr>
                <w:rFonts w:ascii="Arial" w:cs="Arial" w:eastAsia="Arial" w:hAnsi="Arial"/>
                <w:sz w:val="18"/>
                <w:szCs w:val="18"/>
                <w:color w:val="auto"/>
              </w:rPr>
              <w:t>Amendments</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16.25</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Multiple Parties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16.26</w:t>
            </w:r>
          </w:p>
        </w:tc>
        <w:tc>
          <w:tcPr>
            <w:tcW w:w="7960" w:type="dxa"/>
            <w:vAlign w:val="bottom"/>
          </w:tcPr>
          <w:p>
            <w:pPr>
              <w:ind w:left="260"/>
              <w:spacing w:after="0"/>
              <w:rPr>
                <w:sz w:val="20"/>
                <w:szCs w:val="20"/>
                <w:color w:val="auto"/>
              </w:rPr>
            </w:pPr>
            <w:r>
              <w:rPr>
                <w:rFonts w:ascii="Arial" w:cs="Arial" w:eastAsia="Arial" w:hAnsi="Arial"/>
                <w:sz w:val="18"/>
                <w:szCs w:val="18"/>
                <w:color w:val="auto"/>
              </w:rPr>
              <w:t>Authority</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16.27</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Recordation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16.28</w:t>
            </w:r>
          </w:p>
        </w:tc>
        <w:tc>
          <w:tcPr>
            <w:tcW w:w="796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16.29</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Landlord Renovations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5"/>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16.30</w:t>
            </w:r>
          </w:p>
        </w:tc>
        <w:tc>
          <w:tcPr>
            <w:tcW w:w="796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16.31</w:t>
            </w:r>
          </w:p>
        </w:tc>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CASp Inspection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16.32</w:t>
            </w:r>
          </w:p>
        </w:tc>
        <w:tc>
          <w:tcPr>
            <w:tcW w:w="7960" w:type="dxa"/>
            <w:vAlign w:val="bottom"/>
          </w:tcPr>
          <w:p>
            <w:pPr>
              <w:ind w:left="260"/>
              <w:spacing w:after="0"/>
              <w:rPr>
                <w:sz w:val="20"/>
                <w:szCs w:val="20"/>
                <w:color w:val="auto"/>
              </w:rPr>
            </w:pPr>
            <w:r>
              <w:rPr>
                <w:rFonts w:ascii="Arial" w:cs="Arial" w:eastAsia="Arial" w:hAnsi="Arial"/>
                <w:sz w:val="18"/>
                <w:szCs w:val="18"/>
                <w:color w:val="auto"/>
              </w:rPr>
              <w:t>Landlord’s Early Termination Option</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 Outline of Premises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Exhibit B – Commencement Date Certificate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Exhibit C – Tenant’s Move-In and Lease Renewal Environmental Questionnaire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Exhibit D – Move Out Standards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Exhibit E – Rules and Regulations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t>Glossary</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in the Lease are defined in the paragraphs opposite the terms.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4340" w:type="dxa"/>
            <w:vAlign w:val="bottom"/>
          </w:tcPr>
          <w:p>
            <w:pPr>
              <w:ind w:left="2260"/>
              <w:spacing w:after="0"/>
              <w:rPr>
                <w:sz w:val="20"/>
                <w:szCs w:val="20"/>
                <w:color w:val="auto"/>
              </w:rPr>
            </w:pPr>
            <w:r>
              <w:rPr>
                <w:rFonts w:ascii="Arial" w:cs="Arial" w:eastAsia="Arial" w:hAnsi="Arial"/>
                <w:sz w:val="18"/>
                <w:szCs w:val="18"/>
                <w:b w:val="1"/>
                <w:bCs w:val="1"/>
                <w:color w:val="auto"/>
              </w:rPr>
              <w:t>Defined in Paragraph</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Additional Rent</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Applicable Requirements</w:t>
            </w:r>
          </w:p>
        </w:tc>
        <w:tc>
          <w:tcPr>
            <w:tcW w:w="4340" w:type="dxa"/>
            <w:vAlign w:val="bottom"/>
          </w:tcPr>
          <w:p>
            <w:pPr>
              <w:ind w:left="28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Assign</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Base Rent</w:t>
            </w:r>
          </w:p>
        </w:tc>
        <w:tc>
          <w:tcPr>
            <w:tcW w:w="4340" w:type="dxa"/>
            <w:vAlign w:val="bottom"/>
          </w:tcPr>
          <w:p>
            <w:pPr>
              <w:ind w:left="28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Provisions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Building</w:t>
            </w:r>
          </w:p>
        </w:tc>
        <w:tc>
          <w:tcPr>
            <w:tcW w:w="4340" w:type="dxa"/>
            <w:vAlign w:val="bottom"/>
          </w:tcPr>
          <w:p>
            <w:pPr>
              <w:ind w:left="28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 Operating Expenses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4.2(b)</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Claims</w:t>
            </w:r>
          </w:p>
        </w:tc>
        <w:tc>
          <w:tcPr>
            <w:tcW w:w="4340" w:type="dxa"/>
            <w:vAlign w:val="bottom"/>
          </w:tcPr>
          <w:p>
            <w:pPr>
              <w:ind w:left="28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12.1(a)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Commencement Date</w:t>
            </w:r>
          </w:p>
        </w:tc>
        <w:tc>
          <w:tcPr>
            <w:tcW w:w="4340" w:type="dxa"/>
            <w:vAlign w:val="bottom"/>
          </w:tcPr>
          <w:p>
            <w:pPr>
              <w:ind w:left="28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Commencement Date Certificate</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Common Areas</w:t>
            </w:r>
          </w:p>
        </w:tc>
        <w:tc>
          <w:tcPr>
            <w:tcW w:w="4340" w:type="dxa"/>
            <w:vAlign w:val="bottom"/>
          </w:tcPr>
          <w:p>
            <w:pPr>
              <w:ind w:left="28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Common Area Operating Expenses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4.2(b)</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Condemnation</w:t>
            </w:r>
          </w:p>
        </w:tc>
        <w:tc>
          <w:tcPr>
            <w:tcW w:w="4340" w:type="dxa"/>
            <w:vAlign w:val="bottom"/>
          </w:tcPr>
          <w:p>
            <w:pPr>
              <w:ind w:left="28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Expiration Date</w:t>
            </w:r>
          </w:p>
        </w:tc>
        <w:tc>
          <w:tcPr>
            <w:tcW w:w="4340" w:type="dxa"/>
            <w:vAlign w:val="bottom"/>
          </w:tcPr>
          <w:p>
            <w:pPr>
              <w:ind w:left="28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HVAC</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4.2(a)(x)</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Hazardous Substance</w:t>
            </w:r>
          </w:p>
        </w:tc>
        <w:tc>
          <w:tcPr>
            <w:tcW w:w="4340" w:type="dxa"/>
            <w:vAlign w:val="bottom"/>
          </w:tcPr>
          <w:p>
            <w:pPr>
              <w:ind w:left="28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Indemnity</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Industrial Center</w:t>
            </w:r>
          </w:p>
        </w:tc>
        <w:tc>
          <w:tcPr>
            <w:tcW w:w="4340" w:type="dxa"/>
            <w:vAlign w:val="bottom"/>
          </w:tcPr>
          <w:p>
            <w:pPr>
              <w:ind w:left="28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Landlord</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Landlord Entities</w:t>
            </w:r>
          </w:p>
        </w:tc>
        <w:tc>
          <w:tcPr>
            <w:tcW w:w="4340" w:type="dxa"/>
            <w:vAlign w:val="bottom"/>
          </w:tcPr>
          <w:p>
            <w:pPr>
              <w:ind w:left="2880"/>
              <w:spacing w:after="0"/>
              <w:rPr>
                <w:sz w:val="20"/>
                <w:szCs w:val="20"/>
                <w:color w:val="auto"/>
              </w:rPr>
            </w:pPr>
            <w:r>
              <w:rPr>
                <w:rFonts w:ascii="Arial" w:cs="Arial" w:eastAsia="Arial" w:hAnsi="Arial"/>
                <w:sz w:val="18"/>
                <w:szCs w:val="18"/>
                <w:color w:val="auto"/>
              </w:rPr>
              <w:t>6.2(c)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Lease</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Lenders</w:t>
            </w:r>
          </w:p>
        </w:tc>
        <w:tc>
          <w:tcPr>
            <w:tcW w:w="4340" w:type="dxa"/>
            <w:vAlign w:val="bottom"/>
          </w:tcPr>
          <w:p>
            <w:pPr>
              <w:ind w:left="28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Mortgage</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4340" w:type="dxa"/>
            <w:vAlign w:val="bottom"/>
          </w:tcPr>
          <w:p>
            <w:pPr>
              <w:ind w:left="28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Party/Parties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Permitted Use</w:t>
            </w:r>
          </w:p>
        </w:tc>
        <w:tc>
          <w:tcPr>
            <w:tcW w:w="4340" w:type="dxa"/>
            <w:vAlign w:val="bottom"/>
          </w:tcPr>
          <w:p>
            <w:pPr>
              <w:ind w:left="28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Premises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Prevailing Party</w:t>
            </w:r>
          </w:p>
        </w:tc>
        <w:tc>
          <w:tcPr>
            <w:tcW w:w="4340" w:type="dxa"/>
            <w:vAlign w:val="bottom"/>
          </w:tcPr>
          <w:p>
            <w:pPr>
              <w:ind w:left="288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Real Property Taxes</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Rent</w:t>
            </w:r>
          </w:p>
        </w:tc>
        <w:tc>
          <w:tcPr>
            <w:tcW w:w="4340" w:type="dxa"/>
            <w:vAlign w:val="bottom"/>
          </w:tcPr>
          <w:p>
            <w:pPr>
              <w:ind w:left="28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Reportable Use</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Requesting Party</w:t>
            </w:r>
          </w:p>
        </w:tc>
        <w:tc>
          <w:tcPr>
            <w:tcW w:w="4340" w:type="dxa"/>
            <w:vAlign w:val="bottom"/>
          </w:tcPr>
          <w:p>
            <w:pPr>
              <w:ind w:left="28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Responding Party</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Rules and Regulations</w:t>
            </w:r>
          </w:p>
        </w:tc>
        <w:tc>
          <w:tcPr>
            <w:tcW w:w="4340" w:type="dxa"/>
            <w:vAlign w:val="bottom"/>
          </w:tcPr>
          <w:p>
            <w:pPr>
              <w:ind w:left="2880"/>
              <w:spacing w:after="0"/>
              <w:rPr>
                <w:sz w:val="20"/>
                <w:szCs w:val="20"/>
                <w:color w:val="auto"/>
              </w:rPr>
            </w:pPr>
            <w:r>
              <w:rPr>
                <w:rFonts w:ascii="Arial" w:cs="Arial" w:eastAsia="Arial" w:hAnsi="Arial"/>
                <w:sz w:val="18"/>
                <w:szCs w:val="18"/>
                <w:color w:val="auto"/>
              </w:rPr>
              <w:t>2.4, 16.19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1.7, 5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Taxes</w:t>
            </w:r>
          </w:p>
        </w:tc>
        <w:tc>
          <w:tcPr>
            <w:tcW w:w="4340" w:type="dxa"/>
            <w:vAlign w:val="bottom"/>
          </w:tcPr>
          <w:p>
            <w:pPr>
              <w:ind w:left="28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Tenant</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Tenant Acts</w:t>
            </w:r>
          </w:p>
        </w:tc>
        <w:tc>
          <w:tcPr>
            <w:tcW w:w="4340" w:type="dxa"/>
            <w:vAlign w:val="bottom"/>
          </w:tcPr>
          <w:p>
            <w:pPr>
              <w:ind w:left="28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Tenant’s Entity</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6.2(c)</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Tenant’s Share</w:t>
            </w:r>
          </w:p>
        </w:tc>
        <w:tc>
          <w:tcPr>
            <w:tcW w:w="4340" w:type="dxa"/>
            <w:vAlign w:val="bottom"/>
          </w:tcPr>
          <w:p>
            <w:pPr>
              <w:ind w:left="28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434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Use</w:t>
            </w:r>
          </w:p>
        </w:tc>
        <w:tc>
          <w:tcPr>
            <w:tcW w:w="4340" w:type="dxa"/>
            <w:vAlign w:val="bottom"/>
          </w:tcPr>
          <w:p>
            <w:pPr>
              <w:ind w:left="28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578" w:right="1440" w:bottom="1440" w:gutter="0" w:footer="0" w:header="0"/>
        </w:sectPr>
      </w:pPr>
    </w:p>
    <w:bookmarkStart w:id="511" w:name="page512"/>
    <w:bookmarkEnd w:id="511"/>
    <w:p>
      <w:pPr>
        <w:jc w:val="center"/>
        <w:spacing w:after="0"/>
        <w:rPr>
          <w:sz w:val="20"/>
          <w:szCs w:val="20"/>
          <w:color w:val="auto"/>
        </w:rPr>
      </w:pPr>
      <w:r>
        <w:rPr>
          <w:rFonts w:ascii="Arial" w:cs="Arial" w:eastAsia="Arial" w:hAnsi="Arial"/>
          <w:sz w:val="18"/>
          <w:szCs w:val="18"/>
          <w:b w:val="1"/>
          <w:bCs w:val="1"/>
          <w:color w:val="auto"/>
        </w:rPr>
        <w:t>Oyster Point Business Park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Industrial Lease</w:t>
      </w:r>
    </w:p>
    <w:p>
      <w:pPr>
        <w:spacing w:after="0" w:line="205"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Provisions </w:t>
      </w:r>
      <w:r>
        <w:rPr>
          <w:rFonts w:ascii="Arial" w:cs="Arial" w:eastAsia="Arial" w:hAnsi="Arial"/>
          <w:sz w:val="18"/>
          <w:szCs w:val="18"/>
          <w:color w:val="auto"/>
        </w:rPr>
        <w:t>(“</w:t>
      </w:r>
      <w:r>
        <w:rPr>
          <w:rFonts w:ascii="Arial" w:cs="Arial" w:eastAsia="Arial" w:hAnsi="Arial"/>
          <w:sz w:val="18"/>
          <w:szCs w:val="18"/>
          <w:b w:val="1"/>
          <w:bCs w:val="1"/>
          <w:color w:val="auto"/>
        </w:rPr>
        <w:t>Basic Provisions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w:t>
      </w:r>
      <w:r>
        <w:rPr>
          <w:rFonts w:ascii="Arial" w:cs="Arial" w:eastAsia="Arial" w:hAnsi="Arial"/>
          <w:sz w:val="18"/>
          <w:szCs w:val="18"/>
          <w:b w:val="1"/>
          <w:bCs w:val="1"/>
          <w:color w:val="auto"/>
        </w:rPr>
        <w:t>Lease</w:t>
      </w:r>
      <w:r>
        <w:rPr>
          <w:rFonts w:ascii="Arial" w:cs="Arial" w:eastAsia="Arial" w:hAnsi="Arial"/>
          <w:sz w:val="18"/>
          <w:szCs w:val="18"/>
          <w:color w:val="auto"/>
        </w:rPr>
        <w:t>”) dated as of October 28, 2013, is made by and between Oyster Point LLC,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 Vaxart,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or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w:t>
      </w:r>
      <w:r>
        <w:rPr>
          <w:rFonts w:ascii="Arial" w:cs="Arial" w:eastAsia="Arial" w:hAnsi="Arial"/>
          <w:sz w:val="17"/>
          <w:szCs w:val="17"/>
          <w:b w:val="1"/>
          <w:bCs w:val="1"/>
          <w:color w:val="auto"/>
        </w:rPr>
        <w:t>Premises</w:t>
      </w:r>
      <w:r>
        <w:rPr>
          <w:rFonts w:ascii="Arial" w:cs="Arial" w:eastAsia="Arial" w:hAnsi="Arial"/>
          <w:sz w:val="17"/>
          <w:szCs w:val="17"/>
          <w:color w:val="auto"/>
        </w:rPr>
        <w:t>”), which are the subject of this Lease, are located in the industrial center commonly known as the Oyster</w:t>
      </w:r>
      <w:r>
        <w:rPr>
          <w:rFonts w:ascii="Arial" w:cs="Arial" w:eastAsia="Arial" w:hAnsi="Arial"/>
          <w:sz w:val="17"/>
          <w:szCs w:val="17"/>
          <w:b w:val="1"/>
          <w:bCs w:val="1"/>
          <w:color w:val="auto"/>
        </w:rPr>
        <w:t xml:space="preserve"> </w:t>
      </w:r>
      <w:r>
        <w:rPr>
          <w:rFonts w:ascii="Arial" w:cs="Arial" w:eastAsia="Arial" w:hAnsi="Arial"/>
          <w:sz w:val="17"/>
          <w:szCs w:val="17"/>
          <w:color w:val="auto"/>
        </w:rPr>
        <w:t>Point Business Park (the “</w:t>
      </w:r>
      <w:r>
        <w:rPr>
          <w:rFonts w:ascii="Arial" w:cs="Arial" w:eastAsia="Arial" w:hAnsi="Arial"/>
          <w:sz w:val="17"/>
          <w:szCs w:val="17"/>
          <w:b w:val="1"/>
          <w:bCs w:val="1"/>
          <w:color w:val="auto"/>
        </w:rPr>
        <w:t>Industrial Center</w:t>
      </w:r>
      <w:r>
        <w:rPr>
          <w:rFonts w:ascii="Arial" w:cs="Arial" w:eastAsia="Arial" w:hAnsi="Arial"/>
          <w:sz w:val="17"/>
          <w:szCs w:val="17"/>
          <w:color w:val="auto"/>
        </w:rPr>
        <w:t xml:space="preserve">”). The Premises are outlined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and consist of a part of the building (“</w:t>
      </w:r>
      <w:r>
        <w:rPr>
          <w:rFonts w:ascii="Arial" w:cs="Arial" w:eastAsia="Arial" w:hAnsi="Arial"/>
          <w:sz w:val="17"/>
          <w:szCs w:val="17"/>
          <w:b w:val="1"/>
          <w:bCs w:val="1"/>
          <w:color w:val="auto"/>
        </w:rPr>
        <w:t>Building</w:t>
      </w:r>
      <w:r>
        <w:rPr>
          <w:rFonts w:ascii="Arial" w:cs="Arial" w:eastAsia="Arial" w:hAnsi="Arial"/>
          <w:sz w:val="17"/>
          <w:szCs w:val="17"/>
          <w:color w:val="auto"/>
        </w:rPr>
        <w:t>”) commonly known as 385 Oyster Point Boulevard, South San Francisco, California. The Premises are currently known as Suite 9A in the Building. The parties agree that, for all purposes of this Lease, the Premises are deemed to consist of 11,221 rentable square feet of space.</w:t>
      </w:r>
    </w:p>
    <w:p>
      <w:pPr>
        <w:spacing w:after="0" w:line="16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 the Premises are all of the Building, there shall, for purposes of this Lease, be no distinction between the words “Premises” or “Building.” Tenant shall have nonexclusive rights to the Common Areas (as defined in Paragraph 2.2 below) but (subject to Paragraph 2.2. below) shall not have any rights to the roof, exterior walls, or utility raceways of the Building or to any other buildings in the Industrial Center. The Industrial Center consists of the Premises, the Building, the Common Areas, the land upon which they are located, and all other buildings and improvements within the boundaries of the Industrial Center.</w:t>
      </w:r>
    </w:p>
    <w:p>
      <w:pPr>
        <w:spacing w:after="0" w:line="153"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Four (4) years and One (1) month (“</w:t>
      </w:r>
      <w:r>
        <w:rPr>
          <w:rFonts w:ascii="Arial" w:cs="Arial" w:eastAsia="Arial" w:hAnsi="Arial"/>
          <w:sz w:val="16"/>
          <w:szCs w:val="16"/>
          <w:b w:val="1"/>
          <w:bCs w:val="1"/>
          <w:color w:val="auto"/>
        </w:rPr>
        <w:t>Term</w:t>
      </w:r>
      <w:r>
        <w:rPr>
          <w:rFonts w:ascii="Arial" w:cs="Arial" w:eastAsia="Arial" w:hAnsi="Arial"/>
          <w:sz w:val="16"/>
          <w:szCs w:val="16"/>
          <w:color w:val="auto"/>
        </w:rPr>
        <w:t>”), commencing on the date Landlord delivers the Premises to Tenant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required by Paragraph 2.1 below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ending on the last day of the forty-ninth (49</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 thereafter (the “</w:t>
      </w:r>
      <w:r>
        <w:rPr>
          <w:rFonts w:ascii="Arial" w:cs="Arial" w:eastAsia="Arial" w:hAnsi="Arial"/>
          <w:sz w:val="16"/>
          <w:szCs w:val="16"/>
          <w:b w:val="1"/>
          <w:bCs w:val="1"/>
          <w:color w:val="auto"/>
        </w:rPr>
        <w:t>Expiration Date</w:t>
      </w:r>
      <w:r>
        <w:rPr>
          <w:rFonts w:ascii="Arial" w:cs="Arial" w:eastAsia="Arial" w:hAnsi="Arial"/>
          <w:sz w:val="16"/>
          <w:szCs w:val="16"/>
          <w:color w:val="auto"/>
        </w:rPr>
        <w:t>”). The parties presently estimate that Landlord will deliver the Premises to Tenant on or about November 15, 2013. In the event of any delay in the delivery of the Premises to Tenant, this Lease shall not be void or voidable, nor shall Landlord be liable to Tenant for any loss or damage resulting therefrom, but Landlord shall use reasonable efforts to deliver the Premises to Tenant as soon as commercially reasonably possible after November 15, 2013. No delay in delivery of possession of the Premises to Tenant shall amend Tenant’s obligations under this Lease. Notwithstanding the foregoing, if the Commencement Date has not occurred on or before December 15, 2013 (the “</w:t>
      </w:r>
      <w:r>
        <w:rPr>
          <w:rFonts w:ascii="Arial" w:cs="Arial" w:eastAsia="Arial" w:hAnsi="Arial"/>
          <w:sz w:val="16"/>
          <w:szCs w:val="16"/>
          <w:b w:val="1"/>
          <w:bCs w:val="1"/>
          <w:color w:val="auto"/>
        </w:rPr>
        <w:t>Termination Trigger Date</w:t>
      </w:r>
      <w:r>
        <w:rPr>
          <w:rFonts w:ascii="Arial" w:cs="Arial" w:eastAsia="Arial" w:hAnsi="Arial"/>
          <w:sz w:val="16"/>
          <w:szCs w:val="16"/>
          <w:color w:val="auto"/>
        </w:rPr>
        <w:t>”) (which Termination Trigger Date shall be extended by the length of any delay in the delivery of possession of the Premises to Tenant in the required condition that results from strikes, lockout, labor disputes, shortages of material or labor, fire or other casualty, acts of God or any other cause beyond the commercially reasonable control of Landlord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w:t>
      </w:r>
      <w:r>
        <w:rPr>
          <w:rFonts w:ascii="Arial" w:cs="Arial" w:eastAsia="Arial" w:hAnsi="Arial"/>
          <w:sz w:val="16"/>
          <w:szCs w:val="16"/>
          <w:color w:val="auto"/>
        </w:rPr>
        <w:t>”) or delays caused by Tenant (provided that the Termination Trigger Date shall not be extended beyond January 31, 2014, on account of Force</w:t>
      </w:r>
      <w:r>
        <w:rPr>
          <w:rFonts w:ascii="Arial" w:cs="Arial" w:eastAsia="Arial" w:hAnsi="Arial"/>
          <w:sz w:val="16"/>
          <w:szCs w:val="16"/>
          <w:b w:val="1"/>
          <w:bCs w:val="1"/>
          <w:color w:val="auto"/>
        </w:rPr>
        <w:t xml:space="preserve"> </w:t>
      </w:r>
      <w:r>
        <w:rPr>
          <w:rFonts w:ascii="Arial" w:cs="Arial" w:eastAsia="Arial" w:hAnsi="Arial"/>
          <w:sz w:val="16"/>
          <w:szCs w:val="16"/>
          <w:color w:val="auto"/>
        </w:rPr>
        <w:t>Majeure)), Tenant, as Tenant’s sole remedy, may notify Landlord in writing that Tenant elects to terminate this Lease effective as of the date thirty (30) days following the date of such written notice, and, if Landlord does not deliver possession of the Premises to Tenant in the required condition on or before the end of such thirty (30) day period, this Lease shall terminate and Landlord shall return to Tenant the Security Deposit and advance payments of rent.</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u w:val="single" w:color="auto"/>
          <w:color w:val="auto"/>
        </w:rPr>
        <w:t>Base Rent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Base Monthly Rent (“</w:t>
      </w:r>
      <w:r>
        <w:rPr>
          <w:rFonts w:ascii="Arial" w:cs="Arial" w:eastAsia="Arial" w:hAnsi="Arial"/>
          <w:sz w:val="16"/>
          <w:szCs w:val="16"/>
          <w:b w:val="1"/>
          <w:bCs w:val="1"/>
          <w:color w:val="auto"/>
        </w:rPr>
        <w:t>Base Rent</w:t>
      </w:r>
      <w:r>
        <w:rPr>
          <w:rFonts w:ascii="Arial" w:cs="Arial" w:eastAsia="Arial" w:hAnsi="Arial"/>
          <w:sz w:val="16"/>
          <w:szCs w:val="16"/>
          <w:color w:val="auto"/>
        </w:rPr>
        <w:t>”) shall be payable as follows:</w:t>
      </w:r>
    </w:p>
    <w:p>
      <w:pPr>
        <w:spacing w:after="0" w:line="210"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Applicable Period</w:t>
            </w:r>
          </w:p>
        </w:tc>
        <w:tc>
          <w:tcPr>
            <w:tcW w:w="860" w:type="dxa"/>
            <w:vAlign w:val="bottom"/>
          </w:tcPr>
          <w:p>
            <w:pPr>
              <w:spacing w:after="0"/>
              <w:rPr>
                <w:sz w:val="18"/>
                <w:szCs w:val="18"/>
                <w:color w:val="auto"/>
              </w:rPr>
            </w:pPr>
          </w:p>
        </w:tc>
        <w:tc>
          <w:tcPr>
            <w:tcW w:w="1840" w:type="dxa"/>
            <w:vAlign w:val="bottom"/>
            <w:gridSpan w:val="2"/>
          </w:tcPr>
          <w:p>
            <w:pPr>
              <w:ind w:left="840"/>
              <w:spacing w:after="0"/>
              <w:rPr>
                <w:sz w:val="20"/>
                <w:szCs w:val="20"/>
                <w:color w:val="auto"/>
              </w:rPr>
            </w:pPr>
            <w:r>
              <w:rPr>
                <w:rFonts w:ascii="Arial" w:cs="Arial" w:eastAsia="Arial" w:hAnsi="Arial"/>
                <w:sz w:val="18"/>
                <w:szCs w:val="18"/>
                <w:color w:val="auto"/>
                <w:w w:val="92"/>
              </w:rPr>
              <w:t>Monthly Rent</w:t>
            </w:r>
          </w:p>
        </w:tc>
      </w:tr>
      <w:tr>
        <w:trPr>
          <w:trHeight w:val="221"/>
        </w:trPr>
        <w:tc>
          <w:tcPr>
            <w:tcW w:w="4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First Lease Year</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$20,197.80</w:t>
            </w:r>
          </w:p>
        </w:tc>
      </w:tr>
      <w:tr>
        <w:trPr>
          <w:trHeight w:val="215"/>
        </w:trPr>
        <w:tc>
          <w:tcPr>
            <w:tcW w:w="2200" w:type="dxa"/>
            <w:vAlign w:val="bottom"/>
            <w:gridSpan w:val="3"/>
          </w:tcPr>
          <w:p>
            <w:pPr>
              <w:jc w:val="center"/>
              <w:ind w:right="840"/>
              <w:spacing w:after="0"/>
              <w:rPr>
                <w:sz w:val="20"/>
                <w:szCs w:val="20"/>
                <w:color w:val="auto"/>
              </w:rPr>
            </w:pPr>
            <w:r>
              <w:rPr>
                <w:rFonts w:ascii="Arial" w:cs="Arial" w:eastAsia="Arial" w:hAnsi="Arial"/>
                <w:sz w:val="18"/>
                <w:szCs w:val="18"/>
                <w:color w:val="auto"/>
                <w:w w:val="85"/>
              </w:rPr>
              <w:t>Second Lease Year</w:t>
            </w:r>
          </w:p>
        </w:tc>
        <w:tc>
          <w:tcPr>
            <w:tcW w:w="1840" w:type="dxa"/>
            <w:vAlign w:val="bottom"/>
            <w:gridSpan w:val="2"/>
          </w:tcPr>
          <w:p>
            <w:pPr>
              <w:jc w:val="center"/>
              <w:ind w:left="750"/>
              <w:spacing w:after="0"/>
              <w:rPr>
                <w:sz w:val="20"/>
                <w:szCs w:val="20"/>
                <w:color w:val="auto"/>
              </w:rPr>
            </w:pPr>
            <w:r>
              <w:rPr>
                <w:rFonts w:ascii="Arial" w:cs="Arial" w:eastAsia="Arial" w:hAnsi="Arial"/>
                <w:sz w:val="18"/>
                <w:szCs w:val="18"/>
                <w:color w:val="auto"/>
                <w:w w:val="88"/>
              </w:rPr>
              <w:t>$20,758.85</w:t>
            </w:r>
          </w:p>
        </w:tc>
      </w:tr>
      <w:tr>
        <w:trPr>
          <w:trHeight w:val="215"/>
        </w:trPr>
        <w:tc>
          <w:tcPr>
            <w:tcW w:w="40" w:type="dxa"/>
            <w:vAlign w:val="bottom"/>
          </w:tcPr>
          <w:p>
            <w:pPr>
              <w:spacing w:after="0"/>
              <w:rPr>
                <w:sz w:val="18"/>
                <w:szCs w:val="18"/>
                <w:color w:val="auto"/>
              </w:rPr>
            </w:pPr>
          </w:p>
        </w:tc>
        <w:tc>
          <w:tcPr>
            <w:tcW w:w="2160" w:type="dxa"/>
            <w:vAlign w:val="bottom"/>
            <w:gridSpan w:val="2"/>
          </w:tcPr>
          <w:p>
            <w:pPr>
              <w:jc w:val="center"/>
              <w:ind w:right="880"/>
              <w:spacing w:after="0"/>
              <w:rPr>
                <w:sz w:val="20"/>
                <w:szCs w:val="20"/>
                <w:color w:val="auto"/>
              </w:rPr>
            </w:pPr>
            <w:r>
              <w:rPr>
                <w:rFonts w:ascii="Arial" w:cs="Arial" w:eastAsia="Arial" w:hAnsi="Arial"/>
                <w:sz w:val="18"/>
                <w:szCs w:val="18"/>
                <w:color w:val="auto"/>
                <w:w w:val="89"/>
              </w:rPr>
              <w:t>Third Lease Year</w:t>
            </w:r>
          </w:p>
        </w:tc>
        <w:tc>
          <w:tcPr>
            <w:tcW w:w="1840" w:type="dxa"/>
            <w:vAlign w:val="bottom"/>
            <w:gridSpan w:val="2"/>
          </w:tcPr>
          <w:p>
            <w:pPr>
              <w:jc w:val="center"/>
              <w:ind w:left="730"/>
              <w:spacing w:after="0"/>
              <w:rPr>
                <w:sz w:val="20"/>
                <w:szCs w:val="20"/>
                <w:color w:val="auto"/>
              </w:rPr>
            </w:pPr>
            <w:r>
              <w:rPr>
                <w:rFonts w:ascii="Arial" w:cs="Arial" w:eastAsia="Arial" w:hAnsi="Arial"/>
                <w:sz w:val="18"/>
                <w:szCs w:val="18"/>
                <w:color w:val="auto"/>
                <w:w w:val="90"/>
              </w:rPr>
              <w:t>$ 21,319.90</w:t>
            </w:r>
          </w:p>
        </w:tc>
      </w:tr>
      <w:tr>
        <w:trPr>
          <w:trHeight w:val="230"/>
        </w:trPr>
        <w:tc>
          <w:tcPr>
            <w:tcW w:w="220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Fourth Lease Year</w:t>
            </w:r>
          </w:p>
        </w:tc>
        <w:tc>
          <w:tcPr>
            <w:tcW w:w="1840" w:type="dxa"/>
            <w:vAlign w:val="bottom"/>
            <w:gridSpan w:val="2"/>
          </w:tcPr>
          <w:p>
            <w:pPr>
              <w:jc w:val="center"/>
              <w:ind w:left="750"/>
              <w:spacing w:after="0"/>
              <w:rPr>
                <w:sz w:val="20"/>
                <w:szCs w:val="20"/>
                <w:color w:val="auto"/>
              </w:rPr>
            </w:pPr>
            <w:r>
              <w:rPr>
                <w:rFonts w:ascii="Arial" w:cs="Arial" w:eastAsia="Arial" w:hAnsi="Arial"/>
                <w:sz w:val="18"/>
                <w:szCs w:val="18"/>
                <w:color w:val="auto"/>
                <w:w w:val="88"/>
              </w:rPr>
              <w:t>$21,880.95</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12" w:name="page513"/>
    <w:bookmarkEnd w:id="512"/>
    <w:p>
      <w:pPr>
        <w:jc w:val="both"/>
        <w:spacing w:after="0" w:line="262" w:lineRule="auto"/>
        <w:rPr>
          <w:sz w:val="20"/>
          <w:szCs w:val="20"/>
          <w:color w:val="auto"/>
        </w:rPr>
      </w:pPr>
      <w:r>
        <w:rPr>
          <w:rFonts w:ascii="Arial" w:cs="Arial" w:eastAsia="Arial" w:hAnsi="Arial"/>
          <w:sz w:val="18"/>
          <w:szCs w:val="18"/>
          <w:color w:val="auto"/>
        </w:rPr>
        <w:t>The “First Lease Year” is the period commencing on the Commencement Date (as defined above) and ending on the last day of the twelfth (12th) full calendar month thereafter. Each period of twelve (12) full calendar months thereafter constitutes a “Lease Year,” except that the Fourth Lease Year shall end on the Expiration Date.</w:t>
      </w:r>
    </w:p>
    <w:p>
      <w:pPr>
        <w:spacing w:after="0" w:line="1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u w:val="single" w:color="auto"/>
          <w:color w:val="auto"/>
        </w:rPr>
        <w:t xml:space="preserve">Tenant’s Share of Operating Expenses </w:t>
      </w:r>
      <w:r>
        <w:rPr>
          <w:rFonts w:ascii="Arial" w:cs="Arial" w:eastAsia="Arial" w:hAnsi="Arial"/>
          <w:sz w:val="16"/>
          <w:szCs w:val="16"/>
          <w:color w:val="auto"/>
        </w:rPr>
        <w:t>(“</w:t>
      </w:r>
      <w:r>
        <w:rPr>
          <w:rFonts w:ascii="Arial" w:cs="Arial" w:eastAsia="Arial" w:hAnsi="Arial"/>
          <w:sz w:val="16"/>
          <w:szCs w:val="16"/>
          <w:b w:val="1"/>
          <w:bCs w:val="1"/>
          <w:color w:val="auto"/>
        </w:rPr>
        <w:t>Tenant’s Share</w:t>
      </w:r>
      <w:r>
        <w:rPr>
          <w:rFonts w:ascii="Arial" w:cs="Arial" w:eastAsia="Arial" w:hAnsi="Arial"/>
          <w:sz w:val="16"/>
          <w:szCs w:val="16"/>
          <w:color w:val="auto"/>
        </w:rPr>
        <w:t>”).</w:t>
      </w:r>
    </w:p>
    <w:p>
      <w:pPr>
        <w:spacing w:after="0" w:line="228" w:lineRule="exact"/>
        <w:rPr>
          <w:sz w:val="20"/>
          <w:szCs w:val="20"/>
          <w:color w:val="auto"/>
        </w:rPr>
      </w:pPr>
    </w:p>
    <w:p>
      <w:pPr>
        <w:ind w:left="1640" w:hanging="502"/>
        <w:spacing w:after="0"/>
        <w:tabs>
          <w:tab w:leader="none" w:pos="164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Common Area Operating Expenses = 2.78% (calculated by dividing 11,221 RSF by the 403,917 RSF of the six (6) buildings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Industrial Center)</w:t>
      </w:r>
    </w:p>
    <w:p>
      <w:pPr>
        <w:spacing w:after="0" w:line="209" w:lineRule="exact"/>
        <w:rPr>
          <w:rFonts w:ascii="Arial" w:cs="Arial" w:eastAsia="Arial" w:hAnsi="Arial"/>
          <w:sz w:val="17"/>
          <w:szCs w:val="17"/>
          <w:color w:val="auto"/>
        </w:rPr>
      </w:pPr>
    </w:p>
    <w:p>
      <w:pPr>
        <w:ind w:left="1580" w:hanging="442"/>
        <w:spacing w:after="0"/>
        <w:tabs>
          <w:tab w:leader="none" w:pos="15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Building Operating Expenses = 13.60% (calculated by dividing 11,221 RSF by 82,490 RSF of the Building)</w:t>
      </w:r>
    </w:p>
    <w:p>
      <w:pPr>
        <w:spacing w:after="0" w:line="223" w:lineRule="exact"/>
        <w:rPr>
          <w:rFonts w:ascii="Arial" w:cs="Arial" w:eastAsia="Arial" w:hAnsi="Arial"/>
          <w:sz w:val="18"/>
          <w:szCs w:val="18"/>
          <w:color w:val="auto"/>
        </w:rPr>
      </w:pPr>
    </w:p>
    <w:p>
      <w:pPr>
        <w:ind w:left="1560" w:hanging="422"/>
        <w:spacing w:after="0"/>
        <w:tabs>
          <w:tab w:leader="none" w:pos="156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Property Taxes = 3.37% (calculated by dividing 11,221 by the 332,784 RSF of the tax parcel of which the Building is a part)</w:t>
      </w:r>
    </w:p>
    <w:p>
      <w:pPr>
        <w:spacing w:after="0" w:line="22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Tenant’s Estimated Total Monthly Rent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is the estimated total monthly Rent payment to Landlord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Lease. This estimate is made at the inception of the Lease and is subject to adjustment pursuant to the provisions of this Lease. The Estimated Total Monthly Payment, set forth below, shall be paid upon the execution of this Lease and shall be applied to the first monthly payment of Rent that is due under this Lease.</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Base Rent (Paragraph 4.1)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20,197.80</w:t>
            </w:r>
          </w:p>
        </w:tc>
      </w:tr>
      <w:tr>
        <w:trPr>
          <w:trHeight w:val="188"/>
        </w:trPr>
        <w:tc>
          <w:tcPr>
            <w:tcW w:w="380" w:type="dxa"/>
            <w:vAlign w:val="bottom"/>
          </w:tcPr>
          <w:p>
            <w:pPr>
              <w:spacing w:after="0" w:line="189" w:lineRule="exact"/>
              <w:rPr>
                <w:sz w:val="20"/>
                <w:szCs w:val="20"/>
                <w:color w:val="auto"/>
              </w:rPr>
            </w:pPr>
            <w:r>
              <w:rPr>
                <w:rFonts w:ascii="Arial" w:cs="Arial" w:eastAsia="Arial" w:hAnsi="Arial"/>
                <w:sz w:val="18"/>
                <w:szCs w:val="18"/>
                <w:color w:val="auto"/>
              </w:rPr>
              <w:t>(b)</w:t>
            </w:r>
          </w:p>
        </w:tc>
        <w:tc>
          <w:tcPr>
            <w:tcW w:w="642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9"/>
              </w:rPr>
              <w:t>Operating Expenses (Paragraph 4.2) plus Real Property Taxes (Paragraph 10)</w:t>
            </w:r>
          </w:p>
        </w:tc>
        <w:tc>
          <w:tcPr>
            <w:tcW w:w="116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4,151.77</w:t>
            </w:r>
          </w:p>
        </w:tc>
      </w:tr>
      <w:tr>
        <w:trPr>
          <w:trHeight w:val="2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6420" w:type="dxa"/>
            <w:vAlign w:val="bottom"/>
            <w:gridSpan w:val="3"/>
            <w:shd w:val="clear" w:color="auto" w:fill="CCEEFF"/>
          </w:tcPr>
          <w:p>
            <w:pPr>
              <w:ind w:left="180"/>
              <w:spacing w:after="0" w:line="195" w:lineRule="exact"/>
              <w:rPr>
                <w:sz w:val="20"/>
                <w:szCs w:val="20"/>
                <w:color w:val="auto"/>
              </w:rPr>
            </w:pPr>
            <w:r>
              <w:rPr>
                <w:rFonts w:ascii="Arial" w:cs="Arial" w:eastAsia="Arial" w:hAnsi="Arial"/>
                <w:sz w:val="18"/>
                <w:szCs w:val="18"/>
                <w:color w:val="auto"/>
              </w:rPr>
              <w:t>Estimated Total Monthly Payment</w:t>
            </w:r>
          </w:p>
        </w:tc>
        <w:tc>
          <w:tcPr>
            <w:tcW w:w="1160" w:type="dxa"/>
            <w:vAlign w:val="bottom"/>
            <w:gridSpan w:val="2"/>
            <w:shd w:val="clear" w:color="auto" w:fill="CCEEFF"/>
          </w:tcPr>
          <w:p>
            <w:pPr>
              <w:jc w:val="right"/>
              <w:ind w:right="380"/>
              <w:spacing w:after="0" w:line="195"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24,349.57</w:t>
            </w:r>
          </w:p>
        </w:tc>
      </w:tr>
    </w:tbl>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Twenty-Six Thousand Thirty-Two and 72/100 Dollars ($26,032.72) (“</w:t>
      </w:r>
      <w:r>
        <w:rPr>
          <w:rFonts w:ascii="Arial" w:cs="Arial" w:eastAsia="Arial" w:hAnsi="Arial"/>
          <w:sz w:val="16"/>
          <w:szCs w:val="16"/>
          <w:b w:val="1"/>
          <w:bCs w:val="1"/>
          <w:color w:val="auto"/>
        </w:rPr>
        <w:t>Security Deposit</w:t>
      </w:r>
      <w:r>
        <w:rPr>
          <w:rFonts w:ascii="Arial" w:cs="Arial" w:eastAsia="Arial" w:hAnsi="Arial"/>
          <w:sz w:val="16"/>
          <w:szCs w:val="16"/>
          <w:color w:val="auto"/>
        </w:rPr>
        <w:t>”).</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Permitted Use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Permitted Use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office and laboratory use for development of vaccines or other medical laboratory uses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uses, but only to the extent permitted by the City in which the Premises are located and all agencies and governmental authorities having jurisdiction of the Premises.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u w:val="single" w:color="auto"/>
          <w:color w:val="auto"/>
        </w:rPr>
        <w:t>Guarantor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None.</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b w:val="1"/>
          <w:bCs w:val="1"/>
          <w:u w:val="single" w:color="auto"/>
          <w:color w:val="auto"/>
        </w:rPr>
        <w:t>Address for Rent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 amounts payable by Tenant to Landlord shall, until further notice from Landlord, be paid to Landlord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address: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Shorenstein Realty Services, L.P. as agent for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Oyster Point LLC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Lockbox No. 742052</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90074-2708</w:t>
      </w:r>
    </w:p>
    <w:p>
      <w:pPr>
        <w:spacing w:after="0" w:line="205"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represents and warrants that it has negotiated this Lease directly with Cassidy Turley Northern California (“</w:t>
      </w:r>
      <w:r>
        <w:rPr>
          <w:rFonts w:ascii="Arial" w:cs="Arial" w:eastAsia="Arial" w:hAnsi="Arial"/>
          <w:sz w:val="17"/>
          <w:szCs w:val="17"/>
          <w:b w:val="1"/>
          <w:bCs w:val="1"/>
          <w:color w:val="auto"/>
        </w:rPr>
        <w:t>Landlord’s Broker</w:t>
      </w:r>
      <w:r>
        <w:rPr>
          <w:rFonts w:ascii="Arial" w:cs="Arial" w:eastAsia="Arial" w:hAnsi="Arial"/>
          <w:sz w:val="17"/>
          <w:szCs w:val="17"/>
          <w:color w:val="auto"/>
        </w:rPr>
        <w:t>”) and Kidder Mathews (“</w:t>
      </w:r>
      <w:r>
        <w:rPr>
          <w:rFonts w:ascii="Arial" w:cs="Arial" w:eastAsia="Arial" w:hAnsi="Arial"/>
          <w:sz w:val="17"/>
          <w:szCs w:val="17"/>
          <w:b w:val="1"/>
          <w:bCs w:val="1"/>
          <w:color w:val="auto"/>
        </w:rPr>
        <w:t>Tenant’s Broker</w:t>
      </w:r>
      <w:r>
        <w:rPr>
          <w:rFonts w:ascii="Arial" w:cs="Arial" w:eastAsia="Arial" w:hAnsi="Arial"/>
          <w:sz w:val="17"/>
          <w:szCs w:val="17"/>
          <w:color w:val="auto"/>
        </w:rPr>
        <w:t>”) (collectively, “</w:t>
      </w:r>
      <w:r>
        <w:rPr>
          <w:rFonts w:ascii="Arial" w:cs="Arial" w:eastAsia="Arial" w:hAnsi="Arial"/>
          <w:sz w:val="17"/>
          <w:szCs w:val="17"/>
          <w:b w:val="1"/>
          <w:bCs w:val="1"/>
          <w:color w:val="auto"/>
        </w:rPr>
        <w:t>Brokers</w:t>
      </w:r>
      <w:r>
        <w:rPr>
          <w:rFonts w:ascii="Arial" w:cs="Arial" w:eastAsia="Arial" w:hAnsi="Arial"/>
          <w:sz w:val="17"/>
          <w:szCs w:val="17"/>
          <w:color w:val="auto"/>
        </w:rPr>
        <w:t>”) and has not authorized or employed, or acted by implication to authorize or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 any other real estate broker or salesman to act for Tenant in connection with this Lease. Tenant shall indemnify, defend and hold Landlord harmless from and against any and all Claims by any real estate broker or salesman other than the Brokers for a commission, finder’s fee or other compensation as a result of the foregoing representation being inaccurate. Pursuant to separate written agreements, Landlord shall pay the commissions due to the Brokers in connection with the execution of this Lease and Tenant shall have no responsibility therefor.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13" w:name="page514"/>
    <w:bookmarkEnd w:id="513"/>
    <w:p>
      <w:pPr>
        <w:ind w:left="660" w:hanging="652"/>
        <w:spacing w:after="0"/>
        <w:tabs>
          <w:tab w:leader="none" w:pos="6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Premises; Condition of Premises; Common Areas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Letting; Condition of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leases to Tenant and Tenant hereby leases from Landlord the Premises upon all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conditions, set forth in this Lease. Tenant accepts the Premises in its present “As-Is” condition, state of repair and operating order and Landlord shall have no obligation to make or pay for any improvements or renovations in or to the Premises or to otherwise prepare the Premises for Tenant’s occupancy, except that, prior to the delivery of the Premises, Landlord shall perform the following work in the Premises (“</w:t>
      </w:r>
      <w:r>
        <w:rPr>
          <w:rFonts w:ascii="Arial" w:cs="Arial" w:eastAsia="Arial" w:hAnsi="Arial"/>
          <w:sz w:val="18"/>
          <w:szCs w:val="18"/>
          <w:b w:val="1"/>
          <w:bCs w:val="1"/>
          <w:color w:val="auto"/>
        </w:rPr>
        <w:t>Landlord’s Work</w:t>
      </w:r>
      <w:r>
        <w:rPr>
          <w:rFonts w:ascii="Arial" w:cs="Arial" w:eastAsia="Arial" w:hAnsi="Arial"/>
          <w:sz w:val="18"/>
          <w:szCs w:val="18"/>
          <w:color w:val="auto"/>
        </w:rPr>
        <w:t>”), or provide the following, using Building standard materials, at Landlord’s sole cost and expense:</w:t>
      </w:r>
    </w:p>
    <w:p>
      <w:pPr>
        <w:spacing w:after="0" w:line="188" w:lineRule="exact"/>
        <w:rPr>
          <w:sz w:val="20"/>
          <w:szCs w:val="20"/>
          <w:color w:val="auto"/>
        </w:rPr>
      </w:pPr>
    </w:p>
    <w:p>
      <w:pPr>
        <w:ind w:left="2100" w:hanging="639"/>
        <w:spacing w:after="0"/>
        <w:tabs>
          <w:tab w:leader="none" w:pos="2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Shampoo carpeting in the Premises;</w:t>
      </w:r>
    </w:p>
    <w:p>
      <w:pPr>
        <w:spacing w:after="0" w:line="250" w:lineRule="exact"/>
        <w:rPr>
          <w:rFonts w:ascii="Arial" w:cs="Arial" w:eastAsia="Arial" w:hAnsi="Arial"/>
          <w:sz w:val="18"/>
          <w:szCs w:val="18"/>
          <w:color w:val="auto"/>
        </w:rPr>
      </w:pPr>
    </w:p>
    <w:p>
      <w:pPr>
        <w:ind w:left="2100" w:hanging="639"/>
        <w:spacing w:after="0"/>
        <w:tabs>
          <w:tab w:leader="none" w:pos="2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Spot paint and repair interior walls in the Premises where needed;</w:t>
      </w:r>
    </w:p>
    <w:p>
      <w:pPr>
        <w:spacing w:after="0" w:line="250" w:lineRule="exact"/>
        <w:rPr>
          <w:rFonts w:ascii="Arial" w:cs="Arial" w:eastAsia="Arial" w:hAnsi="Arial"/>
          <w:sz w:val="18"/>
          <w:szCs w:val="18"/>
          <w:color w:val="auto"/>
        </w:rPr>
      </w:pPr>
    </w:p>
    <w:p>
      <w:pPr>
        <w:ind w:left="2100" w:hanging="639"/>
        <w:spacing w:after="0"/>
        <w:tabs>
          <w:tab w:leader="none" w:pos="2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Repair roof leaks in the Premises where needed;</w:t>
      </w:r>
    </w:p>
    <w:p>
      <w:pPr>
        <w:spacing w:after="0" w:line="250" w:lineRule="exact"/>
        <w:rPr>
          <w:rFonts w:ascii="Arial" w:cs="Arial" w:eastAsia="Arial" w:hAnsi="Arial"/>
          <w:sz w:val="18"/>
          <w:szCs w:val="18"/>
          <w:color w:val="auto"/>
        </w:rPr>
      </w:pPr>
    </w:p>
    <w:p>
      <w:pPr>
        <w:ind w:left="2100" w:hanging="639"/>
        <w:spacing w:after="0"/>
        <w:tabs>
          <w:tab w:leader="none" w:pos="2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Cause the Premises to be in broom clean condition; and</w:t>
      </w:r>
    </w:p>
    <w:p>
      <w:pPr>
        <w:spacing w:after="0" w:line="250" w:lineRule="exact"/>
        <w:rPr>
          <w:rFonts w:ascii="Arial" w:cs="Arial" w:eastAsia="Arial" w:hAnsi="Arial"/>
          <w:sz w:val="18"/>
          <w:szCs w:val="18"/>
          <w:color w:val="auto"/>
        </w:rPr>
      </w:pPr>
    </w:p>
    <w:p>
      <w:pPr>
        <w:ind w:left="2100" w:hanging="639"/>
        <w:spacing w:after="0"/>
        <w:tabs>
          <w:tab w:leader="none" w:pos="2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Replace or repair damaged ceiling tiles in the Premises.</w:t>
      </w:r>
    </w:p>
    <w:p>
      <w:pPr>
        <w:spacing w:after="0" w:line="25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addition to the foregoing, Landlord shall deliver the Premises to Tenant with the lighting, electrical, HVAC and plumbing systems in the Premises in good working mechanical condition and Landlord shall repair any failure in the functioning of such equipment and systems that is reported by Tenant to Landlord within thirty (30) days following the Commencement Date, but in no event shall Landlord’s foregoing repair obligations extend to any repairs required as a result of misuse by Tenant or its employees, agents or contractors. Subject to Landlord’s compliance with the foregoing, after the end of such thirty (30) day period, the provisions of Paragraph 7.1 below shall apply to the maintenance and repair of the aforementioned equipment and systems.</w:t>
      </w:r>
    </w:p>
    <w:p>
      <w:pPr>
        <w:spacing w:after="0" w:line="157"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Common Areas - Definition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Common Areas</w:t>
      </w:r>
      <w:r>
        <w:rPr>
          <w:rFonts w:ascii="Arial" w:cs="Arial" w:eastAsia="Arial" w:hAnsi="Arial"/>
          <w:sz w:val="18"/>
          <w:szCs w:val="18"/>
          <w:color w:val="auto"/>
        </w:rPr>
        <w:t>” are all areas and facilities outside the Premises and within the exterior boundary line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Center and interior utility raceways within the Premises that are provided and designated by the Landlord from time to time for the general nonexclusive use of Landlord, Tenant, and other tenants of the Industrial Center and their respective employees, suppliers, shippers, tenants, contractors, and invitees.</w:t>
      </w:r>
    </w:p>
    <w:p>
      <w:pPr>
        <w:spacing w:after="0" w:line="18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Common Areas - Tenant’s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hereby grants to Tenant, for the benefit of Tenant and its employees, suppliers, shippers,</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contractors, customers, and invitees, during the term of this Lease, the nonexclusive right to use, in common with others entitled to such use, the Common Areas as they exist from time to time, subject to any rights, powers, and privileges reserved by Landlord under the terms hereof or under the terms of any rules and regulations or covenants, conditions, and restrictions governing the use of the Industrial Center.</w:t>
      </w:r>
    </w:p>
    <w:p>
      <w:pPr>
        <w:spacing w:after="0" w:line="16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Common Areas -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exclusive control and management of the Common Areas and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from time to time, to establish, modify, amend, and enforce reasonable Rules and Regulations with respect thereto in accordance with Paragraph 16.19.</w:t>
      </w:r>
    </w:p>
    <w:p>
      <w:pPr>
        <w:spacing w:after="0" w:line="176"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Common Area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have the right from time to time, in Landlord’s sole discretion, to do the following,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use commercially reasonable efforts to minimize interference with Tenant’s use of the Common Areas</w:t>
      </w:r>
    </w:p>
    <w:p>
      <w:pPr>
        <w:spacing w:after="0" w:line="167" w:lineRule="exact"/>
        <w:rPr>
          <w:sz w:val="20"/>
          <w:szCs w:val="20"/>
          <w:color w:val="auto"/>
        </w:rPr>
      </w:pPr>
    </w:p>
    <w:p>
      <w:pPr>
        <w:ind w:firstLine="1138"/>
        <w:spacing w:after="0" w:line="340" w:lineRule="auto"/>
        <w:tabs>
          <w:tab w:leader="none" w:pos="1593"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locations, size, shape, and number of driveways, entrances, parking spaces, parking areas, loading and unloading areas, ingress, egress, direction of traffic, landscaped areas, walkways, and utility raceways;</w:t>
      </w:r>
    </w:p>
    <w:p>
      <w:pPr>
        <w:spacing w:after="0" w:line="124" w:lineRule="exact"/>
        <w:rPr>
          <w:rFonts w:ascii="Arial" w:cs="Arial" w:eastAsia="Arial" w:hAnsi="Arial"/>
          <w:sz w:val="16"/>
          <w:szCs w:val="16"/>
          <w:color w:val="auto"/>
        </w:rPr>
      </w:pPr>
    </w:p>
    <w:p>
      <w:pPr>
        <w:ind w:left="1720" w:hanging="582"/>
        <w:spacing w:after="0"/>
        <w:tabs>
          <w:tab w:leader="none" w:pos="1720"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To close temporarily any of the Common Areas for maintenance purposes so long as reasonable access to the Premises remains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available;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14" w:name="page515"/>
    <w:bookmarkEnd w:id="514"/>
    <w:p>
      <w:pPr>
        <w:ind w:left="1560" w:hanging="422"/>
        <w:spacing w:after="0"/>
        <w:tabs>
          <w:tab w:leader="none" w:pos="15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designate other land outside the boundaries of the Industrial Center to be a part of the Common Areas;</w:t>
      </w:r>
    </w:p>
    <w:p>
      <w:pPr>
        <w:spacing w:after="0" w:line="223" w:lineRule="exact"/>
        <w:rPr>
          <w:rFonts w:ascii="Arial" w:cs="Arial" w:eastAsia="Arial" w:hAnsi="Arial"/>
          <w:sz w:val="18"/>
          <w:szCs w:val="18"/>
          <w:color w:val="auto"/>
        </w:rPr>
      </w:pPr>
    </w:p>
    <w:p>
      <w:pPr>
        <w:ind w:left="1560" w:hanging="422"/>
        <w:spacing w:after="0"/>
        <w:tabs>
          <w:tab w:leader="none" w:pos="15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add additional buildings and improvements to the Common Areas;</w:t>
      </w:r>
    </w:p>
    <w:p>
      <w:pPr>
        <w:spacing w:after="0" w:line="223" w:lineRule="exact"/>
        <w:rPr>
          <w:rFonts w:ascii="Arial" w:cs="Arial" w:eastAsia="Arial" w:hAnsi="Arial"/>
          <w:sz w:val="18"/>
          <w:szCs w:val="18"/>
          <w:color w:val="auto"/>
        </w:rPr>
      </w:pPr>
    </w:p>
    <w:p>
      <w:pPr>
        <w:ind w:left="1640" w:hanging="502"/>
        <w:spacing w:after="0"/>
        <w:tabs>
          <w:tab w:leader="none" w:pos="164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Industrial Center, or any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portion thereof; and</w:t>
      </w:r>
    </w:p>
    <w:p>
      <w:pPr>
        <w:spacing w:after="0" w:line="209" w:lineRule="exact"/>
        <w:rPr>
          <w:rFonts w:ascii="Arial" w:cs="Arial" w:eastAsia="Arial" w:hAnsi="Arial"/>
          <w:sz w:val="16"/>
          <w:szCs w:val="16"/>
          <w:color w:val="auto"/>
        </w:rPr>
      </w:pPr>
    </w:p>
    <w:p>
      <w:pPr>
        <w:ind w:firstLine="1138"/>
        <w:spacing w:after="0" w:line="276" w:lineRule="auto"/>
        <w:tabs>
          <w:tab w:leader="none" w:pos="1589"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To do and perform such other acts and make such other changes in, to, or with respect to the Common Areas and Industrial Center as Landlord may, in the exercise of sound business judgment, deem to be appropriate.</w:t>
      </w:r>
    </w:p>
    <w:p>
      <w:pPr>
        <w:spacing w:after="0" w:line="166"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u w:val="single" w:color="auto"/>
          <w:color w:val="auto"/>
        </w:rPr>
        <w:t>Parking</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use Tenant’s prorata share of vehicle parking spaces (which is two (2) parking spaces per each 1,000 rentable square feet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Premises), on an unreserved and unassigned basis, on those portions of the Common Areas designated by Landlord for such parking. Landlord shall exercise reasonable efforts to ensure that such spaces are available to Tenant for its use, but Landlord shall not be required to enforce Tenant’s right to use the same. Tenant shall not use more parking spaces than such number. Such parking spaces shall be used only for parking by vehicles no larger than full sized passenger automobiles or pick-up trucks. In no event shall Tenant or any of Tenant’s Representatives park or permit any parking of vehicles overnight; provided, however, that Tenant may periodically park one (1) vehicle overnight with Tenant’s prior notice to Landlord and Landlord’s oral approval thereof. Tenant shall not permit or allow any vehicles that belong to or are controlled by Tenant or Tenant’s employees, suppliers, shippers, customers or invitees to be loaded, unloaded or parked in areas other than those designated by Landlord for such activities. If Tenant permits or allows any of the prohibited activities described herein, then Landlord shall have the right, without notice, in addition to such other rights and remedies that it may have, to remove or tow away the vehicle involved and charge the cost to Tenant, which cost shall be immediately payable as additional rent upon demand by Landlord. Landlord may change the number of parking spaces and configuration of the parking areas at any time, and may assign reserved parking spaces to any tenant, in Landlord’s sole discretion; provided that Tenant’s parking allocation provided for above is not affected.</w:t>
      </w:r>
    </w:p>
    <w:p>
      <w:pPr>
        <w:spacing w:after="0" w:line="168" w:lineRule="exact"/>
        <w:rPr>
          <w:sz w:val="20"/>
          <w:szCs w:val="20"/>
          <w:color w:val="auto"/>
        </w:rPr>
      </w:pPr>
    </w:p>
    <w:p>
      <w:pPr>
        <w:ind w:left="660" w:hanging="652"/>
        <w:spacing w:after="0"/>
        <w:tabs>
          <w:tab w:leader="none" w:pos="6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Date, Expiration Date, and Term of this Lease are as specified in Paragraph 1.3.</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Early Access</w:t>
      </w:r>
      <w:r>
        <w:rPr>
          <w:rFonts w:ascii="Arial" w:cs="Arial" w:eastAsia="Arial" w:hAnsi="Arial"/>
          <w:sz w:val="18"/>
          <w:szCs w:val="18"/>
          <w:b w:val="1"/>
          <w:bCs w:val="1"/>
          <w:color w:val="auto"/>
        </w:rPr>
        <w:t xml:space="preserve">. </w:t>
      </w:r>
      <w:r>
        <w:rPr>
          <w:rFonts w:ascii="Arial" w:cs="Arial" w:eastAsia="Arial" w:hAnsi="Arial"/>
          <w:sz w:val="18"/>
          <w:szCs w:val="18"/>
          <w:color w:val="auto"/>
        </w:rPr>
        <w:t>If, at Tenant’s request, Landlord permits Tenant to take occupancy of the Premises prior to the Commencement Date,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shall be the date of such early occupancy by Tenant; provided, however, that the Expiration Date shall not be affected by such early occupancy.</w:t>
      </w:r>
    </w:p>
    <w:p>
      <w:pPr>
        <w:spacing w:after="0" w:line="180" w:lineRule="exact"/>
        <w:rPr>
          <w:sz w:val="20"/>
          <w:szCs w:val="20"/>
          <w:color w:val="auto"/>
        </w:rPr>
      </w:pPr>
    </w:p>
    <w:p>
      <w:pPr>
        <w:jc w:val="both"/>
        <w:ind w:firstLine="1131"/>
        <w:spacing w:after="0" w:line="269" w:lineRule="auto"/>
        <w:rPr>
          <w:sz w:val="20"/>
          <w:szCs w:val="20"/>
          <w:color w:val="auto"/>
        </w:rPr>
      </w:pPr>
      <w:r>
        <w:rPr>
          <w:rFonts w:ascii="Arial" w:cs="Arial" w:eastAsia="Arial" w:hAnsi="Arial"/>
          <w:sz w:val="17"/>
          <w:szCs w:val="17"/>
          <w:color w:val="auto"/>
        </w:rPr>
        <w:t>Notwithstanding anything to the contrary in this Lease, Tenant may, during the seven (7) day period prior to the Commencement Date, enter the Premises for the purpose of installing telephones, electronic communication or related equipment, fixtures, furniture and equipment, provided that Tenant shall be solely responsible for any of such equipment, fixtures, furniture or material and for any loss or damage thereto from any cause whatsoever, excluding only the gross negligence or deliberate misconduct of Landlord or Landlord’s contractors. Such early access to the Premises and such installation shall be permitted only to the extent that Landlord determines that such early access and installation activities will not delay Landlord’s completion of Landlord’s Work. The provisions of the Paragraphs 7.3, 14 and 15 below shall apply in full during the period of any such early entry, and Tenant shall (i) provide certificates of insurance evidencing the existence and amounts of liability insurance carried by Tenant and its agents and contractors, reasonably satisfactory to Landlord, prior to such early entry, and (ii) comply with all applicable Applicable Requirements applicable to such early entry work in the Premises. Tenant’s early entry into the Premises solely for the purposes of this grammatical paragraph shall not constitute “occupancy of the Premises” for purposes of the immediately preceding grammatical paragraph.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15" w:name="page516"/>
    <w:bookmarkEnd w:id="515"/>
    <w:p>
      <w:pPr>
        <w:ind w:firstLine="646"/>
        <w:spacing w:after="0" w:line="280"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Commencement Date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At the request of Landlord, Tenant shall execute and deliver to Landlord a completed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Commencement Date Certificate</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63" w:lineRule="exact"/>
        <w:rPr>
          <w:sz w:val="20"/>
          <w:szCs w:val="20"/>
          <w:color w:val="auto"/>
        </w:rPr>
      </w:pPr>
    </w:p>
    <w:p>
      <w:pPr>
        <w:ind w:left="660" w:hanging="652"/>
        <w:spacing w:after="0"/>
        <w:tabs>
          <w:tab w:leader="none" w:pos="66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to Landlord Base Rent and other monetary obligations of Tenant to Landlord under the terms of this Lease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monetary obligations are herein referred to as “</w:t>
      </w:r>
      <w:r>
        <w:rPr>
          <w:rFonts w:ascii="Arial" w:cs="Arial" w:eastAsia="Arial" w:hAnsi="Arial"/>
          <w:sz w:val="18"/>
          <w:szCs w:val="18"/>
          <w:b w:val="1"/>
          <w:bCs w:val="1"/>
          <w:color w:val="auto"/>
        </w:rPr>
        <w:t>Additional Rent</w:t>
      </w:r>
      <w:r>
        <w:rPr>
          <w:rFonts w:ascii="Arial" w:cs="Arial" w:eastAsia="Arial" w:hAnsi="Arial"/>
          <w:sz w:val="18"/>
          <w:szCs w:val="18"/>
          <w:color w:val="auto"/>
        </w:rPr>
        <w:t>”) in lawful money of the United States, without offset, deduction, prior notice or demand, in advance on or before the first day of each month. Base Rent and Additional Rent for any period during the term hereof which is for less than one full month shall be prorated based upon the actual number of days of the month involved. Payment of Base Rent and Additional Rent shall be made to Landlord at its address stated herein or to such other persons or at such other addresses as Landlord may from time to time designate in writing to Tenant. Base Rent and Additional Rent are collectively referred to as “</w:t>
      </w:r>
      <w:r>
        <w:rPr>
          <w:rFonts w:ascii="Arial" w:cs="Arial" w:eastAsia="Arial" w:hAnsi="Arial"/>
          <w:sz w:val="18"/>
          <w:szCs w:val="18"/>
          <w:b w:val="1"/>
          <w:bCs w:val="1"/>
          <w:color w:val="auto"/>
        </w:rPr>
        <w:t>Rent</w:t>
      </w:r>
      <w:r>
        <w:rPr>
          <w:rFonts w:ascii="Arial" w:cs="Arial" w:eastAsia="Arial" w:hAnsi="Arial"/>
          <w:sz w:val="18"/>
          <w:szCs w:val="18"/>
          <w:color w:val="auto"/>
        </w:rPr>
        <w:t>.” All monetary obligations of Tenant to Landlord under the terms of this Lease are deemed to be Rent.</w:t>
      </w:r>
    </w:p>
    <w:p>
      <w:pPr>
        <w:spacing w:after="0" w:line="189"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Operating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to Landlord on the first day of each month during the term hereof, in addition to the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Share of all Operating Expenses in accordance with the following provisions.</w:t>
      </w:r>
    </w:p>
    <w:p>
      <w:pPr>
        <w:spacing w:after="0" w:line="163" w:lineRule="exact"/>
        <w:rPr>
          <w:sz w:val="20"/>
          <w:szCs w:val="20"/>
          <w:color w:val="auto"/>
        </w:rPr>
      </w:pPr>
    </w:p>
    <w:p>
      <w:pPr>
        <w:ind w:firstLine="1138"/>
        <w:spacing w:after="0" w:line="345" w:lineRule="auto"/>
        <w:tabs>
          <w:tab w:leader="none" w:pos="1581" w:val="left"/>
        </w:tabs>
        <w:numPr>
          <w:ilvl w:val="0"/>
          <w:numId w:val="478"/>
        </w:numPr>
        <w:rPr>
          <w:rFonts w:ascii="Arial" w:cs="Arial" w:eastAsia="Arial" w:hAnsi="Arial"/>
          <w:sz w:val="16"/>
          <w:szCs w:val="16"/>
          <w:color w:val="auto"/>
        </w:rPr>
      </w:pPr>
      <w:r>
        <w:rPr>
          <w:rFonts w:ascii="Arial" w:cs="Arial" w:eastAsia="Arial" w:hAnsi="Arial"/>
          <w:sz w:val="16"/>
          <w:szCs w:val="16"/>
          <w:u w:val="single" w:color="auto"/>
          <w:color w:val="auto"/>
        </w:rPr>
        <w:t>Definition of Operating Expenses</w:t>
      </w:r>
      <w:r>
        <w:rPr>
          <w:rFonts w:ascii="Arial" w:cs="Arial" w:eastAsia="Arial" w:hAnsi="Arial"/>
          <w:sz w:val="16"/>
          <w:szCs w:val="16"/>
          <w:color w:val="auto"/>
        </w:rPr>
        <w:t>. “</w:t>
      </w:r>
      <w:r>
        <w:rPr>
          <w:rFonts w:ascii="Arial" w:cs="Arial" w:eastAsia="Arial" w:hAnsi="Arial"/>
          <w:sz w:val="16"/>
          <w:szCs w:val="16"/>
          <w:b w:val="1"/>
          <w:bCs w:val="1"/>
          <w:color w:val="auto"/>
        </w:rPr>
        <w:t>Operating Expenses</w:t>
      </w:r>
      <w:r>
        <w:rPr>
          <w:rFonts w:ascii="Arial" w:cs="Arial" w:eastAsia="Arial" w:hAnsi="Arial"/>
          <w:sz w:val="16"/>
          <w:szCs w:val="16"/>
          <w:color w:val="auto"/>
        </w:rPr>
        <w:t>” are all costs incurred by Landlord relating to the ownership and/or operation of the Industrial Center, Building, and Premises including, but not limited to, the following (and excluding the items set forth in Paragraph 4.2(g), below):</w:t>
      </w:r>
    </w:p>
    <w:p>
      <w:pPr>
        <w:spacing w:after="0" w:line="121" w:lineRule="exact"/>
        <w:rPr>
          <w:rFonts w:ascii="Arial" w:cs="Arial" w:eastAsia="Arial" w:hAnsi="Arial"/>
          <w:sz w:val="16"/>
          <w:szCs w:val="16"/>
          <w:color w:val="auto"/>
        </w:rPr>
      </w:pPr>
    </w:p>
    <w:p>
      <w:pPr>
        <w:jc w:val="both"/>
        <w:ind w:firstLine="1623"/>
        <w:spacing w:after="0" w:line="310" w:lineRule="auto"/>
        <w:tabs>
          <w:tab w:leader="none" w:pos="2143" w:val="left"/>
        </w:tabs>
        <w:numPr>
          <w:ilvl w:val="1"/>
          <w:numId w:val="478"/>
        </w:numPr>
        <w:rPr>
          <w:rFonts w:ascii="Arial" w:cs="Arial" w:eastAsia="Arial" w:hAnsi="Arial"/>
          <w:sz w:val="16"/>
          <w:szCs w:val="16"/>
          <w:color w:val="auto"/>
        </w:rPr>
      </w:pPr>
      <w:r>
        <w:rPr>
          <w:rFonts w:ascii="Arial" w:cs="Arial" w:eastAsia="Arial" w:hAnsi="Arial"/>
          <w:sz w:val="16"/>
          <w:szCs w:val="16"/>
          <w:color w:val="auto"/>
        </w:rPr>
        <w:t>Expenses relating to the ownership, management, maintenance, repair, replacement and/or operation of the Common Areas, including, without limitation, parking areas, loading and unloading areas, trash areas, roadways, sidewalks, walkways, parkways, driveways, rail spurs, landscaped areas, striping, bumpers, irrigation systems, drainage systems, lighting facilities, fences and gates, exterior signs, and/or tenant directories.</w:t>
      </w:r>
    </w:p>
    <w:p>
      <w:pPr>
        <w:spacing w:after="0" w:line="148" w:lineRule="exact"/>
        <w:rPr>
          <w:rFonts w:ascii="Arial" w:cs="Arial" w:eastAsia="Arial" w:hAnsi="Arial"/>
          <w:sz w:val="16"/>
          <w:szCs w:val="16"/>
          <w:color w:val="auto"/>
        </w:rPr>
      </w:pPr>
    </w:p>
    <w:p>
      <w:pPr>
        <w:ind w:left="2060" w:hanging="437"/>
        <w:spacing w:after="0"/>
        <w:tabs>
          <w:tab w:leader="none" w:pos="20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Water, gas, electricity, telephone, and other utilities not paid for directly by tenants of the Industrial Center.</w:t>
      </w:r>
    </w:p>
    <w:p>
      <w:pPr>
        <w:spacing w:after="0" w:line="223" w:lineRule="exact"/>
        <w:rPr>
          <w:rFonts w:ascii="Arial" w:cs="Arial" w:eastAsia="Arial" w:hAnsi="Arial"/>
          <w:sz w:val="18"/>
          <w:szCs w:val="18"/>
          <w:color w:val="auto"/>
        </w:rPr>
      </w:pPr>
    </w:p>
    <w:p>
      <w:pPr>
        <w:jc w:val="both"/>
        <w:ind w:firstLine="1623"/>
        <w:spacing w:after="0" w:line="256" w:lineRule="auto"/>
        <w:tabs>
          <w:tab w:leader="none" w:pos="223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Trash disposal, janitorial, security and the management and administration of any and all portions of the Industrial Center, including, without limitation, a property management fee (which property management fee shall not exceed four percent (4%) of gross revenue from the Industrial Center), accounting, auditing, billing, postage, salaries and benefits for clerical and supervisory employees, whether located at the Industrial Center or off-site, payroll taxes and legal and accounting costs and all fees, licenses and permits related to the ownership, operation and management of the Industrial Center;</w:t>
      </w:r>
    </w:p>
    <w:p>
      <w:pPr>
        <w:spacing w:after="0" w:line="188" w:lineRule="exact"/>
        <w:rPr>
          <w:rFonts w:ascii="Arial" w:cs="Arial" w:eastAsia="Arial" w:hAnsi="Arial"/>
          <w:sz w:val="18"/>
          <w:szCs w:val="18"/>
          <w:color w:val="auto"/>
        </w:rPr>
      </w:pPr>
    </w:p>
    <w:p>
      <w:pPr>
        <w:ind w:left="2100" w:hanging="477"/>
        <w:spacing w:after="0"/>
        <w:tabs>
          <w:tab w:leader="none" w:pos="210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Deleted.</w:t>
      </w:r>
    </w:p>
    <w:p>
      <w:pPr>
        <w:spacing w:after="0" w:line="223" w:lineRule="exact"/>
        <w:rPr>
          <w:rFonts w:ascii="Arial" w:cs="Arial" w:eastAsia="Arial" w:hAnsi="Arial"/>
          <w:sz w:val="18"/>
          <w:szCs w:val="18"/>
          <w:color w:val="auto"/>
        </w:rPr>
      </w:pPr>
    </w:p>
    <w:p>
      <w:pPr>
        <w:ind w:left="2060" w:hanging="437"/>
        <w:spacing w:after="0"/>
        <w:tabs>
          <w:tab w:leader="none" w:pos="20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Real Property Taxes.</w:t>
      </w:r>
    </w:p>
    <w:p>
      <w:pPr>
        <w:spacing w:after="0" w:line="223" w:lineRule="exact"/>
        <w:rPr>
          <w:rFonts w:ascii="Arial" w:cs="Arial" w:eastAsia="Arial" w:hAnsi="Arial"/>
          <w:sz w:val="18"/>
          <w:szCs w:val="18"/>
          <w:color w:val="auto"/>
        </w:rPr>
      </w:pPr>
    </w:p>
    <w:p>
      <w:pPr>
        <w:ind w:right="20" w:firstLine="1623"/>
        <w:spacing w:after="0" w:line="276" w:lineRule="auto"/>
        <w:tabs>
          <w:tab w:leader="none" w:pos="227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Premiums and all applicable deductibles (in commercially reasonable amounts) for the insurance policies maintained by Landlord under paragraph 8 below.</w:t>
      </w:r>
    </w:p>
    <w:p>
      <w:pPr>
        <w:spacing w:after="0" w:line="169" w:lineRule="exact"/>
        <w:rPr>
          <w:rFonts w:ascii="Arial" w:cs="Arial" w:eastAsia="Arial" w:hAnsi="Arial"/>
          <w:sz w:val="18"/>
          <w:szCs w:val="18"/>
          <w:color w:val="auto"/>
        </w:rPr>
      </w:pPr>
    </w:p>
    <w:p>
      <w:pPr>
        <w:ind w:left="2160" w:hanging="537"/>
        <w:spacing w:after="0"/>
        <w:tabs>
          <w:tab w:leader="none" w:pos="216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Environmental monitoring and insurance programs.</w:t>
      </w:r>
    </w:p>
    <w:p>
      <w:pPr>
        <w:spacing w:after="0" w:line="223" w:lineRule="exact"/>
        <w:rPr>
          <w:rFonts w:ascii="Arial" w:cs="Arial" w:eastAsia="Arial" w:hAnsi="Arial"/>
          <w:sz w:val="18"/>
          <w:szCs w:val="18"/>
          <w:color w:val="auto"/>
        </w:rPr>
      </w:pPr>
    </w:p>
    <w:p>
      <w:pPr>
        <w:jc w:val="both"/>
        <w:ind w:firstLine="1623"/>
        <w:spacing w:after="0" w:line="295" w:lineRule="auto"/>
        <w:tabs>
          <w:tab w:leader="none" w:pos="2284" w:val="left"/>
        </w:tabs>
        <w:numPr>
          <w:ilvl w:val="1"/>
          <w:numId w:val="478"/>
        </w:numPr>
        <w:rPr>
          <w:rFonts w:ascii="Arial" w:cs="Arial" w:eastAsia="Arial" w:hAnsi="Arial"/>
          <w:sz w:val="16"/>
          <w:szCs w:val="16"/>
          <w:color w:val="auto"/>
        </w:rPr>
      </w:pPr>
      <w:r>
        <w:rPr>
          <w:rFonts w:ascii="Arial" w:cs="Arial" w:eastAsia="Arial" w:hAnsi="Arial"/>
          <w:sz w:val="16"/>
          <w:szCs w:val="16"/>
          <w:color w:val="auto"/>
        </w:rPr>
        <w:t>Monthly amortization of capital improvements to any portion of the Industrial Center which are not expensed by Landlord, which amortization shall be over a reasonable period, as determined by Landlord in accordance with generally acceptable property management practices, together with interest on the unamortized balance at a rate per annum equal to three (3) percentage points over the six-month United States Treasury bill rate in effect at the time such item is constructed or acquired, or at such higher rate as may have been paid by Landlord on funds borrowed for the purpose of constructing or acquiring such item, but in either case not more than the maximum rate permitted by law at the time such item is constructed or acquired.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16" w:name="page517"/>
    <w:bookmarkEnd w:id="516"/>
    <w:p>
      <w:pPr>
        <w:ind w:right="20" w:firstLine="1623"/>
        <w:spacing w:after="0" w:line="276" w:lineRule="auto"/>
        <w:tabs>
          <w:tab w:leader="none" w:pos="2163" w:val="left"/>
        </w:tabs>
        <w:numPr>
          <w:ilvl w:val="1"/>
          <w:numId w:val="479"/>
        </w:numPr>
        <w:rPr>
          <w:rFonts w:ascii="Arial" w:cs="Arial" w:eastAsia="Arial" w:hAnsi="Arial"/>
          <w:sz w:val="18"/>
          <w:szCs w:val="18"/>
          <w:color w:val="auto"/>
        </w:rPr>
      </w:pPr>
      <w:r>
        <w:rPr>
          <w:rFonts w:ascii="Arial" w:cs="Arial" w:eastAsia="Arial" w:hAnsi="Arial"/>
          <w:sz w:val="18"/>
          <w:szCs w:val="18"/>
          <w:color w:val="auto"/>
        </w:rPr>
        <w:t>Maintenance of the Industrial Center, including, but not limited to, painting, caulking, and repair and replacement of Building components, including, but not limited to, roof membrane, elevators, and fire detection and sprinkler systems.</w:t>
      </w:r>
    </w:p>
    <w:p>
      <w:pPr>
        <w:spacing w:after="0" w:line="165" w:lineRule="exact"/>
        <w:rPr>
          <w:rFonts w:ascii="Arial" w:cs="Arial" w:eastAsia="Arial" w:hAnsi="Arial"/>
          <w:sz w:val="18"/>
          <w:szCs w:val="18"/>
          <w:color w:val="auto"/>
        </w:rPr>
      </w:pPr>
    </w:p>
    <w:p>
      <w:pPr>
        <w:ind w:right="20" w:firstLine="1623"/>
        <w:spacing w:after="0" w:line="280" w:lineRule="auto"/>
        <w:tabs>
          <w:tab w:leader="none" w:pos="2152" w:val="left"/>
        </w:tabs>
        <w:numPr>
          <w:ilvl w:val="1"/>
          <w:numId w:val="479"/>
        </w:numPr>
        <w:rPr>
          <w:rFonts w:ascii="Arial" w:cs="Arial" w:eastAsia="Arial" w:hAnsi="Arial"/>
          <w:sz w:val="18"/>
          <w:szCs w:val="18"/>
          <w:color w:val="auto"/>
        </w:rPr>
      </w:pPr>
      <w:r>
        <w:rPr>
          <w:rFonts w:ascii="Arial" w:cs="Arial" w:eastAsia="Arial" w:hAnsi="Arial"/>
          <w:sz w:val="18"/>
          <w:szCs w:val="18"/>
          <w:color w:val="auto"/>
        </w:rPr>
        <w:t>Heating, ventilating, and air conditioning systems (“</w:t>
      </w:r>
      <w:r>
        <w:rPr>
          <w:rFonts w:ascii="Arial" w:cs="Arial" w:eastAsia="Arial" w:hAnsi="Arial"/>
          <w:sz w:val="18"/>
          <w:szCs w:val="18"/>
          <w:b w:val="1"/>
          <w:bCs w:val="1"/>
          <w:color w:val="auto"/>
        </w:rPr>
        <w:t>HVAC</w:t>
      </w:r>
      <w:r>
        <w:rPr>
          <w:rFonts w:ascii="Arial" w:cs="Arial" w:eastAsia="Arial" w:hAnsi="Arial"/>
          <w:sz w:val="18"/>
          <w:szCs w:val="18"/>
          <w:color w:val="auto"/>
        </w:rPr>
        <w:t>”) the costs for which are not the sole responsibility of Tenant or another tenant of the Industrial Center.</w:t>
      </w:r>
    </w:p>
    <w:p>
      <w:pPr>
        <w:spacing w:after="0" w:line="163" w:lineRule="exact"/>
        <w:rPr>
          <w:rFonts w:ascii="Arial" w:cs="Arial" w:eastAsia="Arial" w:hAnsi="Arial"/>
          <w:sz w:val="18"/>
          <w:szCs w:val="18"/>
          <w:color w:val="auto"/>
        </w:rPr>
      </w:pPr>
    </w:p>
    <w:p>
      <w:pPr>
        <w:jc w:val="both"/>
        <w:ind w:firstLine="1138"/>
        <w:spacing w:after="0" w:line="257" w:lineRule="auto"/>
        <w:tabs>
          <w:tab w:leader="none" w:pos="1591"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Tenant’s Share</w:t>
      </w:r>
      <w:r>
        <w:rPr>
          <w:rFonts w:ascii="Arial" w:cs="Arial" w:eastAsia="Arial" w:hAnsi="Arial"/>
          <w:sz w:val="18"/>
          <w:szCs w:val="18"/>
          <w:color w:val="auto"/>
        </w:rPr>
        <w:t>. Tenant’s Share of Operating Expenses that are not specifically attributed to the Premises or Building (“</w:t>
      </w:r>
      <w:r>
        <w:rPr>
          <w:rFonts w:ascii="Arial" w:cs="Arial" w:eastAsia="Arial" w:hAnsi="Arial"/>
          <w:sz w:val="18"/>
          <w:szCs w:val="18"/>
          <w:b w:val="1"/>
          <w:bCs w:val="1"/>
          <w:color w:val="auto"/>
        </w:rPr>
        <w:t>Common Area</w:t>
      </w:r>
      <w:r>
        <w:rPr>
          <w:rFonts w:ascii="Arial" w:cs="Arial" w:eastAsia="Arial" w:hAnsi="Arial"/>
          <w:sz w:val="18"/>
          <w:szCs w:val="18"/>
          <w:color w:val="auto"/>
        </w:rPr>
        <w:t xml:space="preserve"> </w:t>
      </w:r>
      <w:r>
        <w:rPr>
          <w:rFonts w:ascii="Arial" w:cs="Arial" w:eastAsia="Arial" w:hAnsi="Arial"/>
          <w:sz w:val="18"/>
          <w:szCs w:val="18"/>
          <w:b w:val="1"/>
          <w:bCs w:val="1"/>
          <w:color w:val="auto"/>
        </w:rPr>
        <w:t>Operating Expenses</w:t>
      </w:r>
      <w:r>
        <w:rPr>
          <w:rFonts w:ascii="Arial" w:cs="Arial" w:eastAsia="Arial" w:hAnsi="Arial"/>
          <w:sz w:val="18"/>
          <w:szCs w:val="18"/>
          <w:color w:val="auto"/>
        </w:rPr>
        <w:t>”) shall be that percentage shown in Paragraph 1.5(a). Tenant’s Share of Operating Expenses that are attributable to the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Building Operating Expenses</w:t>
      </w:r>
      <w:r>
        <w:rPr>
          <w:rFonts w:ascii="Arial" w:cs="Arial" w:eastAsia="Arial" w:hAnsi="Arial"/>
          <w:sz w:val="18"/>
          <w:szCs w:val="18"/>
          <w:color w:val="auto"/>
        </w:rPr>
        <w:t>”) shall be that percentage shown in Paragraph 1.5(b). Landlord, in its reasonable discretion, shall determine which Operating Expenses are Common Area Operating Expenses, Building Operating Expenses, or expenses to be entirely borne by Tenant. Tenant’s Share of Real Property Taxes shall be the percentage shown in Paragraph 1.5(c).</w:t>
      </w:r>
    </w:p>
    <w:p>
      <w:pPr>
        <w:spacing w:after="0" w:line="187" w:lineRule="exact"/>
        <w:rPr>
          <w:rFonts w:ascii="Arial" w:cs="Arial" w:eastAsia="Arial" w:hAnsi="Arial"/>
          <w:sz w:val="18"/>
          <w:szCs w:val="18"/>
          <w:color w:val="auto"/>
        </w:rPr>
      </w:pPr>
    </w:p>
    <w:p>
      <w:pPr>
        <w:ind w:firstLine="1138"/>
        <w:spacing w:after="0" w:line="276" w:lineRule="auto"/>
        <w:tabs>
          <w:tab w:leader="none" w:pos="1702"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No Imposition</w:t>
      </w:r>
      <w:r>
        <w:rPr>
          <w:rFonts w:ascii="Arial" w:cs="Arial" w:eastAsia="Arial" w:hAnsi="Arial"/>
          <w:sz w:val="18"/>
          <w:szCs w:val="18"/>
          <w:color w:val="auto"/>
        </w:rPr>
        <w:t>. The inclusion of the improvements, facilities, and services set forth in Subparagraph 4.2(a) shall not impose any obligation upon Landlord either to have said improvements or facilities or to provide those services.</w:t>
      </w:r>
    </w:p>
    <w:p>
      <w:pPr>
        <w:spacing w:after="0" w:line="169" w:lineRule="exact"/>
        <w:rPr>
          <w:rFonts w:ascii="Arial" w:cs="Arial" w:eastAsia="Arial" w:hAnsi="Arial"/>
          <w:sz w:val="18"/>
          <w:szCs w:val="18"/>
          <w:color w:val="auto"/>
        </w:rPr>
      </w:pPr>
    </w:p>
    <w:p>
      <w:pPr>
        <w:jc w:val="both"/>
        <w:ind w:firstLine="1138"/>
        <w:spacing w:after="0" w:line="269" w:lineRule="auto"/>
        <w:tabs>
          <w:tab w:leader="none" w:pos="1577" w:val="left"/>
        </w:tabs>
        <w:numPr>
          <w:ilvl w:val="0"/>
          <w:numId w:val="480"/>
        </w:numPr>
        <w:rPr>
          <w:rFonts w:ascii="Arial" w:cs="Arial" w:eastAsia="Arial" w:hAnsi="Arial"/>
          <w:sz w:val="17"/>
          <w:szCs w:val="17"/>
          <w:color w:val="auto"/>
        </w:rPr>
      </w:pPr>
      <w:r>
        <w:rPr>
          <w:rFonts w:ascii="Arial" w:cs="Arial" w:eastAsia="Arial" w:hAnsi="Arial"/>
          <w:sz w:val="17"/>
          <w:szCs w:val="17"/>
          <w:u w:val="single" w:color="auto"/>
          <w:color w:val="auto"/>
        </w:rPr>
        <w:t>Monthly Estimated Payments</w:t>
      </w:r>
      <w:r>
        <w:rPr>
          <w:rFonts w:ascii="Arial" w:cs="Arial" w:eastAsia="Arial" w:hAnsi="Arial"/>
          <w:sz w:val="17"/>
          <w:szCs w:val="17"/>
          <w:color w:val="auto"/>
        </w:rPr>
        <w:t>. On or before the first day of each calendar year during the term hereof (or as soon as reasonably possible thereafter), Landlord shall give to Tenant notice of Landlord’s estimate of the amount that will be due from Tenant to Landlord under this Section 4.2 for such calendar year. On or before the first day of each month during the applicable calendar year, Tenant shall pay to Landlord one-twelfth (1/12th) of the estimated amounts due under this Section 4.2 for such year; provided, however, that if Landlord’s notice is not given prior to the first day of any calendar year Tenant shall continue to pay amounts due under this Section 4.2 on the basis of the prior year’s estimate until the month after Landlord’s notice is given. If at any time it appears to Landlord that the sums due Landlord from Tenant under this Section 4.2 will vary from Landlord’s estimate by more than five percent (5%), Landlord may, by written notice to Tenant, revise its estimate for such year, and subsequent payments by Tenant for such year shall be based upon the revised estimate. On the first monthly payment date after any new estimate is delivered to Tenant, Tenant shall also pay any accrued cost increases, based on such new estimate.</w:t>
      </w:r>
    </w:p>
    <w:p>
      <w:pPr>
        <w:spacing w:after="0" w:line="181" w:lineRule="exact"/>
        <w:rPr>
          <w:rFonts w:ascii="Arial" w:cs="Arial" w:eastAsia="Arial" w:hAnsi="Arial"/>
          <w:sz w:val="17"/>
          <w:szCs w:val="17"/>
          <w:color w:val="auto"/>
        </w:rPr>
      </w:pPr>
    </w:p>
    <w:p>
      <w:pPr>
        <w:jc w:val="both"/>
        <w:ind w:firstLine="1138"/>
        <w:spacing w:after="0" w:line="285" w:lineRule="auto"/>
        <w:tabs>
          <w:tab w:leader="none" w:pos="1607"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Annual Accounting</w:t>
      </w:r>
      <w:r>
        <w:rPr>
          <w:rFonts w:ascii="Arial" w:cs="Arial" w:eastAsia="Arial" w:hAnsi="Arial"/>
          <w:sz w:val="16"/>
          <w:szCs w:val="16"/>
          <w:color w:val="auto"/>
        </w:rPr>
        <w:t>. Within one hundred fifty (150) days after the close of each calendar year during the Lease term, or as soon after such one hundred fifty (150) day period as practicable, Landlord shall deliver to Tenant a statement of the amounts due from Tenant to Landlord under this Section 4.2 for such year. The annual statement shall be final and binding on Landlord and Tenant unless either party, within four (4) months after Tenant’s receipt thereof, shall contest or correct, as applicable, any item therein by giving written notice to the other, specifying each item contested or corrected, as applicable, and the reason therefor. Landlord and Tenant shall endeavor in good faith to resolve any issues raised by Tenant with regard to Operating Expenses covered by the annual statement and, in connection therewith, Landlord shall provide Tenant with pertinent information reasonably required for Tenant to review the contested items covered by the annual statement. Notwithstanding the foregoing, Tenant’s right to contest any portion of the annual statement shall be conditioned upon (i) Tenant having paid the total amounts billed by Landlord under this Paragraph 4.2(e) within the time stipulated below for payment (including, without limitation, the contested amounts) and (ii) Tenant executing a non-disclosure agreement on Landlord’s customary form providing for Tenant to keep confidential the information delivered to Tenant and the results of any such contest or any action taken by Landlord in response thereto. Notwithstanding the foregoing, Real Property Taxes included in such statement may be modified by any subsequent adjustment or retroactive application of Real Property Taxes affecting the calculation of such Real Property Taxes. If the annual statement shows that Tenant’s payments pursuant to Section 4.2(d) above for such calendar year exceeded Tenant’s obligations for the calendar year, Landlord shall credit the excess to the next succeeding installments due under Section 4.2(d). If the annual statement shows that Tenant’s payments for such calendar year pursuant to Section 4.2(d) were less than Tenant’s obligation for the calendar year, Tenant shall pay the deficiency to Landlord within thirty (30) days after delivery of such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17" w:name="page518"/>
    <w:bookmarkEnd w:id="517"/>
    <w:p>
      <w:pPr>
        <w:jc w:val="both"/>
        <w:ind w:firstLine="1138"/>
        <w:spacing w:after="0" w:line="285" w:lineRule="auto"/>
        <w:tabs>
          <w:tab w:leader="none" w:pos="1547" w:val="left"/>
        </w:tabs>
        <w:numPr>
          <w:ilvl w:val="1"/>
          <w:numId w:val="481"/>
        </w:numPr>
        <w:rPr>
          <w:rFonts w:ascii="Arial" w:cs="Arial" w:eastAsia="Arial" w:hAnsi="Arial"/>
          <w:sz w:val="17"/>
          <w:szCs w:val="17"/>
          <w:color w:val="auto"/>
        </w:rPr>
      </w:pPr>
      <w:r>
        <w:rPr>
          <w:rFonts w:ascii="Arial" w:cs="Arial" w:eastAsia="Arial" w:hAnsi="Arial"/>
          <w:sz w:val="17"/>
          <w:szCs w:val="17"/>
          <w:u w:val="single" w:color="auto"/>
          <w:color w:val="auto"/>
        </w:rPr>
        <w:t>Proration for Partial Lease Year</w:t>
      </w:r>
      <w:r>
        <w:rPr>
          <w:rFonts w:ascii="Arial" w:cs="Arial" w:eastAsia="Arial" w:hAnsi="Arial"/>
          <w:sz w:val="17"/>
          <w:szCs w:val="17"/>
          <w:color w:val="auto"/>
        </w:rPr>
        <w:t>. If this Lease terminates on a day other than the last day of a calendar year, the sums payable by Tenant pursuant to this Paragraph 4.2 that are applicable to the calendar year in which this Lease terminates shall be prorated on the basis that the number of days from the commencement of such calendar year to and including such termination date bears to three hundred sixty (360).</w:t>
      </w:r>
    </w:p>
    <w:p>
      <w:pPr>
        <w:spacing w:after="0" w:line="164" w:lineRule="exact"/>
        <w:rPr>
          <w:rFonts w:ascii="Arial" w:cs="Arial" w:eastAsia="Arial" w:hAnsi="Arial"/>
          <w:sz w:val="17"/>
          <w:szCs w:val="17"/>
          <w:color w:val="auto"/>
        </w:rPr>
      </w:pPr>
    </w:p>
    <w:p>
      <w:pPr>
        <w:jc w:val="both"/>
        <w:ind w:firstLine="1138"/>
        <w:spacing w:after="0" w:line="282" w:lineRule="auto"/>
        <w:tabs>
          <w:tab w:leader="none" w:pos="1618" w:val="left"/>
        </w:tabs>
        <w:numPr>
          <w:ilvl w:val="1"/>
          <w:numId w:val="481"/>
        </w:numPr>
        <w:rPr>
          <w:rFonts w:ascii="Arial" w:cs="Arial" w:eastAsia="Arial" w:hAnsi="Arial"/>
          <w:sz w:val="16"/>
          <w:szCs w:val="16"/>
          <w:color w:val="auto"/>
        </w:rPr>
      </w:pPr>
      <w:r>
        <w:rPr>
          <w:rFonts w:ascii="Arial" w:cs="Arial" w:eastAsia="Arial" w:hAnsi="Arial"/>
          <w:sz w:val="16"/>
          <w:szCs w:val="16"/>
          <w:u w:val="single" w:color="auto"/>
          <w:color w:val="auto"/>
        </w:rPr>
        <w:t>Exclusions from Operating Expenses</w:t>
      </w:r>
      <w:r>
        <w:rPr>
          <w:rFonts w:ascii="Arial" w:cs="Arial" w:eastAsia="Arial" w:hAnsi="Arial"/>
          <w:sz w:val="16"/>
          <w:szCs w:val="16"/>
          <w:color w:val="auto"/>
        </w:rPr>
        <w:t>. Notwithstanding anything to the contrary contained herein, for purposes of this Lease, the term “Operating Expenses” shall not include the following: (i) costs (including permit, license, and inspection fees) incurred in renovating, improving, decorating, painting, or redecorating vacant space or space for other tenants within the Industrial Center; (ii) legal and auditing fees (other than those fees reasonably incurred in connection with the ownership and operation of all or any portion the Industrial Center); (iii) leasing commissions, advertising expenses, and other costs incurred in connection with the original leasing of the Industrial Center or future re-leasing of any portion of the Industrial Center; (iv) depreciation of the Building or any other improvements situated within the Industrial Center; (v) any items for which Landlord is actually and directly reimbursed by any other tenant of the Industrial Center; (vi) costs of repairs or other work necessitated by fire, windstorm or other casualty and/or costs of repair or other work necessitated by the exercise of the right of eminent domain to the extent insurance proceeds or a condemnation award, as applicable, is actually received by Landlord for such purposes (provided that, for purposes of applying this item (vi), Landlord’s property insurance deductible, other than earthquake insurance, shall not exceed $100,000.00); provided, such costs of repairs or other work shall be paid by the parties in accordance with the provisions of Sections 7, 8 and 9 below; (vii) other than any interest charges as expressly provided for in this Lease, any interest or payments on any financing for any portion of the Industrial Center, interest and penalties incurred as a result of Landlord’s late payment of any invoice (provided that Tenant pays Tenant’s Share of expenses to Landlord when due as set forth herein), and any bad debt loss, rent loss or reserves for same; (viii) any payments under a ground lease or master lease;</w:t>
      </w:r>
    </w:p>
    <w:p>
      <w:pPr>
        <w:spacing w:after="0" w:line="3" w:lineRule="exact"/>
        <w:rPr>
          <w:rFonts w:ascii="Arial" w:cs="Arial" w:eastAsia="Arial" w:hAnsi="Arial"/>
          <w:sz w:val="16"/>
          <w:szCs w:val="16"/>
          <w:color w:val="auto"/>
        </w:rPr>
      </w:pPr>
    </w:p>
    <w:p>
      <w:pPr>
        <w:jc w:val="both"/>
        <w:ind w:firstLine="8"/>
        <w:spacing w:after="0" w:line="284" w:lineRule="auto"/>
        <w:tabs>
          <w:tab w:leader="none" w:pos="311"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costs, penalties or fines arising from Landlord’s violation of any Applicable Requirement or Landlord’s gross negligence or willful misconduct except to the extent such costs reflect costs that would have been reasonably incurred by Landlord absent such violation; (x) the cost of complying with </w:t>
      </w:r>
      <w:r>
        <w:rPr>
          <w:rFonts w:ascii="Arial" w:cs="Arial" w:eastAsia="Arial" w:hAnsi="Arial"/>
          <w:sz w:val="16"/>
          <w:szCs w:val="16"/>
          <w:i w:val="1"/>
          <w:iCs w:val="1"/>
          <w:color w:val="auto"/>
        </w:rPr>
        <w:t>any</w:t>
      </w:r>
      <w:r>
        <w:rPr>
          <w:rFonts w:ascii="Arial" w:cs="Arial" w:eastAsia="Arial" w:hAnsi="Arial"/>
          <w:sz w:val="16"/>
          <w:szCs w:val="16"/>
          <w:color w:val="auto"/>
        </w:rPr>
        <w:t xml:space="preserve"> Applicable Requirement with which the Industrial Center was required to comply as of the Commencement Date but did not comply; (xi) the cost of any hazardous substance abatement, removal, or other remedial activities, provided, however, Operating Expenses may include the costs attributable to those abatement, removal, or other remedial activities taken by Landlord in connection with the ordinary operation and maintenance of the Industrial Center, including costs of cleaning up any minor chemical spills, when such removal or spill is directly related to such ordinary maintenance and operation; or (xii) the cost of sculpture, paintings, or other objects of art (and insurance thereon or extraordinary security in connection therewith) that are not customary for a project such as the Industrial Center; (xiii) wages, salaries, benefits or other similar compensation paid to executive employees of Landlord or Landlord’s agents above the rank of project manager or the cost of labor and employees with respect to personnel not located at the Project on a full-time basis unless such costs are appropriately allocated between the Project and the other responsibilities of such personnel. Further, notwithstanding anything to the contrary in this Paragraph 4.2, in the event of damage to the Building due to earthquake, in no event shall Tenant’s Share of any earthquake deductible (or Tenant’s share of earthquake repairs that are not insured) on account of such earthquake exceed Sixty Thousand Dollars ($60,000.00).</w:t>
      </w:r>
    </w:p>
    <w:p>
      <w:pPr>
        <w:spacing w:after="0" w:line="168" w:lineRule="exact"/>
        <w:rPr>
          <w:sz w:val="20"/>
          <w:szCs w:val="20"/>
          <w:color w:val="auto"/>
        </w:rPr>
      </w:pPr>
    </w:p>
    <w:p>
      <w:pPr>
        <w:jc w:val="both"/>
        <w:ind w:firstLine="8"/>
        <w:spacing w:after="0" w:line="284" w:lineRule="auto"/>
        <w:tabs>
          <w:tab w:leader="none" w:pos="543" w:val="left"/>
        </w:tabs>
        <w:numPr>
          <w:ilvl w:val="0"/>
          <w:numId w:val="4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Upon execution of this Lease, Tenant shall pay to Landlord the Security Deposit specified in Paragraph 1.7 above as security for</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performance of all of Tenant’s covenants and obligations under this Lease; provided, however, that the Security Deposit is not an advance rent deposit or an advance payment of any other kind, nor a measure of Landlord’s damages upon Tenant’s default. Landlord shall not be required to segregate the Security Deposit from its other funds and no interest shall accrue or be payable to Tenant with respect thereto. Landlord may (but shall not be required to) use the Security Deposit or any portion thereof to cure any Event of Event of Default or to compensate Landlord for any damage Landlord incurs as a result of Tenant’s failure to perform any of its covenants or obligations hereunder, it being understood that any use of the Security Deposit shall not constitute a bar or defense to any of Landlord’s remedies under this Lease or at law. In such event and upon written notice from Landlord to Tenant specifying the amount of the Security Deposit so utilized by Landlord and the particular purpose for which such amount was applied, Tenant shall immediately deposit with Landlord an amount sufficient to return the Security Deposit to an amount equal to one hundred ten percent (110%) of the amount specified in Paragraph 1.7 as the same may have been increased by prior applications of this Paragraph 5. Tenant’s failure to make such payment to Landlord within five (5) business days of Landlord’s notice shall constitute an Event of Event of Default. If Tenant is not in default at the expiration or termination of this Lease, Landlord shall return to Tenant the Security Deposit or the balance thereof then held by Landlord; provided, however, that in no event shall any such return be construed as an admission by Landlord that Tenant has performed all of its covenants and obligations hereunder. No holder of a Superior Interest (as defined in Paragraph 16.8 below), nor any purchaser at any judicial or private foreclosure sale of the Industrial Center or any portion thereof, shall be responsible to Tenant for the Security Deposit unless and only to the extent such holder or purchaser shall have actually received the same. Tenant hereby unconditionally and irrevocably waives the benefits and protections of California Civil Code Section 1950.7, and, without limitation of the scope of such waiver, acknowledges that Landlord may use all or any part of the Security Deposit to compensate Landlord for damages resulting from termination of this Lease and the tenancy created hereunder (including, without limitation, damages recoverable under California Civil Code Section 1951.2).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18" w:name="page519"/>
    <w:bookmarkEnd w:id="518"/>
    <w:p>
      <w:pPr>
        <w:jc w:val="both"/>
        <w:ind w:firstLine="1292"/>
        <w:spacing w:after="0" w:line="300" w:lineRule="auto"/>
        <w:rPr>
          <w:sz w:val="20"/>
          <w:szCs w:val="20"/>
          <w:color w:val="auto"/>
        </w:rPr>
      </w:pPr>
      <w:r>
        <w:rPr>
          <w:rFonts w:ascii="Arial" w:cs="Arial" w:eastAsia="Arial" w:hAnsi="Arial"/>
          <w:sz w:val="16"/>
          <w:szCs w:val="16"/>
          <w:color w:val="auto"/>
        </w:rPr>
        <w:t>Notwithstanding anything to the contrary above, if additional space is added to the Premises after the date hereof, then the amount of the Security Deposit provided for above shall, effective as of the Lease commencement date as to the subject additional space, be increased so that, based on the new total rentable square footage of the Premises (with the additional space added thereto) the amount of the Security Deposit is the same amount per rentable square foot of the Premises that was in effect on the date immediately prior to the date the subject additional space was added to the Premises.</w:t>
      </w:r>
    </w:p>
    <w:p>
      <w:pPr>
        <w:spacing w:after="0" w:line="153" w:lineRule="exact"/>
        <w:rPr>
          <w:sz w:val="20"/>
          <w:szCs w:val="20"/>
          <w:color w:val="auto"/>
        </w:rPr>
      </w:pPr>
    </w:p>
    <w:p>
      <w:pPr>
        <w:ind w:left="660" w:hanging="652"/>
        <w:spacing w:after="0"/>
        <w:tabs>
          <w:tab w:leader="none" w:pos="66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Use</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use and occupy the Premises only for the Permitted Use set forth in Paragraph 1.8. Tenant shall not commit any</w:t>
      </w:r>
      <w:r>
        <w:rPr>
          <w:rFonts w:ascii="Arial" w:cs="Arial" w:eastAsia="Arial" w:hAnsi="Arial"/>
          <w:sz w:val="16"/>
          <w:szCs w:val="16"/>
          <w:b w:val="1"/>
          <w:bCs w:val="1"/>
          <w:color w:val="auto"/>
        </w:rPr>
        <w:t xml:space="preserve"> </w:t>
      </w:r>
      <w:r>
        <w:rPr>
          <w:rFonts w:ascii="Arial" w:cs="Arial" w:eastAsia="Arial" w:hAnsi="Arial"/>
          <w:sz w:val="16"/>
          <w:szCs w:val="16"/>
          <w:color w:val="auto"/>
        </w:rPr>
        <w:t>nuisance, permit the emission of any objectionable noise or odor, suffer any waste, make any use of the Premises which is contrary to any law or ordinance, or which will invalidate or increase the premiums for any of Landlord’s insurance. Tenant shall not service, maintain, or repair vehicles on the Premises, Building, or Common Areas. Tenant shall not store foods, pallets, drums, or any other materials outside the Premises. Tenant’s use is subject to, and at all times Tenant shall comply with any and all Applicable Requirements, defined below. Landlord reserves to itself the right, from time to time, to grant, without the consent of Tenant, such easements, rights and dedications that Landlord deems reasonably necessary, and to cause the recordation of parcel or subdivision maps and/or restrictions, so long as such easements, rights, dedications, maps and restrictions, as applicable, do not materially and adversely interfere with Tenant’s operations in the Premises. Tenant agrees to sign any documents reasonably requested by Landlord to effectuate any such easements, rights, dedications, maps or restrictions. Tenant shall not initiate, submit an application for, or otherwise request, any land use approvals or entitlements with respect to the Premises or any other portion of the Industrial Center, including without limitation, any variance, conditional use permit or rezoning, without first obtaining Landlord’s prior written consent thereto, which consent may be given or withheld in Landlord’s sole discretion.</w:t>
      </w:r>
    </w:p>
    <w:p>
      <w:pPr>
        <w:spacing w:after="0" w:line="1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Hazardous Substances</w:t>
      </w:r>
      <w:r>
        <w:rPr>
          <w:rFonts w:ascii="Arial" w:cs="Arial" w:eastAsia="Arial" w:hAnsi="Arial"/>
          <w:sz w:val="15"/>
          <w:szCs w:val="15"/>
          <w:color w:val="auto"/>
        </w:rPr>
        <w:t>.</w:t>
      </w:r>
    </w:p>
    <w:p>
      <w:pPr>
        <w:spacing w:after="0" w:line="224" w:lineRule="exact"/>
        <w:rPr>
          <w:sz w:val="20"/>
          <w:szCs w:val="20"/>
          <w:color w:val="auto"/>
        </w:rPr>
      </w:pPr>
    </w:p>
    <w:p>
      <w:pPr>
        <w:jc w:val="both"/>
        <w:ind w:firstLine="1138"/>
        <w:spacing w:after="0" w:line="284" w:lineRule="auto"/>
        <w:tabs>
          <w:tab w:leader="none" w:pos="1688" w:val="left"/>
        </w:tabs>
        <w:numPr>
          <w:ilvl w:val="0"/>
          <w:numId w:val="485"/>
        </w:numPr>
        <w:rPr>
          <w:rFonts w:ascii="Arial" w:cs="Arial" w:eastAsia="Arial" w:hAnsi="Arial"/>
          <w:sz w:val="16"/>
          <w:szCs w:val="16"/>
          <w:color w:val="auto"/>
        </w:rPr>
      </w:pPr>
      <w:r>
        <w:rPr>
          <w:rFonts w:ascii="Arial" w:cs="Arial" w:eastAsia="Arial" w:hAnsi="Arial"/>
          <w:sz w:val="16"/>
          <w:szCs w:val="16"/>
          <w:u w:val="single" w:color="auto"/>
          <w:color w:val="auto"/>
        </w:rPr>
        <w:t>Reportable Uses Require Consent</w:t>
      </w:r>
      <w:r>
        <w:rPr>
          <w:rFonts w:ascii="Arial" w:cs="Arial" w:eastAsia="Arial" w:hAnsi="Arial"/>
          <w:sz w:val="16"/>
          <w:szCs w:val="16"/>
          <w:color w:val="auto"/>
        </w:rPr>
        <w:t>. The term, “</w:t>
      </w:r>
      <w:r>
        <w:rPr>
          <w:rFonts w:ascii="Arial" w:cs="Arial" w:eastAsia="Arial" w:hAnsi="Arial"/>
          <w:sz w:val="16"/>
          <w:szCs w:val="16"/>
          <w:b w:val="1"/>
          <w:bCs w:val="1"/>
          <w:color w:val="auto"/>
        </w:rPr>
        <w:t>Hazardous Substance</w:t>
      </w:r>
      <w:r>
        <w:rPr>
          <w:rFonts w:ascii="Arial" w:cs="Arial" w:eastAsia="Arial" w:hAnsi="Arial"/>
          <w:sz w:val="16"/>
          <w:szCs w:val="16"/>
          <w:color w:val="auto"/>
        </w:rPr>
        <w:t>,” as used in this Lease, shall mean any product, substance, chemical, material, or waste whose presence, nature, 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Landlord to any governmental agency or third party under any applicable statute or common law theory. Hazardous Substance shall include, but not be limited to, hydrocarbons, petroleum, gasoline, crude oil, or any products or by-products thereof. Tenant shall not engage in any activity in or about the Premises which constitutes a Reportable Use (as hereinafter defined) of Hazardous Substances without the express prior written consent of Landlord and compliance in a timely manner (at Tenant’s sole cost and expense) with all Applicable Requirements (as defined in Paragraph 6.3). “</w:t>
      </w:r>
      <w:r>
        <w:rPr>
          <w:rFonts w:ascii="Arial" w:cs="Arial" w:eastAsia="Arial" w:hAnsi="Arial"/>
          <w:sz w:val="16"/>
          <w:szCs w:val="16"/>
          <w:b w:val="1"/>
          <w:bCs w:val="1"/>
          <w:color w:val="auto"/>
        </w:rPr>
        <w:t>Reportable Use</w:t>
      </w:r>
      <w:r>
        <w:rPr>
          <w:rFonts w:ascii="Arial" w:cs="Arial" w:eastAsia="Arial" w:hAnsi="Arial"/>
          <w:sz w:val="16"/>
          <w:szCs w:val="16"/>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 (iii) the presence in, on, or about the Premises of a Hazardous Substance with respect to which any Applicable Requirements require that a notice be given to persons entering or occupying the Premises or neighboring properties. Notwithstanding the foregoing, Tenant may, without Landlord’s prior consent, but upon notice to Landlord and in compliance with all Applicable Requirements, use any ordinary and customary materials reasonably required to be used by Tenant in the normal course of the Permitted Use, so long as such use is not a Reportable Use and does not expose the Premises or neighboring properties to any meaningful risk of contamination or damage, or expose Landlord to any liability therefor. In addition, Landlord may (but without any obligation to do so) condition its consent to any Reportable Use of any Hazardous Substance by Tenant upon Tenant’s giving Landlord such additional assurances as Landlord, in its reasonable discretion, deems necessary to protect itself, the public, the Premises, and the environment against damage, contamination, injury, and/or liability therefor, including but not limited to the installation (and, at Landlord’s option, removal on or before Lease expiration or earlier termination) of reasonably necessary protective modifications to the Premises (such as concrete encasements) and/or the deposit of an additional Security Deposit. Landlord hereby consents to any Reportable Use that is specified by Tenant in attached Exhibit C, provided that Tenant complies with all Applicable Requirements relating to such Reportable Use(s).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19" w:name="page520"/>
    <w:bookmarkEnd w:id="519"/>
    <w:p>
      <w:pPr>
        <w:jc w:val="both"/>
        <w:ind w:firstLine="1138"/>
        <w:spacing w:after="0" w:line="274" w:lineRule="auto"/>
        <w:tabs>
          <w:tab w:leader="none" w:pos="1577"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Duty to Inform Landlord</w:t>
      </w:r>
      <w:r>
        <w:rPr>
          <w:rFonts w:ascii="Arial" w:cs="Arial" w:eastAsia="Arial" w:hAnsi="Arial"/>
          <w:sz w:val="17"/>
          <w:szCs w:val="17"/>
          <w:color w:val="auto"/>
        </w:rPr>
        <w:t>. If Tenant knows, or has reasonable cause to believe, that a Hazardous Substance is located in, under, or about the Premises or the Building, Tenant shall immediately give Landlord written notice thereof, together with a copy of any statement, report, notice, registration, application, permit, business plan, license, claim, action, or proceeding given to, or received from, any governmental authority or private party concerning the presence, spill, release, discharge of, or exposure to such Hazardous Substance. Tenant shall not cause or permit any Hazardous Substance to be spilled or released in, on, under, or about the Premises (including, without limitation, through the plumbing or sanitary sewer system).</w:t>
      </w:r>
    </w:p>
    <w:p>
      <w:pPr>
        <w:spacing w:after="0" w:line="176" w:lineRule="exact"/>
        <w:rPr>
          <w:rFonts w:ascii="Arial" w:cs="Arial" w:eastAsia="Arial" w:hAnsi="Arial"/>
          <w:sz w:val="17"/>
          <w:szCs w:val="17"/>
          <w:color w:val="auto"/>
        </w:rPr>
      </w:pPr>
    </w:p>
    <w:p>
      <w:pPr>
        <w:jc w:val="both"/>
        <w:ind w:firstLine="1138"/>
        <w:spacing w:after="0" w:line="286" w:lineRule="auto"/>
        <w:tabs>
          <w:tab w:leader="none" w:pos="1607" w:val="left"/>
        </w:tabs>
        <w:numPr>
          <w:ilvl w:val="0"/>
          <w:numId w:val="48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Tenant shall indemnify, protect, defend, and hold Landlord, Landlord’s affiliates, Lenders, and the officers, directors, shareholders, partners, employees, managers, independent contractors, attorneys, and agents of the foregoing (“</w:t>
      </w:r>
      <w:r>
        <w:rPr>
          <w:rFonts w:ascii="Arial" w:cs="Arial" w:eastAsia="Arial" w:hAnsi="Arial"/>
          <w:sz w:val="16"/>
          <w:szCs w:val="16"/>
          <w:b w:val="1"/>
          <w:bCs w:val="1"/>
          <w:color w:val="auto"/>
        </w:rPr>
        <w:t>Landlord Entities</w:t>
      </w:r>
      <w:r>
        <w:rPr>
          <w:rFonts w:ascii="Arial" w:cs="Arial" w:eastAsia="Arial" w:hAnsi="Arial"/>
          <w:sz w:val="16"/>
          <w:szCs w:val="16"/>
          <w:color w:val="auto"/>
        </w:rPr>
        <w:t>” or “</w:t>
      </w:r>
      <w:r>
        <w:rPr>
          <w:rFonts w:ascii="Arial" w:cs="Arial" w:eastAsia="Arial" w:hAnsi="Arial"/>
          <w:sz w:val="16"/>
          <w:szCs w:val="16"/>
          <w:b w:val="1"/>
          <w:bCs w:val="1"/>
          <w:color w:val="auto"/>
        </w:rPr>
        <w:t>Landlord Entity</w:t>
      </w:r>
      <w:r>
        <w:rPr>
          <w:rFonts w:ascii="Arial" w:cs="Arial" w:eastAsia="Arial" w:hAnsi="Arial"/>
          <w:sz w:val="16"/>
          <w:szCs w:val="16"/>
          <w:color w:val="auto"/>
        </w:rPr>
        <w:t>”) and the Premises harmless from and against any and all damages, liabilities, judgments, costs, claims, liens, expenses, penalties, loss of permits, and attorneys’ and consultants’ fees arising out of or involving any Hazardous Substance on or brought onto the Premises by or for Tenant or by any of Tenant’s employees, agents, contractors, servants, visitors, suppliers, or invitees (such employees, agents, contractors, servants, visitors, suppliers, and invitees as herein collectively referred to as “</w:t>
      </w:r>
      <w:r>
        <w:rPr>
          <w:rFonts w:ascii="Arial" w:cs="Arial" w:eastAsia="Arial" w:hAnsi="Arial"/>
          <w:sz w:val="16"/>
          <w:szCs w:val="16"/>
          <w:b w:val="1"/>
          <w:bCs w:val="1"/>
          <w:color w:val="auto"/>
        </w:rPr>
        <w:t>Tenant Entities</w:t>
      </w:r>
      <w:r>
        <w:rPr>
          <w:rFonts w:ascii="Arial" w:cs="Arial" w:eastAsia="Arial" w:hAnsi="Arial"/>
          <w:sz w:val="16"/>
          <w:szCs w:val="16"/>
          <w:color w:val="auto"/>
        </w:rPr>
        <w:t>” or “</w:t>
      </w:r>
      <w:r>
        <w:rPr>
          <w:rFonts w:ascii="Arial" w:cs="Arial" w:eastAsia="Arial" w:hAnsi="Arial"/>
          <w:sz w:val="16"/>
          <w:szCs w:val="16"/>
          <w:b w:val="1"/>
          <w:bCs w:val="1"/>
          <w:color w:val="auto"/>
        </w:rPr>
        <w:t>Tenant Entity</w:t>
      </w:r>
      <w:r>
        <w:rPr>
          <w:rFonts w:ascii="Arial" w:cs="Arial" w:eastAsia="Arial" w:hAnsi="Arial"/>
          <w:sz w:val="16"/>
          <w:szCs w:val="16"/>
          <w:color w:val="auto"/>
        </w:rPr>
        <w:t>”). Tenant’s obligations under this Paragraph 6.2(c)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Notwithstanding anything to the contrary herein, in no event shall Tenant bear any responsibility for Hazardous Substances present in, on or under the Premises as of the Commencement Date or that migrate under the Premises through the air, water or soil, through no fault of Tenant or Tenant’s employees, agents, contractors or vendors. Tenant’s obligations under this Paragraph 6.2(c) shall survive the Expiration Date or earlier termination of this Lease.</w:t>
      </w:r>
    </w:p>
    <w:p>
      <w:pPr>
        <w:spacing w:after="0" w:line="168"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Compliance with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at Tenant’s sole cost and expense, fully, diligently, and in a timely manner comply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Applicable Requirements</w:t>
      </w:r>
      <w:r>
        <w:rPr>
          <w:rFonts w:ascii="Arial" w:cs="Arial" w:eastAsia="Arial" w:hAnsi="Arial"/>
          <w:sz w:val="17"/>
          <w:szCs w:val="17"/>
          <w:color w:val="auto"/>
        </w:rPr>
        <w:t>,” which term is used in this Lease to mean all laws, rules, regulations, ordinances, directives, covenants, easements, and restrictions of record, permits, the requirements of any applicable fire insurance underwriter or rating bureau, and the recommendations of Landlord’s engineers and/or consultants, relating in any manner to the Premises (including but not limited to matters pertaining to (a) industrial hygiene, (b) environmental conditions on, in, under, or about the Premises, including soil and groundwater conditions, and (c) the use, generation, manufacture, production, installation, maintenance, removal, transportation, storage, spill, or release of any Hazardous Substance), now in effect or which may hereafter come into effect; provided, however, in no event shall Tenant bear any responsibility for Hazardous Substances present in, on or under the Premises as of the Commencement Date or that migrate under the Premises through the air, water or soil through no fault of Tenant or Tenant’s employees, agents, contractors or vendors. Tenant shall, within 5 days after receipt of Landlord’s written request, provide Landlord with copies of all documents and information evidencing Tenant’s compliance with any Applicable Requirements, with which Tenant is required by the terms of this Lease to comply, and shall immediately upon receipt notify Landlord in writing (with copies of any documents involved) of any threatened or actual claim, notice, citation, warning, complaint, or report pertaining to or involving failure by Tenant or the Premises to comply with any Applicable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20" w:name="page521"/>
    <w:bookmarkEnd w:id="520"/>
    <w:p>
      <w:pPr>
        <w:jc w:val="both"/>
        <w:ind w:firstLine="646"/>
        <w:spacing w:after="0" w:line="284"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u w:val="single" w:color="auto"/>
          <w:color w:val="auto"/>
        </w:rPr>
        <w:t>Inspection; Compliance with Law</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the holders of any mortgages, deeds of trust, or ground leases on the Premises (“</w:t>
      </w:r>
      <w:r>
        <w:rPr>
          <w:rFonts w:ascii="Arial" w:cs="Arial" w:eastAsia="Arial" w:hAnsi="Arial"/>
          <w:sz w:val="16"/>
          <w:szCs w:val="16"/>
          <w:b w:val="1"/>
          <w:bCs w:val="1"/>
          <w:color w:val="auto"/>
        </w:rPr>
        <w:t>Lenders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upon not less than twenty-four (24) hours prior notice (which may be written, oral or by email), except in the event of an emergency have the right to enter the Premises at any time in the case of an emergency, and otherwise at reasonable times, for the purpose of inspecting the condition of the Premises and for verifying compliance by Tenant with this Lease and all Applicable Requirements. Landlord shall be entitled to employ experts and/or consultants in connection therewith to advise Landlord with respect to Tenant’s installation, operation, use, monitoring, maintenance, or removal of any Hazardous Substance on or from the Premises. The cost and expenses of any such inspections shall be paid by the party requesting same, provided that Tenant shall pay for the inspection if (i) a violation of Applicable Requirements at the Premises exists or is imminent and Tenant is responsible therefor under this Section 6, or</w:t>
      </w:r>
    </w:p>
    <w:p>
      <w:pPr>
        <w:spacing w:after="0" w:line="2" w:lineRule="exact"/>
        <w:rPr>
          <w:sz w:val="20"/>
          <w:szCs w:val="20"/>
          <w:color w:val="auto"/>
        </w:rPr>
      </w:pPr>
    </w:p>
    <w:p>
      <w:pPr>
        <w:ind w:firstLine="8"/>
        <w:spacing w:after="0" w:line="259" w:lineRule="auto"/>
        <w:tabs>
          <w:tab w:leader="none" w:pos="289"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the inspection is requested or ordered by a governmental authority in connection with Tenant’s operations, in which event Tenant shall upon request reimburse Landlord or Landlord’s Lender, as the case may be, for the costs and expenses of the subject inspection.</w:t>
      </w:r>
    </w:p>
    <w:p>
      <w:pPr>
        <w:spacing w:after="0" w:line="181"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6.5 </w:t>
      </w:r>
      <w:r>
        <w:rPr>
          <w:rFonts w:ascii="Arial" w:cs="Arial" w:eastAsia="Arial" w:hAnsi="Arial"/>
          <w:sz w:val="17"/>
          <w:szCs w:val="17"/>
          <w:b w:val="1"/>
          <w:bCs w:val="1"/>
          <w:u w:val="single" w:color="auto"/>
          <w:color w:val="auto"/>
        </w:rPr>
        <w:t>Tenant Move-in Questionnaire</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executing this Lease, Tenant has completed, executed and delivered to Landlord Tenant’s Move-in</w:t>
      </w:r>
      <w:r>
        <w:rPr>
          <w:rFonts w:ascii="Arial" w:cs="Arial" w:eastAsia="Arial" w:hAnsi="Arial"/>
          <w:sz w:val="17"/>
          <w:szCs w:val="17"/>
          <w:b w:val="1"/>
          <w:bCs w:val="1"/>
          <w:color w:val="auto"/>
        </w:rPr>
        <w:t xml:space="preserve"> </w:t>
      </w:r>
      <w:r>
        <w:rPr>
          <w:rFonts w:ascii="Arial" w:cs="Arial" w:eastAsia="Arial" w:hAnsi="Arial"/>
          <w:sz w:val="17"/>
          <w:szCs w:val="17"/>
          <w:color w:val="auto"/>
        </w:rPr>
        <w:t>and Lease Renewal Environmental Questionnaire (the “</w:t>
      </w:r>
      <w:r>
        <w:rPr>
          <w:rFonts w:ascii="Arial" w:cs="Arial" w:eastAsia="Arial" w:hAnsi="Arial"/>
          <w:sz w:val="17"/>
          <w:szCs w:val="17"/>
          <w:b w:val="1"/>
          <w:bCs w:val="1"/>
          <w:color w:val="auto"/>
        </w:rPr>
        <w:t>Tenant Move-in Questionnaire</w:t>
      </w:r>
      <w:r>
        <w:rPr>
          <w:rFonts w:ascii="Arial" w:cs="Arial" w:eastAsia="Arial" w:hAnsi="Arial"/>
          <w:sz w:val="17"/>
          <w:szCs w:val="17"/>
          <w:color w:val="auto"/>
        </w:rPr>
        <w:t xml:space="preserve">”), a copy of which is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and incorporated herein by this reference. Tenant covenants, represents and warrants to Landlord that the information on the Tenant Move-in Questionnaire is true and correct and accurately describes the use(s) of Hazardous Substances which will be made and/or used on the Premises by Tenant.</w:t>
      </w:r>
    </w:p>
    <w:p>
      <w:pPr>
        <w:spacing w:after="0" w:line="164" w:lineRule="exact"/>
        <w:rPr>
          <w:sz w:val="20"/>
          <w:szCs w:val="20"/>
          <w:color w:val="auto"/>
        </w:rPr>
      </w:pPr>
    </w:p>
    <w:p>
      <w:pPr>
        <w:ind w:left="660" w:hanging="652"/>
        <w:spacing w:after="0"/>
        <w:tabs>
          <w:tab w:leader="none" w:pos="6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Repairs, Trade Fixtures and Alterations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Tenant’s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Paragraph 7.2 (Landlord’s Obligations), Paragraph 9 (Damage or Destruction),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14 (Condemnation), Tenant shall, at Tenant’s sole cost and expense and at all times, keep the Premises and every part thereof in good order, condition, and repair (whether or not such portion of the Premises requiring repair, or the means of repairing the same, are reasonably or readily accessible to Tenant and whether or not the need for such repairs occurs as a result of Tenant’s use, any prior use, the elements, or the age of such portion of the Premises) including, without limiting the generality of the foregoing, all equipment or facilities solely serving the Premises, such as plumbing, heating, ventilating, air conditioning, electrical, lighting facilities, boilers, fired or unfired pressure vessels, fire hose connectors if within the Premises, fixtures, interior walls, interior surfaces of exterior walls, ceilings, floors, windows, doors, plate glass, and (if applicable) skylights, but excluding any items which are the responsibility of Landlord pursuant to Paragraph 7.2 below. Subject to the provisions of Paragraph 7.2 (Landlord’s Obligations), Paragraph 9 (Damage or Destruction), and Paragraph 14 (Condemnation), Tenant’s obligations shall include restorations, replacements, or renewals when necessary to keep the Premises and all improvements thereon or a part thereof in good order, condition, and state of repair. Tenant shall also be solely responsible for the cost of all repairs and replacements caused by the negligent acts or omissions or intentional misconduct by Tenant or Tenant’s employees, contractors, agents, guests or invitees. If Tenant refuses or neglects to perform its obligations under this paragraph to the reasonable satisfaction of Landlord, and Tenant does not commence to cure such failure within ten (10) days following Landlord’s written notice that the cure is required, Landlord may, but without obligation to do so, at any time perform the same without Landlord having any liability to Tenant for any loss or damage that may accrue to Tenant’s Property or to Tenant’s business by reason thereof. If Landlord performs any such obligations, Tenant shall pay to Landlord, as Additional Rent, Landlord’s reasonable costs and expenses incurred therefor.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21" w:name="page522"/>
    <w:bookmarkEnd w:id="521"/>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u w:val="single" w:color="auto"/>
          <w:color w:val="auto"/>
        </w:rPr>
        <w:t>Landlord’s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Paragraph 6 (Use), Paragraph 7.1 (Tenant’s Obligations), Paragraph 9 (Damage or</w:t>
      </w:r>
      <w:r>
        <w:rPr>
          <w:rFonts w:ascii="Arial" w:cs="Arial" w:eastAsia="Arial" w:hAnsi="Arial"/>
          <w:sz w:val="17"/>
          <w:szCs w:val="17"/>
          <w:b w:val="1"/>
          <w:bCs w:val="1"/>
          <w:color w:val="auto"/>
        </w:rPr>
        <w:t xml:space="preserve"> </w:t>
      </w:r>
      <w:r>
        <w:rPr>
          <w:rFonts w:ascii="Arial" w:cs="Arial" w:eastAsia="Arial" w:hAnsi="Arial"/>
          <w:sz w:val="17"/>
          <w:szCs w:val="17"/>
          <w:color w:val="auto"/>
        </w:rPr>
        <w:t>Destruction), and Paragraph 14 (Condemnation), Landlord, at its expense and not subject to the reimbursement requirements of Paragraph 4.2, shall maintain and repair the roof structure, foundations and the structure of the exterior walls of the Building. Landlord, subject to reimbursement pursuant to Paragraph 4.2, shall maintain and repair the Building roof membrane, Common Areas, and utility systems (including electrical, mechanical, life safety, plumbing, security, or HVAC) within the Industrial Center which are outside of the Premises (it being acknowledged that utility systems serving only the Premises are covered under Paragraph 7.1 above. In addition, Landlord may, in Landlord’s sole discretion, and at Tenant’s sole cost, elect to contract for all or any portion of the maintenance, repair and/or replacement of the HVAC systems serving the Premises.</w:t>
      </w:r>
    </w:p>
    <w:p>
      <w:pPr>
        <w:spacing w:after="0" w:line="172"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Alterations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not install any signs, fixtures, improvements, nor make or permit any other alterations or additions (individually, an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Alteration</w:t>
      </w:r>
      <w:r>
        <w:rPr>
          <w:rFonts w:ascii="Arial" w:cs="Arial" w:eastAsia="Arial" w:hAnsi="Arial"/>
          <w:sz w:val="16"/>
          <w:szCs w:val="16"/>
          <w:color w:val="auto"/>
        </w:rPr>
        <w:t>”, and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to the Premises without the prior written consent of Landlord. Notwithstanding the foregoing or anything to the contrary contained elsewhere in this Section 7.3, Tenant shall have the right, without Landlord’s consent, to make any Alteration that meets all of the following criteria (a “</w:t>
      </w:r>
      <w:r>
        <w:rPr>
          <w:rFonts w:ascii="Arial" w:cs="Arial" w:eastAsia="Arial" w:hAnsi="Arial"/>
          <w:sz w:val="16"/>
          <w:szCs w:val="16"/>
          <w:b w:val="1"/>
          <w:bCs w:val="1"/>
          <w:color w:val="auto"/>
        </w:rPr>
        <w:t>Cosmetic Alteration</w:t>
      </w:r>
      <w:r>
        <w:rPr>
          <w:rFonts w:ascii="Arial" w:cs="Arial" w:eastAsia="Arial" w:hAnsi="Arial"/>
          <w:sz w:val="16"/>
          <w:szCs w:val="16"/>
          <w:color w:val="auto"/>
        </w:rPr>
        <w:t>”): (a) the Alteration is decorative in nature (such as paint, carpet or other wall or floor finishes, movable partitions or other such work), (b) Tenant provides Landlord with ten (10) days’ advance written notice of the commencement of such Alteration, (c) such Alteration does not affect the Building’s electrical, mechanical, life safety, plumbing, security, or HVAC systems or any other portion of the base building or any part of the Building other than the Premises, (d) the work will not decrease the value of the Premises, does not require a building permit or other governmental permit, uses only new materials comparable in quality to those being replaced and is performed in a workman-like manner and in accordance with all Applicable Requirements, (e) the work does not involve any Hazardous Materials, (f) the work does not involve opening the ceiling of the Premises and is not visible from the exterior of the Premises, and (g) the cost of such Alteration, when aggregated with the cost of all other Cosmetic Alterations performed during the previous twelve (12) month period, does not exceed Thirty Thousand Dollars ($30,000.00). At the time Tenant notifies Landlord of any Cosmetic Alteration, Tenant shall give Landlord a copy of Tenant’s plans for the work. If the Cosmetic Alteration is of such a nature that formal plans will not be prepared for the work, Tenant shall provide Landlord with a reasonably specific description of the work.</w:t>
      </w:r>
    </w:p>
    <w:p>
      <w:pPr>
        <w:spacing w:after="0" w:line="168" w:lineRule="exact"/>
        <w:rPr>
          <w:sz w:val="20"/>
          <w:szCs w:val="20"/>
          <w:color w:val="auto"/>
        </w:rPr>
      </w:pPr>
    </w:p>
    <w:p>
      <w:pPr>
        <w:jc w:val="both"/>
        <w:ind w:firstLine="1292"/>
        <w:spacing w:after="0" w:line="283" w:lineRule="auto"/>
        <w:rPr>
          <w:sz w:val="20"/>
          <w:szCs w:val="20"/>
          <w:color w:val="auto"/>
        </w:rPr>
      </w:pPr>
      <w:r>
        <w:rPr>
          <w:rFonts w:ascii="Arial" w:cs="Arial" w:eastAsia="Arial" w:hAnsi="Arial"/>
          <w:sz w:val="16"/>
          <w:szCs w:val="16"/>
          <w:color w:val="auto"/>
        </w:rPr>
        <w:t>In all events (including Cosmetic Alterations), Tenant shall deliver at least ten (10) days prior notice to Landlord, from the date Tenant intends to commence construction, sufficient to enable Landlord to post a Notice of Non-Responsibility. Tenant shall obtain all permits or other governmental approvals prior to commencing any Alteration and deliver a copy of same to Landlord. All Alterations shall be at Tenant’s sole cost and expense in accordance with plans and specifications which have been previously submitted to and approved in writing by Landlord, and shall be installed by a licensed, insured, and bonded contractor (reasonably approved by Landlord) in compliance with all Applicable Requirements (including, but not limited to, the ADA), and all recorded matters and rules and regulations of the Industrial Center. In addition, all work with respect to any Alterations must be done in a good and workmanlike manner. Landlord’s approval of any plans, specifications or working drawings for Tenant’s Alterations shall not create nor impose any responsibility or liability on the part of Landlord for their completeness, design sufficiency, or compliance with any laws, ordinances, rules and regulations of governmental agencies or authorities. In performing the work of any such Alterations, Tenant shall have the work performed in such a manner as not to obstruct access to the Industrial Center, or the Common Areas for any other tenant of the Industrial Center, and as not to obstruct the business of Landlord or other tenants in the Industrial Center, or interfere with the labor force working in the Industrial Center. As Additional Rent hereunder, Tenant shall reimburse Landlord, within ten (10) days after demand, for actual legal, engineering, architectural, planning and other expenses incurred by Landlord in connection with Tenant’s Alterations, plus Tenant shall pay to Landlord a fee (“</w:t>
      </w:r>
      <w:r>
        <w:rPr>
          <w:rFonts w:ascii="Arial" w:cs="Arial" w:eastAsia="Arial" w:hAnsi="Arial"/>
          <w:sz w:val="16"/>
          <w:szCs w:val="16"/>
          <w:b w:val="1"/>
          <w:bCs w:val="1"/>
          <w:color w:val="auto"/>
        </w:rPr>
        <w:t>Landlord’s Supervision Fee</w:t>
      </w:r>
      <w:r>
        <w:rPr>
          <w:rFonts w:ascii="Arial" w:cs="Arial" w:eastAsia="Arial" w:hAnsi="Arial"/>
          <w:sz w:val="16"/>
          <w:szCs w:val="16"/>
          <w:color w:val="auto"/>
        </w:rPr>
        <w:t>”) equal to five percent (5%) of the total cost of the Alterations (provided that such oversight by Landlord shall be solely for the benefit of Landlord and shall in no event be a substitute for Tenant’s obligation to retain such project management or other services as shall be necessary to ensure that the Alterations are performed properly and in accordance with the requirements of this Lease). If Tenant makes any Alterations, Tenant agrees to carry “</w:t>
      </w:r>
      <w:r>
        <w:rPr>
          <w:rFonts w:ascii="Arial" w:cs="Arial" w:eastAsia="Arial" w:hAnsi="Arial"/>
          <w:sz w:val="16"/>
          <w:szCs w:val="16"/>
          <w:b w:val="1"/>
          <w:bCs w:val="1"/>
          <w:color w:val="auto"/>
        </w:rPr>
        <w:t>Builder’s All Risk</w:t>
      </w:r>
      <w:r>
        <w:rPr>
          <w:rFonts w:ascii="Arial" w:cs="Arial" w:eastAsia="Arial" w:hAnsi="Arial"/>
          <w:sz w:val="16"/>
          <w:szCs w:val="16"/>
          <w:color w:val="auto"/>
        </w:rPr>
        <w:t>” insurance, in an amount approved by Landlord and such other insurance as Landlord may require, it being understood and agreed that all of such Alterations shall be insured by Tenant in accordance with the terms of this Lease immediately upon completion thereof. Tenant shall keep the Premises and the property on which the Premises are situated free from any liens arising out of any work performed, materials furnished or obligations incurred by or on behalf of Tenant. Tenant shall, prior to construction of any and all Alterations, cause its contractor(s) and/or major subcontractor(s) to provide insurance as reasonably required by Landlord, and Tenant shall provide such assurances to Landlord, including without limitation, waivers of lien, surety company performance bonds as Landlord shall require to assure payment of the costs thereof to protect Landlord and the Industrial Center from and against any loss from any mechanic’s, materialmen’s or other liens.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22" w:name="page523"/>
    <w:bookmarkEnd w:id="522"/>
    <w:p>
      <w:pPr>
        <w:jc w:val="both"/>
        <w:ind w:firstLine="1292"/>
        <w:spacing w:after="0" w:line="292" w:lineRule="auto"/>
        <w:rPr>
          <w:sz w:val="20"/>
          <w:szCs w:val="20"/>
          <w:color w:val="auto"/>
        </w:rPr>
      </w:pPr>
      <w:r>
        <w:rPr>
          <w:rFonts w:ascii="Arial" w:cs="Arial" w:eastAsia="Arial" w:hAnsi="Arial"/>
          <w:sz w:val="16"/>
          <w:szCs w:val="16"/>
          <w:color w:val="auto"/>
        </w:rPr>
        <w:t>At Landlord’s sole election any or all Alterations made for or by Tenant shall be removed by Tenant from the Premises at the expiration or sooner termination of this Lease and the Premises shall be restored by Tenant to their condition prior to the making of the Alterations, ordinary wear and tear excepted; provided, however, that if so requested by Tenant in writing (which writing shall expressly refer to this Paragraph 7.3.) at the time Tenant requests approval for an Alteration (or, with respect to Cosmetic Alterations, at the time Tenant gives Landlord notice of such Cosmetic Alterations), Landlord shall advise Tenant in writing at the time of Landlord’s approval of such Alteration (or following Landlord’s receipt of Tenant’s notice to Landlord with respect to Cosmetic Alterations) as to whether Landlord will require Tenant to remove the Alteration at the expiration or earlier termination of this Lease.</w:t>
      </w:r>
    </w:p>
    <w:p>
      <w:pPr>
        <w:spacing w:after="0" w:line="160"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u w:val="single" w:color="auto"/>
          <w:color w:val="auto"/>
        </w:rPr>
        <w:t>Surrender/Restoration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surrender the Premises by the end of the last day of the Lease term or any earlier termination date, clean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free of debris and in good operating order, condition, and state of repair, ordinary wear and tear excepted and in accordance with the Move Out Standards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to this Lease (extent to the extent Landlord advised Tenant in writing, in accordance with the final sentence of Section 7.3 above, that specific work required by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will not be required as to certain Alterations that Landlord has allowed to remain).. Without limiting the generality of the above, Tenant shall remove all tenant improvements and Alterations designated by Landlord in Landlord’s sole discretion, personal property, trade fixtures, and floor bolts, patch all floors, and cause all lights to be in good operating condition.</w:t>
      </w:r>
    </w:p>
    <w:p>
      <w:pPr>
        <w:spacing w:after="0" w:line="173" w:lineRule="exact"/>
        <w:rPr>
          <w:sz w:val="20"/>
          <w:szCs w:val="20"/>
          <w:color w:val="auto"/>
        </w:rPr>
      </w:pPr>
    </w:p>
    <w:p>
      <w:pPr>
        <w:ind w:left="660" w:hanging="652"/>
        <w:spacing w:after="0"/>
        <w:tabs>
          <w:tab w:leader="none" w:pos="66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Indemnity</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b w:val="1"/>
          <w:bCs w:val="1"/>
          <w:u w:val="single" w:color="auto"/>
          <w:color w:val="auto"/>
        </w:rPr>
        <w:t>Payment of Premiums and Deductibles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the premiums and all applicable deductibles for the insurance policies maintained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under this Paragraph 8 shall be a Common Area Operating Expense reimbursable pursuant to Paragraph 4.2 hereof (subject to the limitation on the inclusion of deductibles expressly set forth in Paragraph 4.2 above). Premiums for policy periods commencing prior to, or extending beyond, the term of this Lease shall be prorated to coincide with the corresponding Commencement Date and Expiration Date.</w:t>
      </w:r>
    </w:p>
    <w:p>
      <w:pPr>
        <w:spacing w:after="0" w:line="16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w:t>
      </w:r>
    </w:p>
    <w:p>
      <w:pPr>
        <w:spacing w:after="0" w:line="228" w:lineRule="exact"/>
        <w:rPr>
          <w:sz w:val="20"/>
          <w:szCs w:val="20"/>
          <w:color w:val="auto"/>
        </w:rPr>
      </w:pPr>
    </w:p>
    <w:p>
      <w:pPr>
        <w:ind w:firstLine="1138"/>
        <w:spacing w:after="0" w:line="276" w:lineRule="auto"/>
        <w:tabs>
          <w:tab w:leader="none" w:pos="1681"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At its sole cost and expense, Tenant shall maintain in full force and effect during the Term of the Lease the following insurance coverages insuring against claims which may arise from or in connection with the Tenant’s operation and use of the Premises.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23" w:name="page524"/>
    <w:bookmarkEnd w:id="523"/>
    <w:p>
      <w:pPr>
        <w:jc w:val="both"/>
        <w:ind w:firstLine="1946"/>
        <w:spacing w:after="0" w:line="254" w:lineRule="auto"/>
        <w:tabs>
          <w:tab w:leader="none" w:pos="235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Commercial General Liability insurance including contractual liability coverage, with minimum coverages of $5,000,000 per occurrence combined single limit for bodily injury and property damage, $1,000,000 for products-completed operations coverage, $100,000 fire legal liability, $1,000,000 for personal and advertising injury (which coverage shall not be subject to the contractual liability exclusion), with a $5,000,000 general aggregate limit, for injuries to, or illness or death of, persons and damage to property occurring in or about the Premises or otherwise resulting from Tenant’s operations in the Building or the Industrial Center. The foregoing coverage may be carried in any combination of primary and umbrella coverage. If applicable and required by Landlord, liquor liability coverage shall be included. All such insurance shall be endorsed to include Landlord and Landlord Entities as additional insureds.</w:t>
      </w:r>
    </w:p>
    <w:p>
      <w:pPr>
        <w:spacing w:after="0" w:line="189" w:lineRule="exact"/>
        <w:rPr>
          <w:rFonts w:ascii="Arial" w:cs="Arial" w:eastAsia="Arial" w:hAnsi="Arial"/>
          <w:sz w:val="18"/>
          <w:szCs w:val="18"/>
          <w:color w:val="auto"/>
        </w:rPr>
      </w:pPr>
    </w:p>
    <w:p>
      <w:pPr>
        <w:ind w:left="2480" w:hanging="534"/>
        <w:spacing w:after="0"/>
        <w:tabs>
          <w:tab w:leader="none" w:pos="248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Workers’ Compensation insurance with statutory limits and Employers Liability with a $1,000,000 per accident limit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bodily injury or disease.</w:t>
      </w:r>
    </w:p>
    <w:p>
      <w:pPr>
        <w:spacing w:after="0" w:line="209" w:lineRule="exact"/>
        <w:rPr>
          <w:rFonts w:ascii="Arial" w:cs="Arial" w:eastAsia="Arial" w:hAnsi="Arial"/>
          <w:sz w:val="17"/>
          <w:szCs w:val="17"/>
          <w:color w:val="auto"/>
        </w:rPr>
      </w:pPr>
    </w:p>
    <w:p>
      <w:pPr>
        <w:ind w:firstLine="1946"/>
        <w:spacing w:after="0" w:line="276" w:lineRule="auto"/>
        <w:tabs>
          <w:tab w:leader="none" w:pos="2466"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Automobile Liability insurance covering all owned, nonowned, and hired vehicles with a $1,000,000 per accident limit for bodily injury and property damage.</w:t>
      </w:r>
    </w:p>
    <w:p>
      <w:pPr>
        <w:spacing w:after="0" w:line="169" w:lineRule="exact"/>
        <w:rPr>
          <w:rFonts w:ascii="Arial" w:cs="Arial" w:eastAsia="Arial" w:hAnsi="Arial"/>
          <w:sz w:val="18"/>
          <w:szCs w:val="18"/>
          <w:color w:val="auto"/>
        </w:rPr>
      </w:pPr>
    </w:p>
    <w:p>
      <w:pPr>
        <w:jc w:val="both"/>
        <w:ind w:firstLine="1946"/>
        <w:spacing w:after="0" w:line="254" w:lineRule="auto"/>
        <w:tabs>
          <w:tab w:leader="none" w:pos="2562" w:val="left"/>
        </w:tabs>
        <w:numPr>
          <w:ilvl w:val="0"/>
          <w:numId w:val="491"/>
        </w:numPr>
        <w:rPr>
          <w:rFonts w:ascii="Arial" w:cs="Arial" w:eastAsia="Arial" w:hAnsi="Arial"/>
          <w:sz w:val="18"/>
          <w:szCs w:val="18"/>
          <w:color w:val="auto"/>
        </w:rPr>
      </w:pPr>
      <w:r>
        <w:rPr>
          <w:rFonts w:ascii="Arial" w:cs="Arial" w:eastAsia="Arial" w:hAnsi="Arial"/>
          <w:sz w:val="18"/>
          <w:szCs w:val="18"/>
          <w:color w:val="auto"/>
        </w:rPr>
        <w:t>Property insurance protecting Tenant against loss or damage by fire and such other risks as are insurable under then-available standard forms of “special form” (previously known as “all risk”) insurance policies (including earthquake and flood), covering Tenant’s personal property and trade fixtures in or about the Premises or the Building, and all tenant improvements (including Alterations) and floor and wall coverings in the Premises, for the full replacement value thereof without deduction for depreciation, and Business Income insurance covering at least six months of loss of income and continuing expense. Tenant’s property insurance policy shall include all waiver of subrogation rights endorsements necessary to effect the provisions of Paragraph 8.4 below.</w:t>
      </w:r>
    </w:p>
    <w:p>
      <w:pPr>
        <w:spacing w:after="0" w:line="193"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If required by Landlord, Pollution Liability Coverage with minimum coverage of $1,000,000 per claim and $2,000,000 annual aggregate, which coverage may be on a “claims-made” basis; provided, however, that Landlord may only require Pollution Liability Coverage if Tenant’s operations are such that Pollution Liability Coverage is customarily required for such operations. Such insurance shall be endorsed to include Landlord and the other Landlord Entities as additional insureds.</w:t>
      </w:r>
    </w:p>
    <w:p>
      <w:pPr>
        <w:spacing w:after="0" w:line="187" w:lineRule="exact"/>
        <w:rPr>
          <w:sz w:val="20"/>
          <w:szCs w:val="20"/>
          <w:color w:val="auto"/>
        </w:rPr>
      </w:pPr>
    </w:p>
    <w:p>
      <w:pPr>
        <w:jc w:val="both"/>
        <w:ind w:firstLine="1300"/>
        <w:spacing w:after="0" w:line="271" w:lineRule="auto"/>
        <w:tabs>
          <w:tab w:leader="none" w:pos="1799" w:val="left"/>
        </w:tabs>
        <w:numPr>
          <w:ilvl w:val="0"/>
          <w:numId w:val="492"/>
        </w:numPr>
        <w:rPr>
          <w:rFonts w:ascii="Arial" w:cs="Arial" w:eastAsia="Arial" w:hAnsi="Arial"/>
          <w:sz w:val="17"/>
          <w:szCs w:val="17"/>
          <w:color w:val="auto"/>
        </w:rPr>
      </w:pPr>
      <w:r>
        <w:rPr>
          <w:rFonts w:ascii="Arial" w:cs="Arial" w:eastAsia="Arial" w:hAnsi="Arial"/>
          <w:sz w:val="17"/>
          <w:szCs w:val="17"/>
          <w:color w:val="auto"/>
        </w:rPr>
        <w:t>The commercial general liability insurance policy provided for in Paragraph 8.2(a)(i) above and, if applicable, the insurance under Paragraph 8.2(a)(v) above, shall specifically include all liability assumed by Tenant under this Lease (provided, however, that such contractual liability coverage shall not limit or be deemed to satisfy Tenant’s indemnity obligations under this Lease) and shall provide that the policy and the coverage provided shall be primary, that Landlord, although an additional insured, shall nevertheless be entitled to recovery under such policy for any damage to Landlord or the other Landlord Entities by reason of acts or omissions of Tenant, and that any coverage carried by Landlord shall be noncontributory with respect to policies carried by Tenant. If any of the policies required to be maintained by Tenant under Paragraph 8.2(a) above are subject to deductibles, the deductible amounts shall not exceed amounts reasonably approved in advance in writing by Landlord.</w:t>
      </w:r>
    </w:p>
    <w:p>
      <w:pPr>
        <w:spacing w:after="0" w:line="177" w:lineRule="exact"/>
        <w:rPr>
          <w:rFonts w:ascii="Arial" w:cs="Arial" w:eastAsia="Arial" w:hAnsi="Arial"/>
          <w:sz w:val="17"/>
          <w:szCs w:val="17"/>
          <w:color w:val="auto"/>
        </w:rPr>
      </w:pPr>
    </w:p>
    <w:p>
      <w:pPr>
        <w:jc w:val="both"/>
        <w:ind w:firstLine="1300"/>
        <w:spacing w:after="0" w:line="262" w:lineRule="auto"/>
        <w:tabs>
          <w:tab w:leader="none" w:pos="1795" w:val="left"/>
        </w:tabs>
        <w:numPr>
          <w:ilvl w:val="0"/>
          <w:numId w:val="492"/>
        </w:numPr>
        <w:rPr>
          <w:rFonts w:ascii="Arial" w:cs="Arial" w:eastAsia="Arial" w:hAnsi="Arial"/>
          <w:sz w:val="18"/>
          <w:szCs w:val="18"/>
          <w:color w:val="auto"/>
        </w:rPr>
      </w:pPr>
      <w:r>
        <w:rPr>
          <w:rFonts w:ascii="Arial" w:cs="Arial" w:eastAsia="Arial" w:hAnsi="Arial"/>
          <w:sz w:val="18"/>
          <w:szCs w:val="18"/>
          <w:color w:val="auto"/>
        </w:rPr>
        <w:t>Tenant shall deliver to Landlord certificates reflecting evidence of the required insurance coverages prior to initial occupancy, and renewal certificates shall be delivered to Landlord not later than thirty (30) days prior to expiration of the existing certificates. Upon Landlord’s written request, Tenant shall deliver to Landlord a copy of the requested insurance policy itself.</w:t>
      </w:r>
    </w:p>
    <w:p>
      <w:pPr>
        <w:spacing w:after="0" w:line="183" w:lineRule="exact"/>
        <w:rPr>
          <w:rFonts w:ascii="Arial" w:cs="Arial" w:eastAsia="Arial" w:hAnsi="Arial"/>
          <w:sz w:val="18"/>
          <w:szCs w:val="18"/>
          <w:color w:val="auto"/>
        </w:rPr>
      </w:pPr>
    </w:p>
    <w:p>
      <w:pPr>
        <w:jc w:val="both"/>
        <w:ind w:firstLine="1300"/>
        <w:spacing w:after="0" w:line="256" w:lineRule="auto"/>
        <w:tabs>
          <w:tab w:leader="none" w:pos="1752"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If, in the opinion of Landlord’s insurance advisor, the amount or scope of such coverage is deemed inadequate at any time during the Term, Tenant shall increase such coverage to such reasonable amounts or scope as Landlord’s advisor deems adequate; provided, however, such increased amounts shall not materially exceed the greater of (a) those amounts normally required for comparable buildings and comparable uses in the vicinity of the Industrial Center or (b) those amounts required to provide Landlord with the same relative protection as the amounts set forth above as of the date of this 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24" w:name="page525"/>
    <w:bookmarkEnd w:id="524"/>
    <w:p>
      <w:pPr>
        <w:jc w:val="both"/>
        <w:ind w:firstLine="1300"/>
        <w:spacing w:after="0" w:line="258" w:lineRule="auto"/>
        <w:tabs>
          <w:tab w:leader="none" w:pos="171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All insurance required under Paragraph 8.2 (a) shall be issued by insurers licensed to do business in the state in which the Premises are located and which are rated A:VII or better by Best’s Key Rating Guide and (ii) shall be endorsed to provide at least 30-days prior notification of cancellation or material change in coverage to said additional insureds. All policies shall provide coverage on an “occurrence” rather than a “claims made” basis, unless otherwise expressly provided above.</w:t>
      </w:r>
    </w:p>
    <w:p>
      <w:pPr>
        <w:spacing w:after="0" w:line="183"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Landlord’s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hereof, Landlord shall keep the buildings within the Industrial Center (but excluding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required to be insured by tenants of the Industrial Center and personal property, fixtures, office equipment, furniture, artwork and other decoration not affixed to and a part of the buildings in the Industrial Center) insured through reputable insurance underwriters against perils covered by a standard “special form” (previously known as “all risk”) insurance policy or policies as such policies are in use as of the date of this Lease (excluding perils such as earthquake, flood and other standard “special form” policy form exclusions), if such a policy is reasonably available, with a deductible provision, if any, that does not materially exceed that which prudent, efficient operators of comparable buildings in the vicinity of the Building would carry from time-to-time in the exercise of reasonable business judgment, in an amount or amounts equal to not less than eighty percent (80%) of the full replacement value of the buildings (excluding the land and the footings, foundations and installations below the basement level) (or such greater percentage as shall be necessary to prevent Landlord from being deemed a coinsurer), without deduction for depreciation, including the costs of demolition and debris removal, or such other fire and property damage insurance as Landlord shall reasonably determine to give substantially equal or greater protection. During the term hereof, Landlord shall keep in force general liability insurance in the amount and coverage as Landlord deems commercially reasonable.</w:t>
      </w:r>
    </w:p>
    <w:p>
      <w:pPr>
        <w:spacing w:after="0" w:line="164"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7"/>
          <w:szCs w:val="17"/>
          <w:b w:val="1"/>
          <w:bCs w:val="1"/>
          <w:u w:val="single" w:color="auto"/>
          <w:color w:val="auto"/>
        </w:rPr>
        <w:t>Waiver of Subrogation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hereto hereby releases the other respective party and, in the case of Tenant as the releasing party,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Entities, from any claims such releasing party may have for damage to the Building, the Premises or any of such releasing party’s fixtures, personal property, improvements and alterations in or about the Premises, the Building or the Industrial Center that is caused by or results from risks insured against under any “special form” insurance policies actually carried by such releasing party or deemed to be carried by such releasing party; provided, however, that such waiver shall be limited to the extent of the net insurance proceeds payable by the relevant insurance company with respect to such loss or damage (or in the case of deemed coverage, the net proceeds that would have been payable). For purposes of this Paragraph 8.4, Tenant shall be deemed to be carrying any of the insurance policies required pursuant to Paragraph 8.2 above but not actually carried by Tenant, and Landlord shall be deemed to carry standard special form insurance policies on the Industrial Center. Each party hereto shall cause each such special form insurance policy obtained by it to provide that the insurance company waives all rights of recovery by way of subrogation against the other respective party and the other released parties in connection with any matter covered by such policy.</w:t>
      </w:r>
    </w:p>
    <w:p>
      <w:pPr>
        <w:spacing w:after="0" w:line="178"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Indemnity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protect, defend, indemnify, and hold Landlord and Landlord Entities harmless from and against any and all loss,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liability, or costs (including court costs and attorneys’ fees) (collectively, “</w:t>
      </w:r>
      <w:r>
        <w:rPr>
          <w:rFonts w:ascii="Arial" w:cs="Arial" w:eastAsia="Arial" w:hAnsi="Arial"/>
          <w:sz w:val="18"/>
          <w:szCs w:val="18"/>
          <w:b w:val="1"/>
          <w:bCs w:val="1"/>
          <w:color w:val="auto"/>
        </w:rPr>
        <w:t>Claims</w:t>
      </w:r>
      <w:r>
        <w:rPr>
          <w:rFonts w:ascii="Arial" w:cs="Arial" w:eastAsia="Arial" w:hAnsi="Arial"/>
          <w:sz w:val="18"/>
          <w:szCs w:val="18"/>
          <w:color w:val="auto"/>
        </w:rPr>
        <w:t>”) incurred by reason of:</w:t>
      </w:r>
    </w:p>
    <w:p>
      <w:pPr>
        <w:spacing w:after="0" w:line="167" w:lineRule="exact"/>
        <w:rPr>
          <w:sz w:val="20"/>
          <w:szCs w:val="20"/>
          <w:color w:val="auto"/>
        </w:rPr>
      </w:pPr>
    </w:p>
    <w:p>
      <w:pPr>
        <w:ind w:right="20" w:firstLine="1138"/>
        <w:spacing w:after="0" w:line="306" w:lineRule="auto"/>
        <w:tabs>
          <w:tab w:leader="none" w:pos="1621"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any damage to any property (including but not limited to property of any Landlord Entity) or death, bodily, or personal injury to any person occurring in or about the Premises, except to the extent caused by the gross negligence or willful misconduct of Landlord or any Landlord Entity;</w:t>
      </w:r>
    </w:p>
    <w:p>
      <w:pPr>
        <w:spacing w:after="0" w:line="147" w:lineRule="exact"/>
        <w:rPr>
          <w:rFonts w:ascii="Arial" w:cs="Arial" w:eastAsia="Arial" w:hAnsi="Arial"/>
          <w:sz w:val="17"/>
          <w:szCs w:val="17"/>
          <w:color w:val="auto"/>
        </w:rPr>
      </w:pPr>
    </w:p>
    <w:p>
      <w:pPr>
        <w:ind w:right="20" w:firstLine="1138"/>
        <w:spacing w:after="0" w:line="306" w:lineRule="auto"/>
        <w:tabs>
          <w:tab w:leader="none" w:pos="1589" w:val="left"/>
        </w:tabs>
        <w:numPr>
          <w:ilvl w:val="0"/>
          <w:numId w:val="494"/>
        </w:numPr>
        <w:rPr>
          <w:rFonts w:ascii="Arial" w:cs="Arial" w:eastAsia="Arial" w:hAnsi="Arial"/>
          <w:sz w:val="17"/>
          <w:szCs w:val="17"/>
          <w:color w:val="auto"/>
        </w:rPr>
      </w:pPr>
      <w:r>
        <w:rPr>
          <w:rFonts w:ascii="Arial" w:cs="Arial" w:eastAsia="Arial" w:hAnsi="Arial"/>
          <w:sz w:val="17"/>
          <w:szCs w:val="17"/>
          <w:color w:val="auto"/>
        </w:rPr>
        <w:t>any damage to the Building or the Industrial Center to the extent that such injury or damage shall be caused by or arise from any actual or alleged act, neglect, fault, or omission by or of Tenant, its agents, servants, employees, invitees, contractors, suppliers, subtenants, or visitors;</w:t>
      </w:r>
    </w:p>
    <w:p>
      <w:pPr>
        <w:spacing w:after="0" w:line="147" w:lineRule="exact"/>
        <w:rPr>
          <w:rFonts w:ascii="Arial" w:cs="Arial" w:eastAsia="Arial" w:hAnsi="Arial"/>
          <w:sz w:val="17"/>
          <w:szCs w:val="17"/>
          <w:color w:val="auto"/>
        </w:rPr>
      </w:pPr>
    </w:p>
    <w:p>
      <w:pPr>
        <w:ind w:right="20" w:firstLine="1138"/>
        <w:spacing w:after="0" w:line="276" w:lineRule="auto"/>
        <w:tabs>
          <w:tab w:leader="none" w:pos="1658"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Tenant’s failure to comply as required by the terms of this Lease with any and all governmental laws, ordinances, and regulations applicable to the condition or use of the Premises or its occupancy;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25" w:name="page526"/>
    <w:bookmarkEnd w:id="525"/>
    <w:p>
      <w:pPr>
        <w:ind w:left="1580" w:hanging="442"/>
        <w:spacing w:after="0"/>
        <w:tabs>
          <w:tab w:leader="none" w:pos="158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any breach or default on the part of Tenant in the performance of any covenant or agreement to be performed pursuant to this Lease.</w:t>
      </w:r>
    </w:p>
    <w:p>
      <w:pPr>
        <w:spacing w:after="0" w:line="247"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The provisions of this Paragraph 8.5 shall, with respect to any claims or liability accruing prior to such termination, survive the Expiration Date or earlier termination of this Lease.</w:t>
      </w:r>
    </w:p>
    <w:p>
      <w:pPr>
        <w:spacing w:after="0" w:line="166"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b w:val="1"/>
          <w:bCs w:val="1"/>
          <w:u w:val="single" w:color="auto"/>
          <w:color w:val="auto"/>
        </w:rPr>
        <w:t>Exemption of Landlord from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to the extent caused by the gross active or gross passive negligence or willful misconduct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or any Landlord Entity, neither Landlord nor Landlord Entities shall be liable for and Tenant waives any claims against Landlord and Landlord Entities for injury or damage to the person or the property of Tenant, Tenant’s employees, contractors, invitees, customers or any other person in or about the Premises, Building or Industrial Center from any cause whatsoever, including, but not limited to, damage or injury which is caused by or results from (i) fire, steam, electricity, gas, water or rain, or from the breakage, leakage, obstruction or other defects of pipes, fire sprinklers, wires, appliances, plumbing, heating, ventilating, air conditioning or lighting fixtures or (ii) from the condition of the Premises, other portions of the Building or Industrial Center or (iii) the acts or omissions of Landlord or any other Landlord Entities. Landlord shall not be liable for any damages arising from any act or neglect (passive or active) of any other tenants of Landlord or any subtenant or assignee of such other tenants nor from the failure by Landlord to enforce the provisions of any other lease in the Industrial Center. Notwithstanding Landlord’s negligence (active or passive), gross negligence (active or passive), or breach of this Lease, Landlord shall under no circumstances be liable for (a) injury to Tenant’s business, for any loss of income or profit therefrom or any indirect, consequential or punitive damages or (b) any damage to property or injury to persons arising from any act of God or war, violence or insurrection, including, but not limited to, those caused by earthquakes, hurricanes, storms, drought, floods, acts of terrorism, and/or riots.</w:t>
      </w:r>
    </w:p>
    <w:p>
      <w:pPr>
        <w:spacing w:after="0" w:line="180" w:lineRule="exact"/>
        <w:rPr>
          <w:sz w:val="20"/>
          <w:szCs w:val="20"/>
          <w:color w:val="auto"/>
        </w:rPr>
      </w:pPr>
    </w:p>
    <w:p>
      <w:pPr>
        <w:ind w:left="660" w:hanging="652"/>
        <w:spacing w:after="0"/>
        <w:tabs>
          <w:tab w:leader="none" w:pos="66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Damage or Destruction</w:t>
      </w:r>
      <w:r>
        <w:rPr>
          <w:rFonts w:ascii="Arial" w:cs="Arial" w:eastAsia="Arial" w:hAnsi="Arial"/>
          <w:sz w:val="18"/>
          <w:szCs w:val="18"/>
          <w:color w:val="auto"/>
        </w:rPr>
        <w:t>.</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Termination Right</w:t>
      </w:r>
      <w:r>
        <w:rPr>
          <w:rFonts w:ascii="Arial" w:cs="Arial" w:eastAsia="Arial" w:hAnsi="Arial"/>
          <w:sz w:val="18"/>
          <w:szCs w:val="18"/>
          <w:color w:val="auto"/>
        </w:rPr>
        <w:t>.</w:t>
      </w:r>
    </w:p>
    <w:p>
      <w:pPr>
        <w:spacing w:after="0" w:line="227" w:lineRule="exact"/>
        <w:rPr>
          <w:rFonts w:ascii="Arial" w:cs="Arial" w:eastAsia="Arial" w:hAnsi="Arial"/>
          <w:sz w:val="18"/>
          <w:szCs w:val="18"/>
          <w:b w:val="1"/>
          <w:bCs w:val="1"/>
          <w:color w:val="auto"/>
        </w:rPr>
      </w:pPr>
    </w:p>
    <w:p>
      <w:pPr>
        <w:jc w:val="both"/>
        <w:ind w:firstLine="1138"/>
        <w:spacing w:after="0" w:line="285" w:lineRule="auto"/>
        <w:tabs>
          <w:tab w:leader="none" w:pos="1615" w:val="left"/>
        </w:tabs>
        <w:numPr>
          <w:ilvl w:val="1"/>
          <w:numId w:val="496"/>
        </w:numPr>
        <w:rPr>
          <w:rFonts w:ascii="Arial" w:cs="Arial" w:eastAsia="Arial" w:hAnsi="Arial"/>
          <w:sz w:val="16"/>
          <w:szCs w:val="16"/>
          <w:color w:val="auto"/>
        </w:rPr>
      </w:pPr>
      <w:r>
        <w:rPr>
          <w:rFonts w:ascii="Arial" w:cs="Arial" w:eastAsia="Arial" w:hAnsi="Arial"/>
          <w:sz w:val="16"/>
          <w:szCs w:val="16"/>
          <w:color w:val="auto"/>
        </w:rPr>
        <w:t>Tenant shall notify Landlord of any material damage to the Premises resulting from fire or any other casualty promptly following the date Tenant actually becomes aware of the same. If the Premises or any Common Areas of the Industrial Center serving or providing access to the Premises shall be damaged by fire or other casualty, Landlord shall promptly and diligently prosecute to completion (subject to reasonable delays for insurance adjustment or other matters beyond Landlord’s reasonable control, and subject to all other terms of this Paragraph 9.1) the restoration of the areas that are Landlord’s obligation to repair under Paragraph 7.2 above, but Landlord shall not be required to restore the tenant improvements within the Premises or any Alterations made by Tenant to the Premises, the restoration of which shall be performed by Tenant and promptly and diligently prosecuted to completion after Landlord completes Landlord’s restoration obligations as to the Building and Premises. In connection with repairs and replacements required to be made by Tenant, Tenant shall, prior to the commencement of construction, submit to Landlord for Landlord’s review and approval (not to be unreasonably withheld, conditioned or delayed) all plans specifications and working drawings relating thereto. Landlord shall not be liable for any inconvenience or annoyance to Tenant or its visitors, or injury to Tenant’s business resulting in any way from such damage or the repair thereof; provided however, that if such fire or other casualty shall have damaged the Premises or the Common Areas necessary to Tenant’s occupancy, Landlord shall allow Tenant a proportionate abatement of Rent during the time and to the extent the Premises are materially damaged and unfit for occupancy for the purposes permitted under this Lease, and not occupied by Tenant as a result thereof, except that, unless the casualty resulted from the negligence, recklessness or willful acts of Landlord, Tenant’s Rent shall abate only to the extent Landlord is reimbursed for such lost Rent from the proceeds of rental interruption insurance carried by Landlord.</w:t>
      </w:r>
    </w:p>
    <w:p>
      <w:pPr>
        <w:spacing w:after="0" w:line="171" w:lineRule="exact"/>
        <w:rPr>
          <w:rFonts w:ascii="Arial" w:cs="Arial" w:eastAsia="Arial" w:hAnsi="Arial"/>
          <w:sz w:val="16"/>
          <w:szCs w:val="16"/>
          <w:color w:val="auto"/>
        </w:rPr>
      </w:pPr>
    </w:p>
    <w:p>
      <w:pPr>
        <w:jc w:val="both"/>
        <w:ind w:firstLine="1138"/>
        <w:spacing w:after="0" w:line="268" w:lineRule="auto"/>
        <w:tabs>
          <w:tab w:leader="none" w:pos="1631" w:val="left"/>
        </w:tabs>
        <w:numPr>
          <w:ilvl w:val="1"/>
          <w:numId w:val="496"/>
        </w:numPr>
        <w:rPr>
          <w:rFonts w:ascii="Arial" w:cs="Arial" w:eastAsia="Arial" w:hAnsi="Arial"/>
          <w:sz w:val="17"/>
          <w:szCs w:val="17"/>
          <w:color w:val="auto"/>
        </w:rPr>
      </w:pPr>
      <w:r>
        <w:rPr>
          <w:rFonts w:ascii="Arial" w:cs="Arial" w:eastAsia="Arial" w:hAnsi="Arial"/>
          <w:sz w:val="17"/>
          <w:szCs w:val="17"/>
          <w:color w:val="auto"/>
        </w:rPr>
        <w:t>Notwithstanding the terms of Paragraph 9.1(a) above, Landlord may elect not to rebuild and/or restore the Premises and/or Industrial Center and instead terminate this Lease by notifying Tenant in writing of such termination (the “</w:t>
      </w:r>
      <w:r>
        <w:rPr>
          <w:rFonts w:ascii="Arial" w:cs="Arial" w:eastAsia="Arial" w:hAnsi="Arial"/>
          <w:sz w:val="17"/>
          <w:szCs w:val="17"/>
          <w:b w:val="1"/>
          <w:bCs w:val="1"/>
          <w:color w:val="auto"/>
        </w:rPr>
        <w:t>Casualty Termination Notice</w:t>
      </w:r>
      <w:r>
        <w:rPr>
          <w:rFonts w:ascii="Arial" w:cs="Arial" w:eastAsia="Arial" w:hAnsi="Arial"/>
          <w:sz w:val="17"/>
          <w:szCs w:val="17"/>
          <w:color w:val="auto"/>
        </w:rPr>
        <w:t>”) within sixty (60) days after the date of actual discovery of damage, such Casualty Termination Notice to include a termination date giving Tenant sixty (60) days to vacate the Premises, but Landlord may so elect only if the Industrial Center shall be damaged by fire or other casualty or cause whether or not the Premises are affected, and one or more of the following conditions is present: (a) Landlord’s estimate of the length of time required for Landlord and Tenant to complete their respective required repairs (which estimate shall be delivered to Tenant in writing (“</w:t>
      </w:r>
      <w:r>
        <w:rPr>
          <w:rFonts w:ascii="Arial" w:cs="Arial" w:eastAsia="Arial" w:hAnsi="Arial"/>
          <w:sz w:val="17"/>
          <w:szCs w:val="17"/>
          <w:b w:val="1"/>
          <w:bCs w:val="1"/>
          <w:color w:val="auto"/>
        </w:rPr>
        <w:t>Landlord’s Repair Estimate</w:t>
      </w:r>
      <w:r>
        <w:rPr>
          <w:rFonts w:ascii="Arial" w:cs="Arial" w:eastAsia="Arial" w:hAnsi="Arial"/>
          <w:sz w:val="17"/>
          <w:szCs w:val="17"/>
          <w:color w:val="auto"/>
        </w:rPr>
        <w:t>”) within forty-five (45) days following the later of date of the damage or the date of Landlord’s knowledge of the damage) exceeds one hundred eighty (180) days from the date of actual discovery of damage (when such repairs are made without the payment of overtime or other premiums), (b) the holder of any mortgage on the Buildings or ground or underlying lessor with respect to the Industrial Center shall require that the insurance proceeds or any portion thereof be used to retire the mortgage debt, or shall terminate the ground or underlying lease, as the case may be; or (c) the cost of repairing the damage required to be repaired by Landlord (without consideration of the amount of Landlord’s deductible) exceeds the amount of available insurance.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26" w:name="page527"/>
    <w:bookmarkEnd w:id="526"/>
    <w:p>
      <w:pPr>
        <w:jc w:val="both"/>
        <w:ind w:firstLine="1138"/>
        <w:spacing w:after="0" w:line="256" w:lineRule="auto"/>
        <w:tabs>
          <w:tab w:leader="none" w:pos="1579"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Lease, if the damage is to the Premises or if portions of the Common Areas (including, without limitation, the parking areas) are damaged or not reasonably accessible to Tenant as a result of the damage to the Industrial Center and, as a result, Tenant cannot reasonably operate its business at the Premises then, if Landlord’s Repair Estimate is more than one hundred eighty (180) days and Landlord has not elected to terminate this Lease pursuant to this Paragraph 9.1, Tenant shall have the right to terminate this Lease by giving Landlord written notice thereof within forty-five (45) days following receipt of Landlord’s Repair Estimate.</w:t>
      </w:r>
    </w:p>
    <w:p>
      <w:pPr>
        <w:spacing w:after="0" w:line="188" w:lineRule="exact"/>
        <w:rPr>
          <w:rFonts w:ascii="Arial" w:cs="Arial" w:eastAsia="Arial" w:hAnsi="Arial"/>
          <w:sz w:val="18"/>
          <w:szCs w:val="18"/>
          <w:color w:val="auto"/>
        </w:rPr>
      </w:pPr>
    </w:p>
    <w:p>
      <w:pPr>
        <w:jc w:val="both"/>
        <w:ind w:firstLine="1138"/>
        <w:spacing w:after="0" w:line="254" w:lineRule="auto"/>
        <w:tabs>
          <w:tab w:leader="none" w:pos="16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the Premises is wholly or partially damaged or destroyed within the final six (6) months of the then remaining Lease Term (as the same may theretofore have been extended pursuant to this Lease), and if as a result of such damage or destruction Tenant is, or reasonably will be, denied access or use of a material portion of the Premises for the conduct of its business operations for a period of ninety (90) consecutive days (or such shorter period as is then remaining in the Term), then Landlord or Tenant may, at its option, elect to terminate the Lease as to the affected portion of the Premises, by giving the other party notice no later than sixty (60) days after the actual discovery of such damage or destruction.</w:t>
      </w:r>
    </w:p>
    <w:p>
      <w:pPr>
        <w:spacing w:after="0" w:line="192" w:lineRule="exact"/>
        <w:rPr>
          <w:rFonts w:ascii="Arial" w:cs="Arial" w:eastAsia="Arial" w:hAnsi="Arial"/>
          <w:sz w:val="18"/>
          <w:szCs w:val="18"/>
          <w:color w:val="auto"/>
        </w:rPr>
      </w:pPr>
    </w:p>
    <w:p>
      <w:pPr>
        <w:jc w:val="both"/>
        <w:ind w:firstLine="1138"/>
        <w:spacing w:after="0" w:line="262" w:lineRule="auto"/>
        <w:tabs>
          <w:tab w:leader="none" w:pos="1589" w:val="left"/>
        </w:tabs>
        <w:numPr>
          <w:ilvl w:val="0"/>
          <w:numId w:val="497"/>
        </w:numPr>
        <w:rPr>
          <w:rFonts w:ascii="Arial" w:cs="Arial" w:eastAsia="Arial" w:hAnsi="Arial"/>
          <w:sz w:val="18"/>
          <w:szCs w:val="18"/>
          <w:color w:val="auto"/>
        </w:rPr>
      </w:pPr>
      <w:r>
        <w:rPr>
          <w:rFonts w:ascii="Arial" w:cs="Arial" w:eastAsia="Arial" w:hAnsi="Arial"/>
          <w:sz w:val="18"/>
          <w:szCs w:val="18"/>
          <w:color w:val="auto"/>
        </w:rPr>
        <w:t>Upon any such termination of this Lease pursuant to this Paragraph 9.1, Tenant shall pay Rent, properly apportioned up to such date of termination, and both parties hereto shall thereafter be freed and discharged of all further obligations hereunder, except as provided for in provisions of this Lease which by their terms survive the expiration or earlier termination of the Lease Term.</w:t>
      </w:r>
    </w:p>
    <w:p>
      <w:pPr>
        <w:spacing w:after="0" w:line="183" w:lineRule="exact"/>
        <w:rPr>
          <w:rFonts w:ascii="Arial" w:cs="Arial" w:eastAsia="Arial" w:hAnsi="Arial"/>
          <w:sz w:val="18"/>
          <w:szCs w:val="18"/>
          <w:color w:val="auto"/>
        </w:rPr>
      </w:pPr>
    </w:p>
    <w:p>
      <w:pPr>
        <w:jc w:val="both"/>
        <w:ind w:firstLine="1138"/>
        <w:spacing w:after="0" w:line="295" w:lineRule="auto"/>
        <w:tabs>
          <w:tab w:leader="none" w:pos="1548"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provisions of this Lease, including this Paragraph 9.1, constitute an express agreement between Landlord and Tenant with respect to any and all damage to, or destruction of, all or any part of the Premises, the Industrial Center or any portion thereof,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Industrial Center or any portion thereof.</w:t>
      </w:r>
    </w:p>
    <w:p>
      <w:pPr>
        <w:spacing w:after="0" w:line="157" w:lineRule="exact"/>
        <w:rPr>
          <w:sz w:val="20"/>
          <w:szCs w:val="20"/>
          <w:color w:val="auto"/>
        </w:rPr>
      </w:pPr>
    </w:p>
    <w:p>
      <w:pPr>
        <w:ind w:firstLine="646"/>
        <w:spacing w:after="0" w:line="311"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Damage Caused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termination rights under Paragraph 9.1 shall not apply if the damage to the Premises or Building is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any act or omission of Tenant or of any of Tenant’s agents, employees, customers, invitees, or contractors (“</w:t>
      </w:r>
      <w:r>
        <w:rPr>
          <w:rFonts w:ascii="Arial" w:cs="Arial" w:eastAsia="Arial" w:hAnsi="Arial"/>
          <w:sz w:val="17"/>
          <w:szCs w:val="17"/>
          <w:b w:val="1"/>
          <w:bCs w:val="1"/>
          <w:color w:val="auto"/>
        </w:rPr>
        <w:t>Tenant Acts</w:t>
      </w:r>
      <w:r>
        <w:rPr>
          <w:rFonts w:ascii="Arial" w:cs="Arial" w:eastAsia="Arial" w:hAnsi="Arial"/>
          <w:sz w:val="17"/>
          <w:szCs w:val="17"/>
          <w:color w:val="auto"/>
        </w:rPr>
        <w:t>”).</w:t>
      </w:r>
    </w:p>
    <w:p>
      <w:pPr>
        <w:spacing w:after="0" w:line="139" w:lineRule="exact"/>
        <w:rPr>
          <w:sz w:val="20"/>
          <w:szCs w:val="20"/>
          <w:color w:val="auto"/>
        </w:rPr>
      </w:pPr>
    </w:p>
    <w:p>
      <w:pPr>
        <w:ind w:left="660" w:hanging="652"/>
        <w:spacing w:after="0"/>
        <w:tabs>
          <w:tab w:leader="none" w:pos="6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Real Property Taxes</w:t>
      </w:r>
      <w:r>
        <w:rPr>
          <w:rFonts w:ascii="Arial" w:cs="Arial" w:eastAsia="Arial" w:hAnsi="Arial"/>
          <w:sz w:val="18"/>
          <w:szCs w:val="18"/>
          <w:color w:val="auto"/>
        </w:rPr>
        <w:t>.</w:t>
      </w:r>
    </w:p>
    <w:p>
      <w:pPr>
        <w:spacing w:after="0" w:line="224" w:lineRule="exact"/>
        <w:rPr>
          <w:sz w:val="20"/>
          <w:szCs w:val="20"/>
          <w:color w:val="auto"/>
        </w:rPr>
      </w:pPr>
    </w:p>
    <w:p>
      <w:pPr>
        <w:ind w:firstLine="646"/>
        <w:spacing w:after="0" w:line="311"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Payment of Real Property Taxes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pay the Real Property Taxes due and payable during the term of this Lease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provided in Paragraph 10.3, such payments shall be a Common Area Operating Expense reimbursable pursuant to Paragraph 4.2.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27" w:name="page528"/>
    <w:bookmarkEnd w:id="527"/>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Real Property Tax Definition</w:t>
      </w:r>
      <w:r>
        <w:rPr>
          <w:rFonts w:ascii="Arial" w:cs="Arial" w:eastAsia="Arial" w:hAnsi="Arial"/>
          <w:sz w:val="17"/>
          <w:szCs w:val="17"/>
          <w:b w:val="1"/>
          <w:bCs w:val="1"/>
          <w:color w:val="auto"/>
        </w:rPr>
        <w:t xml:space="preserve">. </w:t>
      </w:r>
      <w:r>
        <w:rPr>
          <w:rFonts w:ascii="Arial" w:cs="Arial" w:eastAsia="Arial" w:hAnsi="Arial"/>
          <w:sz w:val="17"/>
          <w:szCs w:val="17"/>
          <w:color w:val="auto"/>
        </w:rPr>
        <w:t>As used herein, the term “</w:t>
      </w:r>
      <w:r>
        <w:rPr>
          <w:rFonts w:ascii="Arial" w:cs="Arial" w:eastAsia="Arial" w:hAnsi="Arial"/>
          <w:sz w:val="17"/>
          <w:szCs w:val="17"/>
          <w:b w:val="1"/>
          <w:bCs w:val="1"/>
          <w:color w:val="auto"/>
        </w:rPr>
        <w:t xml:space="preserve">Real Property Taxes” </w:t>
      </w:r>
      <w:r>
        <w:rPr>
          <w:rFonts w:ascii="Arial" w:cs="Arial" w:eastAsia="Arial" w:hAnsi="Arial"/>
          <w:sz w:val="17"/>
          <w:szCs w:val="17"/>
          <w:color w:val="auto"/>
        </w:rPr>
        <w:t>is any form of tax or assessment, general, special,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or extraordinary, imposed or levied upon (a) the Industrial Center or Building, (b) any interest of Landlord in the Industrial Center or Building, (c) Landlord’s right to rent or other income from the Industrial Center or Building, and/or (d) Landlord’s business of leasing the Premises. Real Property Taxes include (a) any license fee, commercial rental tax, excise tax, improvement bond or bonds, levy, or tax; (b) any tax or charge which replaces or is in addition to any of such above-described “</w:t>
      </w:r>
      <w:r>
        <w:rPr>
          <w:rFonts w:ascii="Arial" w:cs="Arial" w:eastAsia="Arial" w:hAnsi="Arial"/>
          <w:sz w:val="17"/>
          <w:szCs w:val="17"/>
          <w:b w:val="1"/>
          <w:bCs w:val="1"/>
          <w:color w:val="auto"/>
        </w:rPr>
        <w:t>Real Property Taxes</w:t>
      </w:r>
      <w:r>
        <w:rPr>
          <w:rFonts w:ascii="Arial" w:cs="Arial" w:eastAsia="Arial" w:hAnsi="Arial"/>
          <w:sz w:val="17"/>
          <w:szCs w:val="17"/>
          <w:color w:val="auto"/>
        </w:rPr>
        <w:t>,” and (c) any fees, expenses, or costs (including attorneys’ fees, expert fees, and the like) incurred by Landlord in protesting or contesting any assessments levied or any tax rate. Real Property Taxes for tax years commencing prior to, or extending beyond, the term of this Lease shall be prorated to coincide with the corresponding Commencement Date and Expiration Date.</w:t>
      </w:r>
    </w:p>
    <w:p>
      <w:pPr>
        <w:spacing w:after="0" w:line="172"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Additional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shall not include Real Property Taxes attributable to improvements placed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Center by other tenants or by Landlord for the exclusive enjoyment of such other tenants. Tenant shall, however, pay to Landlord at the time Operating Expenses are payable under Paragraph 4.2, the entirety of any increase in Real Property Taxes if assessed by reason of improvements placed upon the Premises by Tenant or at Tenant’s request.</w:t>
      </w:r>
    </w:p>
    <w:p>
      <w:pPr>
        <w:spacing w:after="0" w:line="18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Joint 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If the Building is not separately assessed, Real Property Taxes allocated to the Building shall be an equitable proportion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 Property Taxes for all of the land and improvements included within the tax parcel assessed.</w:t>
      </w:r>
    </w:p>
    <w:p>
      <w:pPr>
        <w:spacing w:after="0" w:line="163"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7"/>
          <w:szCs w:val="17"/>
          <w:b w:val="1"/>
          <w:bCs w:val="1"/>
          <w:color w:val="auto"/>
        </w:rPr>
        <w:t xml:space="preserve">10.5 </w:t>
      </w:r>
      <w:r>
        <w:rPr>
          <w:rFonts w:ascii="Arial" w:cs="Arial" w:eastAsia="Arial" w:hAnsi="Arial"/>
          <w:sz w:val="17"/>
          <w:szCs w:val="17"/>
          <w:b w:val="1"/>
          <w:bCs w:val="1"/>
          <w:u w:val="single" w:color="auto"/>
          <w:color w:val="auto"/>
        </w:rPr>
        <w:t>Tenant’s Property Taxes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pay prior to delinquency all taxes assessed against and levied upon Tenant’s improvements, fixtures,</w:t>
      </w:r>
      <w:r>
        <w:rPr>
          <w:rFonts w:ascii="Arial" w:cs="Arial" w:eastAsia="Arial" w:hAnsi="Arial"/>
          <w:sz w:val="17"/>
          <w:szCs w:val="17"/>
          <w:b w:val="1"/>
          <w:bCs w:val="1"/>
          <w:color w:val="auto"/>
        </w:rPr>
        <w:t xml:space="preserve"> </w:t>
      </w:r>
      <w:r>
        <w:rPr>
          <w:rFonts w:ascii="Arial" w:cs="Arial" w:eastAsia="Arial" w:hAnsi="Arial"/>
          <w:sz w:val="17"/>
          <w:szCs w:val="17"/>
          <w:color w:val="auto"/>
        </w:rPr>
        <w:t>furnishings, equipment, and all personal property of Tenant contained in the Premises or stored within the Industrial Center.</w:t>
      </w:r>
    </w:p>
    <w:p>
      <w:pPr>
        <w:spacing w:after="0" w:line="139" w:lineRule="exact"/>
        <w:rPr>
          <w:sz w:val="20"/>
          <w:szCs w:val="20"/>
          <w:color w:val="auto"/>
        </w:rPr>
      </w:pPr>
    </w:p>
    <w:p>
      <w:pPr>
        <w:jc w:val="both"/>
        <w:ind w:firstLine="8"/>
        <w:spacing w:after="0" w:line="288" w:lineRule="auto"/>
        <w:tabs>
          <w:tab w:leader="none" w:pos="699" w:val="left"/>
        </w:tabs>
        <w:numPr>
          <w:ilvl w:val="0"/>
          <w:numId w:val="4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Utilities. </w:t>
      </w:r>
      <w:r>
        <w:rPr>
          <w:rFonts w:ascii="Arial" w:cs="Arial" w:eastAsia="Arial" w:hAnsi="Arial"/>
          <w:sz w:val="16"/>
          <w:szCs w:val="16"/>
          <w:color w:val="auto"/>
        </w:rPr>
        <w:t>Tenant shall pay directly for all utilities and services supplied to the Premises, including but not limited to electricity, telephone,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gas, and cleaning of the Premises, together with any taxes thereon. For any such utility fees or services that are not billed or metered separately to Tenant, including without limitation, water and sewer charges, and garbage and waste disposal (collectively, “</w:t>
      </w:r>
      <w:r>
        <w:rPr>
          <w:rFonts w:ascii="Arial" w:cs="Arial" w:eastAsia="Arial" w:hAnsi="Arial"/>
          <w:sz w:val="16"/>
          <w:szCs w:val="16"/>
          <w:b w:val="1"/>
          <w:bCs w:val="1"/>
          <w:color w:val="auto"/>
        </w:rPr>
        <w:t>Utility Expenses</w:t>
      </w:r>
      <w:r>
        <w:rPr>
          <w:rFonts w:ascii="Arial" w:cs="Arial" w:eastAsia="Arial" w:hAnsi="Arial"/>
          <w:sz w:val="16"/>
          <w:szCs w:val="16"/>
          <w:color w:val="auto"/>
        </w:rPr>
        <w:t>”), Tenant shall pay to Landlord Tenant’s Share of Utility Expenses. If Landlord reasonably determines that Tenant’s Share of Utility Expenses is not commensurate with Tenant’s use of such services, Tenant shall pay to Landlord the amount which is attributable to Tenant’s use of the utilities or similar services, as reasonably estimated and determined by Landlord, based upon factors such as size of the Premises and intensity of use of such utilities by Tenant such that Tenant shall pay the portion of such charges reasonably consistent with Tenant’s use of such utilities and similar services. If Tenant disputes any such estimate or determination, then Tenant shall either pay the estimated amount or cause the Premises to be separately metered at Tenant’s sole expense. Tenant shall also pay Tenant’s Share of any assessments, charges, and fees included within any tax bill for the lot on which the Premises are situated, including without limitation, entitlement fees, allocation unit fees, sewer use fees, and any other similar fees or charges.</w:t>
      </w:r>
    </w:p>
    <w:p>
      <w:pPr>
        <w:spacing w:after="0" w:line="160" w:lineRule="exact"/>
        <w:rPr>
          <w:rFonts w:ascii="Arial" w:cs="Arial" w:eastAsia="Arial" w:hAnsi="Arial"/>
          <w:sz w:val="16"/>
          <w:szCs w:val="16"/>
          <w:b w:val="1"/>
          <w:bCs w:val="1"/>
          <w:color w:val="auto"/>
        </w:rPr>
      </w:pPr>
    </w:p>
    <w:p>
      <w:pPr>
        <w:ind w:left="660" w:hanging="652"/>
        <w:spacing w:after="0"/>
        <w:tabs>
          <w:tab w:leader="none" w:pos="66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Subleasing</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Prohibition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Paragraph 12.10 below regarding Transfers to an Affiliate, Tenant shall not, without the prior written consent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assign, mortgage, hypothecate, encumber, grant any license or concession, pledge or otherwise transfer this Lease or any interest herein, permit any assignment or other such transfer of this Lease or any interest hereunder by operation of law, sublet the Premises or any part thereof, or permit the use of the Premises by any persons other than Tenant and Tenant’s Representatives (all of the foregoing are sometimes referred to collectively as “</w:t>
      </w:r>
      <w:r>
        <w:rPr>
          <w:rFonts w:ascii="Arial" w:cs="Arial" w:eastAsia="Arial" w:hAnsi="Arial"/>
          <w:sz w:val="17"/>
          <w:szCs w:val="17"/>
          <w:b w:val="1"/>
          <w:bCs w:val="1"/>
          <w:color w:val="auto"/>
        </w:rPr>
        <w:t>Transfers</w:t>
      </w:r>
      <w:r>
        <w:rPr>
          <w:rFonts w:ascii="Arial" w:cs="Arial" w:eastAsia="Arial" w:hAnsi="Arial"/>
          <w:sz w:val="17"/>
          <w:szCs w:val="17"/>
          <w:color w:val="auto"/>
        </w:rPr>
        <w:t>” and any person to whom any Transfer is made or sought to be made is sometimes referred to as a “</w:t>
      </w:r>
      <w:r>
        <w:rPr>
          <w:rFonts w:ascii="Arial" w:cs="Arial" w:eastAsia="Arial" w:hAnsi="Arial"/>
          <w:sz w:val="17"/>
          <w:szCs w:val="17"/>
          <w:b w:val="1"/>
          <w:bCs w:val="1"/>
          <w:color w:val="auto"/>
        </w:rPr>
        <w:t>Transferee</w:t>
      </w:r>
      <w:r>
        <w:rPr>
          <w:rFonts w:ascii="Arial" w:cs="Arial" w:eastAsia="Arial" w:hAnsi="Arial"/>
          <w:sz w:val="17"/>
          <w:szCs w:val="17"/>
          <w:color w:val="auto"/>
        </w:rPr>
        <w:t>”). No consent to any Transfer shall constitute a waiver of the provisions of this Section, and all subsequent Transfers may be made only with the prior written consent of Landlord, which consent shall not be unreasonably withheld, but which consent shall be subject to the provisions of this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28" w:name="page529"/>
    <w:bookmarkEnd w:id="528"/>
    <w:p>
      <w:pPr>
        <w:jc w:val="both"/>
        <w:ind w:firstLine="646"/>
        <w:spacing w:after="0" w:line="282"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Request for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Paragraph 12.10 below regarding Transfers to an Affiliate, if Tenant seeks to make a Transfer (other than a</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Transfer), Tenant shall notify Landlord, in writing, and deliver to Landlord at least thirty (30) days (but not more than one hundred eighty (180) days) prior to the proposed commencement date of the Transfer (the “</w:t>
      </w:r>
      <w:r>
        <w:rPr>
          <w:rFonts w:ascii="Arial" w:cs="Arial" w:eastAsia="Arial" w:hAnsi="Arial"/>
          <w:sz w:val="16"/>
          <w:szCs w:val="16"/>
          <w:b w:val="1"/>
          <w:bCs w:val="1"/>
          <w:color w:val="auto"/>
        </w:rPr>
        <w:t>Proposed Effective Date</w:t>
      </w:r>
      <w:r>
        <w:rPr>
          <w:rFonts w:ascii="Arial" w:cs="Arial" w:eastAsia="Arial" w:hAnsi="Arial"/>
          <w:sz w:val="16"/>
          <w:szCs w:val="16"/>
          <w:color w:val="auto"/>
        </w:rPr>
        <w:t>”) the following information and documents (the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(i) a description of the portion of the Premises to be transferred (the “</w:t>
      </w:r>
      <w:r>
        <w:rPr>
          <w:rFonts w:ascii="Arial" w:cs="Arial" w:eastAsia="Arial" w:hAnsi="Arial"/>
          <w:sz w:val="16"/>
          <w:szCs w:val="16"/>
          <w:b w:val="1"/>
          <w:bCs w:val="1"/>
          <w:color w:val="auto"/>
        </w:rPr>
        <w:t>Subject Space</w:t>
      </w:r>
      <w:r>
        <w:rPr>
          <w:rFonts w:ascii="Arial" w:cs="Arial" w:eastAsia="Arial" w:hAnsi="Arial"/>
          <w:sz w:val="16"/>
          <w:szCs w:val="16"/>
          <w:color w:val="auto"/>
        </w:rPr>
        <w:t>”); (ii) all of the terms of the proposed Transfer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the Proposed Effective Date, the name and address of the proposed Transferee, and a copy of the existing or proposed assignment, sublease or other agreement governing the proposed Transfer; (iii) current financial statements of the proposed Transferee certified by an officer, member, partner or owner thereof, and any such other information as Landlord may then reasonably require, including without limitation, audited financial statements for the previous three (3) most recent consecutive fiscal years; (iv) the Plans and Specifications (defined below), if any; and (v) such other information as Landlord may then reasonably require. Within thirty (30) days after Landlord’s receipt of the Tenant’s Notice (the “</w:t>
      </w:r>
      <w:r>
        <w:rPr>
          <w:rFonts w:ascii="Arial" w:cs="Arial" w:eastAsia="Arial" w:hAnsi="Arial"/>
          <w:sz w:val="16"/>
          <w:szCs w:val="16"/>
          <w:b w:val="1"/>
          <w:bCs w:val="1"/>
          <w:color w:val="auto"/>
        </w:rPr>
        <w:t>Landlord Response Period</w:t>
      </w:r>
      <w:r>
        <w:rPr>
          <w:rFonts w:ascii="Arial" w:cs="Arial" w:eastAsia="Arial" w:hAnsi="Arial"/>
          <w:sz w:val="16"/>
          <w:szCs w:val="16"/>
          <w:color w:val="auto"/>
        </w:rPr>
        <w:t>”) Landlord shall notify Tenant, in writing, of its determination with respect to such requested proposed Transfer and the election to recapture as set forth in Paragraph 12.5. below. If Landlord does not elect to recapture pursuant to the provisions hereof and Landlord does consent to the requested proposed Transfer, Tenant may thereafter assign its interests in and to this Lease or sublease all or a portion of the Premises to the same party and on the same terms as set forth in the Tenant’s Notice, but if such transaction is not consummated within four (4) months of Landlord’s consent to the Transfer, then Tenant must against deliver a Tenant’s Notice and comply with the provisions of this Paragraph 12.2 prior to making a Transfer. If Landlord fails to deliver its written response within the required thirty</w:t>
      </w:r>
    </w:p>
    <w:p>
      <w:pPr>
        <w:spacing w:after="0" w:line="7" w:lineRule="exact"/>
        <w:rPr>
          <w:sz w:val="20"/>
          <w:szCs w:val="20"/>
          <w:color w:val="auto"/>
        </w:rPr>
      </w:pPr>
    </w:p>
    <w:p>
      <w:pPr>
        <w:ind w:left="380" w:hanging="372"/>
        <w:spacing w:after="0"/>
        <w:tabs>
          <w:tab w:leader="none" w:pos="38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day period, Tenant may send a second (2nd) written notice to Landlord, which notice shall contain the following inscription, in bold faced lettering:</w:t>
      </w:r>
    </w:p>
    <w:p>
      <w:pPr>
        <w:spacing w:after="0" w:line="19" w:lineRule="exact"/>
        <w:rPr>
          <w:rFonts w:ascii="Arial" w:cs="Arial" w:eastAsia="Arial" w:hAnsi="Arial"/>
          <w:sz w:val="17"/>
          <w:szCs w:val="17"/>
          <w:color w:val="auto"/>
        </w:rPr>
      </w:pPr>
    </w:p>
    <w:p>
      <w:pPr>
        <w:jc w:val="both"/>
        <w:spacing w:after="0" w:line="252" w:lineRule="auto"/>
        <w:rPr>
          <w:rFonts w:ascii="Arial" w:cs="Arial" w:eastAsia="Arial" w:hAnsi="Arial"/>
          <w:sz w:val="17"/>
          <w:szCs w:val="17"/>
          <w:color w:val="auto"/>
        </w:rPr>
      </w:pPr>
      <w:r>
        <w:rPr>
          <w:rFonts w:ascii="Arial" w:cs="Arial" w:eastAsia="Arial" w:hAnsi="Arial"/>
          <w:sz w:val="18"/>
          <w:szCs w:val="18"/>
          <w:color w:val="auto"/>
        </w:rPr>
        <w:t>“SECOND NOTICE DELIVERED PURSUANT TO PARAGRAPH 12.2. OF LEASE - - FAILURE BY LANDLORD TO RESPOND WITHIN FIVE (5) BUSINESS DAYS MIGHT RESULT IN LANDLORD’S DEEMED CONSENT TO A PROPOSED ASSIGNMENT OR SUBLEASE.” If Landlord fails to deliver Landlord’s written notice to Tenant within five (5) business days after receiving the aforementioned second (211d) written notice, Landlord shall be deemed to have delivered a written notice to Tenant approving the subject proposed assignment or sublease.</w:t>
      </w:r>
    </w:p>
    <w:p>
      <w:pPr>
        <w:spacing w:after="0" w:line="189"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b w:val="1"/>
          <w:bCs w:val="1"/>
          <w:u w:val="single" w:color="auto"/>
          <w:color w:val="auto"/>
        </w:rPr>
        <w:t>Criteria for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and agrees that, among other circumstances for which Landlord could reasonably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to a proposed Transfer, it shall be reasonable for Landlord to withhold its consent where (a) Tenant is or has been in default of its obligations under this Lease beyond applicable notice and cure periods, (b) the use to be made of the Premises by the proposed Transferee is prohibited under this Lease or differs from the uses permitted under this Lease, (c) the proposed Transferee or its business is subject to compliance with additional requirements of the ADA beyond those requirements which are applicable to Tenant, unless the proposed Transferee shall (1) first deliver plans and specifications for complying with such additional requirements (the “</w:t>
      </w:r>
      <w:r>
        <w:rPr>
          <w:rFonts w:ascii="Arial" w:cs="Arial" w:eastAsia="Arial" w:hAnsi="Arial"/>
          <w:sz w:val="17"/>
          <w:szCs w:val="17"/>
          <w:b w:val="1"/>
          <w:bCs w:val="1"/>
          <w:color w:val="auto"/>
        </w:rPr>
        <w:t>Plans and Specifications</w:t>
      </w:r>
      <w:r>
        <w:rPr>
          <w:rFonts w:ascii="Arial" w:cs="Arial" w:eastAsia="Arial" w:hAnsi="Arial"/>
          <w:sz w:val="17"/>
          <w:szCs w:val="17"/>
          <w:color w:val="auto"/>
        </w:rPr>
        <w:t>”) and obtain Landlord’s written consent thereto, and (2) comply with all Landlord’s conditions contained in such consent, (d) the proposed Transferee does not intend to occupy a substantial portion of the Premises assigned or sublet to it, (e) Landlord reasonably disapproves of the proposed Transferee’s business operating ability or history, reputation or creditworthiness or the character of the business to be conducted by the proposed Transferee at the Premises, (f) the proposed Transferee is a governmental agency, (g) the proposed Transfer would violate any “exclusive” rights of any occupants in the Industrial Center or cause Landlord to violate another agreement or obligation to which Landlord is a party or otherwise subject, (h) Landlord otherwise determines that the proposed Transfer would have the effect of decreasing the value of the Building or the Industrial Center, or increasing the expenses associated with operating, maintaining and repairing the Industrial Center, (i) the proposed Transferee: (1) occupies space in the Industrial Center at the time of the request for consent, or (2) is then negotiating with Landlord to lease space in the Industrial Center or has, during the 6 month period immediately preceding the Tenant’s Notice, communicated with Landlord or Landlord’s Broker as to the availability of space in the Industrial Center and Landlord has at the relevant time, space available within the Industrial Center to meet the Transferee’s space requirements, or (j) the proposed Transferee will use, store or handle Hazardous Materials (defined below) in or about the Premises of a type, nature or quantity not then acceptable to Landlord.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29" w:name="page530"/>
    <w:bookmarkEnd w:id="529"/>
    <w:p>
      <w:pPr>
        <w:jc w:val="both"/>
        <w:ind w:firstLine="646"/>
        <w:spacing w:after="0" w:line="283"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b w:val="1"/>
          <w:bCs w:val="1"/>
          <w:u w:val="single" w:color="auto"/>
          <w:color w:val="auto"/>
        </w:rPr>
        <w:t>Effectiveness of Transfer and 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date on which any Permitted Transfer becomes effective,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Landlord (i) a counterpart of the fully executed Transfer document, (ii) an executed Hazardous Materials Disclosure Certificate substantially in the form of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Transferee HazMat Certificate</w:t>
      </w:r>
      <w:r>
        <w:rPr>
          <w:rFonts w:ascii="Arial" w:cs="Arial" w:eastAsia="Arial" w:hAnsi="Arial"/>
          <w:sz w:val="16"/>
          <w:szCs w:val="16"/>
          <w:color w:val="auto"/>
        </w:rPr>
        <w:t>”), and (iii) subject to Paragraph 12.10 below, Landlord’s then standard form of Consent to Assignment or Consent to Sublease, as applicable, executed by Tenant and the Transferee in which each of Tenant and the Transferee confirms its obligations pursuant to this Lease. Failure or refusal of a Transferee to execute any such consent instrument shall not release or discharge the Transferee from its obligation to do so or from any liability as provided herein. The voluntary, involuntary or other surrender of this Lease by Tenant, or a mutual cancellation by Landlord and Tenant, shall not work a merger, and any such surrender or cancellation shall, at the option of Landlord, either terminate all or any existing subleases or operate as an assignment to Landlord of any or all of such subleases. An assignee of Tenant shall become directly liable to Landlord for all obligations of Tenant hereunder, but no Transfer by Tenant shall relieve Tenant of any obligations or liability under this Lease whether occurring before or after such consent, assignment, subletting or other Transfer. In the case of a sublease, the subtenant shall be jointly and severally liable with Tenant for the payment of rent pertaining to the sublet space in the amount set forth in the sublease, and for the performance of all of the terms and provisions of this Lease applicable to the sublet space under the terms of the sublease. The acceptance of any or all of the Rent by Landlord from any other person (whether or not such person is an occupant of the Premises) shall not be deemed to be a waiver by Landlord of any provision of this Lease or to be a consent to any Transfer. If Tenant is a business entity, the direct or indirect transfer of more than fifty percent (50%) of the ownership interest of the entity (whether in a single transaction or in the aggregate through more than one transaction) shall be deemed a Transfer and shall be subject to all the provisions hereof and in such event, it shall be a condition to Landlord’s consent to such ownership change that such entities or persons acquiring such ownership interest assume, as a primary obligor, all rights and obligations of Tenant under this Lease (and such entities and persons shall execute all documents reasonably required to effectuate such assumption). Notwithstanding the foregoing or anything to the contrary in this Paragraph 12, the issuance of additional shares of Tenant in connection with a bona fide financing or the regular business practices of Tenant as a going concern shall not constitute an assignment of this Lease and Landlord’s consent shall not be required for any such issuance. Any and all options, first rights of refusal, tenant improvement allowances and other similar rights granted to Tenant in this Lease, if any, shall not be assignable by Tenant unless expressly authorized in writing by Landlord (which shall be in Landlord’s sole discretion). Subject to Paragraph 12.10 below, any Transfer made without Landlord’s prior written consent, shall, at Landlord’s option, be null, void and of no effect, and shall, at Landlord’s option, constitute a material default by Tenant of this Lease. As Additional Rent hereunder, Tenant shall pay to Landlord each time it requests a Transfer, an administrative fee in the amount of two thousand five hundred dollars ($2,500) and, in addition, Tenant shall promptly reimburse Landlord for Landlord’s actual and reasonable legal and other expenses incurred by Landlord in connection with any actual or proposed Transfer.</w:t>
      </w:r>
    </w:p>
    <w:p>
      <w:pPr>
        <w:spacing w:after="0" w:line="390"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Recapture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may recapture the Subject Space described in the Tenant’s Notice but only in the event of (x) an assignment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(y) a sublease that will expire (including all renewal options) during the final twelve (12) months of the Lease Term. If such recapture notice is given, it shall serve to terminate this Lease with respect to the proposed Subject Space, or, if the proposed Subject Space covers all the Premises, it shall serve to terminate the entire Term of this Lease, in either case, as of the Proposed Effective Date. However, no termination of this Lease with respect to part or all of the Premises shall become effective without the prior written consent, where necessary, of the holder of each deed of trust encumbering the Premises or any other portion of the Industrial Center. If this Lease is terminated pursuant to the foregoing provisions with respect to less than the entire Premises, (i) the Rent shall be adjusted on the basis of the proportion of rentable square feet retained by Tenant to the rentable square feet originally demised and this Lease as so amended shall continue thereafter in full force and effect and (ii) Tenant shall pay the cost of the work required to separate the Subject Space from the remainder of the Premises.</w:t>
      </w:r>
    </w:p>
    <w:p>
      <w:pPr>
        <w:spacing w:after="0" w:line="19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Transfer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If Landlord consents to a Transfer, as a condition thereto, Tenant shall pay to Landlord monthly, as Additional Rent,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time as the monthly installments of Rent are payable hereunder, seventy-five percent (75%) of any Transfer Premium. The term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Premium</w:t>
      </w:r>
      <w:r>
        <w:rPr>
          <w:rFonts w:ascii="Arial" w:cs="Arial" w:eastAsia="Arial" w:hAnsi="Arial"/>
          <w:sz w:val="18"/>
          <w:szCs w:val="18"/>
          <w:color w:val="auto"/>
        </w:rPr>
        <w:t>” shall mean all rent, additional rent and other consideration payable by such Transferee which either initially or over the term of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exceeds the Rent or pro rata portion of the Rent, as the case may be, for such space reserved in the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30" w:name="page531"/>
    <w:bookmarkEnd w:id="530"/>
    <w:p>
      <w:pPr>
        <w:jc w:val="both"/>
        <w:ind w:firstLine="646"/>
        <w:spacing w:after="0" w:line="313"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Transfer, or any indulgences, waivers or extensions of time granted by Landlord to any Transferee, or failure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to take action against any Transferee, Tenant agrees that Landlord may, at its option, proceed against Tenant without having taken action against or joined such Transferee, except that Tenant shall have the benefit of any indulgences, waivers and extensions of time granted to any such Transferee.</w:t>
      </w:r>
    </w:p>
    <w:p>
      <w:pPr>
        <w:spacing w:after="0" w:line="141"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b w:val="1"/>
          <w:bCs w:val="1"/>
          <w:u w:val="single" w:color="auto"/>
          <w:color w:val="auto"/>
        </w:rPr>
        <w:t>No Merger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any of the provisions of this Paragraph 12, if Tenant has entered into any subleases of any portion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the voluntary or other surrender of this Lease by Tenant, or a mutual cancellation by Landlord and Tenant, shall not work a merger, and shall, at the option of Landlord, terminate all or any existing subleases or subtenancies or, at the option of Landlord, operate as an assignment to Landlord of any or all such subleases or subtenancies. If Landlord does elect that such surrender or cancellation operate as an assignment of such subleases or subtenancies, Landlord shall in no way be liable for any previous act or omission by Tenant under the subleases or for the return of any deposit(s) under the subleases that have not been actually delivered to Landlord, nor shall Landlord be bound by any sublease modification(s) executed without Landlord’s consent or for any advance rental payment by the subtenant in excess of one month’s rent.</w:t>
      </w:r>
    </w:p>
    <w:p>
      <w:pPr>
        <w:spacing w:after="0" w:line="172" w:lineRule="exact"/>
        <w:rPr>
          <w:sz w:val="20"/>
          <w:szCs w:val="20"/>
          <w:color w:val="auto"/>
        </w:rPr>
      </w:pPr>
    </w:p>
    <w:p>
      <w:pPr>
        <w:jc w:val="both"/>
        <w:ind w:firstLine="646"/>
        <w:spacing w:after="0" w:line="297" w:lineRule="auto"/>
        <w:rPr>
          <w:sz w:val="20"/>
          <w:szCs w:val="20"/>
          <w:color w:val="auto"/>
        </w:rPr>
      </w:pPr>
      <w:r>
        <w:rPr>
          <w:rFonts w:ascii="Arial" w:cs="Arial" w:eastAsia="Arial" w:hAnsi="Arial"/>
          <w:sz w:val="16"/>
          <w:szCs w:val="16"/>
          <w:b w:val="1"/>
          <w:bCs w:val="1"/>
          <w:color w:val="auto"/>
        </w:rPr>
        <w:t xml:space="preserve">12.9 </w:t>
      </w:r>
      <w:r>
        <w:rPr>
          <w:rFonts w:ascii="Arial" w:cs="Arial" w:eastAsia="Arial" w:hAnsi="Arial"/>
          <w:sz w:val="16"/>
          <w:szCs w:val="16"/>
          <w:b w:val="1"/>
          <w:bCs w:val="1"/>
          <w:u w:val="single" w:color="auto"/>
          <w:color w:val="auto"/>
        </w:rPr>
        <w:t>Special Transfer Prohibitions</w:t>
      </w:r>
      <w:r>
        <w:rPr>
          <w:rFonts w:ascii="Arial" w:cs="Arial" w:eastAsia="Arial" w:hAnsi="Arial"/>
          <w:sz w:val="16"/>
          <w:szCs w:val="16"/>
          <w:color w:val="auto"/>
        </w:rPr>
        <w:t>. Notwithstanding anything set forth above to the contrary, Tenant may not (a) sublet the Premises or assign</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to any person or entity in which Landlord owns an interest, directly or indirectly (by applying constructive ownership rules set forth in Section 856(d)(5) of the Internal Revenue Code (the “</w:t>
      </w:r>
      <w:r>
        <w:rPr>
          <w:rFonts w:ascii="Arial" w:cs="Arial" w:eastAsia="Arial" w:hAnsi="Arial"/>
          <w:sz w:val="16"/>
          <w:szCs w:val="16"/>
          <w:b w:val="1"/>
          <w:bCs w:val="1"/>
          <w:color w:val="auto"/>
        </w:rPr>
        <w:t>Code</w:t>
      </w:r>
      <w:r>
        <w:rPr>
          <w:rFonts w:ascii="Arial" w:cs="Arial" w:eastAsia="Arial" w:hAnsi="Arial"/>
          <w:sz w:val="16"/>
          <w:szCs w:val="16"/>
          <w:color w:val="auto"/>
        </w:rPr>
        <w:t>”); or (b) sublet the Premises or assign this Lease in any other manner which could cause any portion of the amounts received by Landlord pursuant to this Lease or any sublease to fail to qualify as “rents from real property” within the meaning of Section 856(d) of the Code, or which could cause any other income received by Landlord to fail to qualify as income described in Section 856(c)(2) of the Code.</w:t>
      </w:r>
    </w:p>
    <w:p>
      <w:pPr>
        <w:spacing w:after="0" w:line="154"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Affiliates</w:t>
      </w:r>
      <w:r>
        <w:rPr>
          <w:rFonts w:ascii="Arial" w:cs="Arial" w:eastAsia="Arial" w:hAnsi="Arial"/>
          <w:sz w:val="16"/>
          <w:szCs w:val="16"/>
          <w:color w:val="auto"/>
        </w:rPr>
        <w:t>. Notwithstanding anything to the contrary above, but subject to the last sentence of Paragraph 12.4 above, Tenant may assign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or sublet the Premises or any portion thereof, without Landlord’s consent, to any partnership, corporation or other entity which controls, is controlled by, or is under common control with Tenant or Tenant’s parent (control being defined for such purposes as ownership of at least 50% of the equity interests in, and the power to direct the management of, the relevant entity), or to any partnership, corporation or other entity resulting from a merger or consolidation with Tenant or Tenant’s parent, or to any person or entity which acquires all or substantially all the assets of Tenant as a going concern (including by means of a purchase of all or substantially all of Tenant’s stock) (collectively, an “</w:t>
      </w:r>
      <w:r>
        <w:rPr>
          <w:rFonts w:ascii="Arial" w:cs="Arial" w:eastAsia="Arial" w:hAnsi="Arial"/>
          <w:sz w:val="16"/>
          <w:szCs w:val="16"/>
          <w:b w:val="1"/>
          <w:bCs w:val="1"/>
          <w:color w:val="auto"/>
        </w:rPr>
        <w:t>Affiliate</w:t>
      </w:r>
      <w:r>
        <w:rPr>
          <w:rFonts w:ascii="Arial" w:cs="Arial" w:eastAsia="Arial" w:hAnsi="Arial"/>
          <w:sz w:val="16"/>
          <w:szCs w:val="16"/>
          <w:color w:val="auto"/>
        </w:rPr>
        <w:t>”), provided that (i) Landlord receives at least ten (10) days’ prior written notice of the assignment or subletting, together with evidence that the requirements of this Paragraph 12.10. have been met, (ii) the Affiliate’s net worth is sufficient, in Landlord’s sole but good faith judgment, to satisfy Landlord’s then existing financial criteria for new tenants of the Building for space the size of the Premises (or, with regard to a sublease, as to space the size of the sublet space), (iii) except in the case of an assignment where the assignor is dissolved as a matter of law following the series of transactions of which the assignment is a part (e.g. a merger), the Affiliate remains an Affiliate for the duration of the subletting or the balance of the term in the event of an assignment, (iv) the Affiliate assumes (in the event of an assignment) in writing all of Tenant’s obligations under this Lease, and agrees (in the event of a sublease) that such subtenant will, at Landlord’s election, attorn directly to Landlord in the event that this Lease is terminated for any reason, (v) Landlord receives a fully executed copy of an assignment or sublease agreement between Tenant and the Affiliate, (vi) in the case of an assignment by means of a purchase of all or substantially all of Tenant’s stock, the essential purpose of such assignment is to transfer an active, ongoing business with substantial assets in addition to this Lease, and in the case of an assignment (by any means), or a sublease, the transaction is for legitimate business purposes unrelated to this Lease and the transaction is not a subterfuge by Tenant to avoid it obligations under this Lease or the restrictions on assignment and subletting contained herein, and (vii) in the case of a sublease, the Affiliate executes and Tenant delivers to Landlord a fully executed counterpart of Landlord’s waiver and acknowledgement form for an Affiliate sublease.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31" w:name="page532"/>
    <w:bookmarkEnd w:id="531"/>
    <w:p>
      <w:pPr>
        <w:ind w:left="660" w:hanging="652"/>
        <w:spacing w:after="0"/>
        <w:tabs>
          <w:tab w:leader="none" w:pos="6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Event of Default; Remedies</w:t>
      </w:r>
      <w:r>
        <w:rPr>
          <w:rFonts w:ascii="Arial" w:cs="Arial" w:eastAsia="Arial" w:hAnsi="Arial"/>
          <w:sz w:val="18"/>
          <w:szCs w:val="18"/>
          <w:color w:val="auto"/>
        </w:rPr>
        <w:t>.</w:t>
      </w:r>
    </w:p>
    <w:p>
      <w:pPr>
        <w:spacing w:after="0" w:line="22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u w:val="single" w:color="auto"/>
          <w:color w:val="auto"/>
        </w:rPr>
        <w:t>Event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occurrence of any one of the following events shall constitute an event of default on the part of Tenant (“</w:t>
      </w:r>
      <w:r>
        <w:rPr>
          <w:rFonts w:ascii="Arial" w:cs="Arial" w:eastAsia="Arial" w:hAnsi="Arial"/>
          <w:sz w:val="16"/>
          <w:szCs w:val="16"/>
          <w:b w:val="1"/>
          <w:bCs w:val="1"/>
          <w:color w:val="auto"/>
        </w:rPr>
        <w:t>Event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209" w:lineRule="exact"/>
        <w:rPr>
          <w:sz w:val="20"/>
          <w:szCs w:val="20"/>
          <w:color w:val="auto"/>
        </w:rPr>
      </w:pPr>
    </w:p>
    <w:p>
      <w:pPr>
        <w:ind w:left="1720" w:hanging="420"/>
        <w:spacing w:after="0"/>
        <w:tabs>
          <w:tab w:leader="none" w:pos="17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abandonment of the Premises by Tenant;</w:t>
      </w:r>
    </w:p>
    <w:p>
      <w:pPr>
        <w:spacing w:after="0" w:line="223" w:lineRule="exact"/>
        <w:rPr>
          <w:rFonts w:ascii="Arial" w:cs="Arial" w:eastAsia="Arial" w:hAnsi="Arial"/>
          <w:sz w:val="18"/>
          <w:szCs w:val="18"/>
          <w:color w:val="auto"/>
        </w:rPr>
      </w:pPr>
    </w:p>
    <w:p>
      <w:pPr>
        <w:jc w:val="both"/>
        <w:ind w:firstLine="1300"/>
        <w:spacing w:after="0" w:line="258" w:lineRule="auto"/>
        <w:tabs>
          <w:tab w:leader="none" w:pos="173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Failure to pay any installment of Rent within five (5) days following written notice from Landlord that such sum is past due; provided, however, that Landlord shall only be required to give one (1) such notice in any calendar year, and after one (1) such notice is given any failure by Tenant in such calendar year to pay sums due hereunder on or before the date due will constitute an Event of Default without the requirement of notice from Landlord of such failure;</w:t>
      </w:r>
    </w:p>
    <w:p>
      <w:pPr>
        <w:spacing w:after="0" w:line="186" w:lineRule="exact"/>
        <w:rPr>
          <w:rFonts w:ascii="Arial" w:cs="Arial" w:eastAsia="Arial" w:hAnsi="Arial"/>
          <w:sz w:val="18"/>
          <w:szCs w:val="18"/>
          <w:color w:val="auto"/>
        </w:rPr>
      </w:pPr>
    </w:p>
    <w:p>
      <w:pPr>
        <w:ind w:left="1720" w:hanging="420"/>
        <w:spacing w:after="0"/>
        <w:tabs>
          <w:tab w:leader="none" w:pos="172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 general assignment by Tenant or any guarantor for the benefit of creditors;</w:t>
      </w:r>
    </w:p>
    <w:p>
      <w:pPr>
        <w:spacing w:after="0" w:line="223" w:lineRule="exact"/>
        <w:rPr>
          <w:rFonts w:ascii="Arial" w:cs="Arial" w:eastAsia="Arial" w:hAnsi="Arial"/>
          <w:sz w:val="18"/>
          <w:szCs w:val="18"/>
          <w:color w:val="auto"/>
        </w:rPr>
      </w:pPr>
    </w:p>
    <w:p>
      <w:pPr>
        <w:ind w:firstLine="1300"/>
        <w:spacing w:after="0" w:line="306" w:lineRule="auto"/>
        <w:tabs>
          <w:tab w:leader="none" w:pos="1757"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filing of a voluntary petition of bankruptcy by Tenant or any guarantor; the filing of a voluntary petition for an arrangement; the filing of a petition, voluntary or involuntary, for reorganization; or the filing of an involuntary petition by Tenant’s creditors or guarantors;</w:t>
      </w:r>
    </w:p>
    <w:p>
      <w:pPr>
        <w:spacing w:after="0" w:line="147" w:lineRule="exact"/>
        <w:rPr>
          <w:rFonts w:ascii="Arial" w:cs="Arial" w:eastAsia="Arial" w:hAnsi="Arial"/>
          <w:sz w:val="17"/>
          <w:szCs w:val="17"/>
          <w:color w:val="auto"/>
        </w:rPr>
      </w:pPr>
    </w:p>
    <w:p>
      <w:pPr>
        <w:ind w:firstLine="1300"/>
        <w:spacing w:after="0" w:line="276" w:lineRule="auto"/>
        <w:tabs>
          <w:tab w:leader="none" w:pos="1719" w:val="left"/>
        </w:tabs>
        <w:numPr>
          <w:ilvl w:val="0"/>
          <w:numId w:val="502"/>
        </w:numPr>
        <w:rPr>
          <w:rFonts w:ascii="Arial" w:cs="Arial" w:eastAsia="Arial" w:hAnsi="Arial"/>
          <w:sz w:val="18"/>
          <w:szCs w:val="18"/>
          <w:color w:val="auto"/>
        </w:rPr>
      </w:pPr>
      <w:r>
        <w:rPr>
          <w:rFonts w:ascii="Arial" w:cs="Arial" w:eastAsia="Arial" w:hAnsi="Arial"/>
          <w:sz w:val="18"/>
          <w:szCs w:val="18"/>
          <w:color w:val="auto"/>
        </w:rPr>
        <w:t>Receivership, attachment, or other judicial seizure of the Premises or all or substantially all of Tenant’s assets on the Premises which is not dismissed within thirty (30) days after commencement of the same;</w:t>
      </w:r>
    </w:p>
    <w:p>
      <w:pPr>
        <w:spacing w:after="0" w:line="169" w:lineRule="exact"/>
        <w:rPr>
          <w:rFonts w:ascii="Arial" w:cs="Arial" w:eastAsia="Arial" w:hAnsi="Arial"/>
          <w:sz w:val="18"/>
          <w:szCs w:val="18"/>
          <w:color w:val="auto"/>
        </w:rPr>
      </w:pPr>
    </w:p>
    <w:p>
      <w:pPr>
        <w:ind w:left="1700" w:hanging="400"/>
        <w:spacing w:after="0"/>
        <w:tabs>
          <w:tab w:leader="none" w:pos="170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Failure of Tenant to maintain insurance as required by Paragraph 8.2;</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Deleted;</w:t>
      </w:r>
    </w:p>
    <w:p>
      <w:pPr>
        <w:spacing w:after="0" w:line="223" w:lineRule="exact"/>
        <w:rPr>
          <w:rFonts w:ascii="Arial" w:cs="Arial" w:eastAsia="Arial" w:hAnsi="Arial"/>
          <w:sz w:val="18"/>
          <w:szCs w:val="18"/>
          <w:color w:val="auto"/>
        </w:rPr>
      </w:pPr>
    </w:p>
    <w:p>
      <w:pPr>
        <w:ind w:right="20" w:firstLine="1300"/>
        <w:spacing w:after="0" w:line="276" w:lineRule="auto"/>
        <w:tabs>
          <w:tab w:leader="none" w:pos="178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Tenant fails to deliver any estoppel certificate pursuant to Paragraph 15.1 below or, subordination agreement pursuant to Paragraph 16.18 above, within the applicable period set forth therein;</w:t>
      </w:r>
    </w:p>
    <w:p>
      <w:pPr>
        <w:spacing w:after="0" w:line="169" w:lineRule="exact"/>
        <w:rPr>
          <w:rFonts w:ascii="Arial" w:cs="Arial" w:eastAsia="Arial" w:hAnsi="Arial"/>
          <w:sz w:val="18"/>
          <w:szCs w:val="18"/>
          <w:color w:val="auto"/>
        </w:rPr>
      </w:pPr>
    </w:p>
    <w:p>
      <w:pPr>
        <w:jc w:val="both"/>
        <w:ind w:firstLine="1300"/>
        <w:spacing w:after="0" w:line="262" w:lineRule="auto"/>
        <w:tabs>
          <w:tab w:leader="none" w:pos="170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Any transfer of a substantial portion of the assets of Tenant, or any incurrence of a material obligation by Tenant, unless such transfer or obligation is undertaken or incurred in the ordinary course of Tenant’s business, or in good faith for equivalent consideration, or with Landlord’s consent; and</w:t>
      </w:r>
    </w:p>
    <w:p>
      <w:pPr>
        <w:spacing w:after="0" w:line="183" w:lineRule="exact"/>
        <w:rPr>
          <w:rFonts w:ascii="Arial" w:cs="Arial" w:eastAsia="Arial" w:hAnsi="Arial"/>
          <w:sz w:val="18"/>
          <w:szCs w:val="18"/>
          <w:color w:val="auto"/>
        </w:rPr>
      </w:pPr>
    </w:p>
    <w:p>
      <w:pPr>
        <w:ind w:firstLine="1300"/>
        <w:spacing w:after="0" w:line="276" w:lineRule="auto"/>
        <w:tabs>
          <w:tab w:leader="none" w:pos="177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default of any guarantors of Tenant’s obligations hereunder under any guaranty of this Lease, or the attempted repudiation or revocation of any such guaranty.</w:t>
      </w:r>
    </w:p>
    <w:p>
      <w:pPr>
        <w:spacing w:after="0" w:line="169" w:lineRule="exact"/>
        <w:rPr>
          <w:rFonts w:ascii="Arial" w:cs="Arial" w:eastAsia="Arial" w:hAnsi="Arial"/>
          <w:sz w:val="18"/>
          <w:szCs w:val="18"/>
          <w:color w:val="auto"/>
        </w:rPr>
      </w:pPr>
    </w:p>
    <w:p>
      <w:pPr>
        <w:jc w:val="both"/>
        <w:ind w:firstLine="1300"/>
        <w:spacing w:after="0" w:line="256" w:lineRule="auto"/>
        <w:tabs>
          <w:tab w:leader="none" w:pos="182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Failure in the performance of any of Tenant’s covenants, agreements, or obligations hereunder (except those failures specified as events of Event of Default in other Paragraphs of this Paragraph 13.1 which shall be governed by such other Paragraphs), which failure continues for 10 days after written notice thereof from Landlord to Tenant; provided that, if Tenant has exercised reasonable diligence to cure such failure and such failure cannot be cured within such 10-day period despite reasonable diligence, Tenant shall not be in default under this subparagraph unless Tenant fails thereafter diligently and continuously to prosecute the cure to completion.</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In the event of any Event of Default by Tenant, Landlord shall have any or all of the following remedies:</w:t>
      </w:r>
    </w:p>
    <w:p>
      <w:pPr>
        <w:spacing w:after="0" w:line="228" w:lineRule="exact"/>
        <w:rPr>
          <w:sz w:val="20"/>
          <w:szCs w:val="20"/>
          <w:color w:val="auto"/>
        </w:rPr>
      </w:pPr>
    </w:p>
    <w:p>
      <w:pPr>
        <w:jc w:val="both"/>
        <w:ind w:firstLine="1300"/>
        <w:spacing w:after="0" w:line="285" w:lineRule="auto"/>
        <w:tabs>
          <w:tab w:leader="none" w:pos="1729" w:val="left"/>
        </w:tabs>
        <w:numPr>
          <w:ilvl w:val="0"/>
          <w:numId w:val="50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In the event of any Event of Default by Tenant, then in addition to any other remedies available to Landlord at law or in equity and under this Lease, Landlord shall have the immediate option to terminate this Lease and all rights of Tenant hereunder by giving written notice of such intention to terminate. In the event that Landlord shall elect to so terminate this Lease then Landlord may recover from Tenant: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32" w:name="page533"/>
    <w:bookmarkEnd w:id="532"/>
    <w:p>
      <w:pPr>
        <w:ind w:left="3060" w:hanging="468"/>
        <w:spacing w:after="0"/>
        <w:tabs>
          <w:tab w:leader="none" w:pos="306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worth at the time of award of any unpaid Rent and any other sums due and payable which have been earned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time of such termination; plus</w:t>
      </w:r>
    </w:p>
    <w:p>
      <w:pPr>
        <w:spacing w:after="0" w:line="209" w:lineRule="exact"/>
        <w:rPr>
          <w:sz w:val="20"/>
          <w:szCs w:val="20"/>
          <w:color w:val="auto"/>
        </w:rPr>
      </w:pPr>
    </w:p>
    <w:p>
      <w:pPr>
        <w:jc w:val="both"/>
        <w:ind w:firstLine="2592"/>
        <w:spacing w:after="0" w:line="262" w:lineRule="auto"/>
        <w:tabs>
          <w:tab w:leader="none" w:pos="3050" w:val="left"/>
        </w:tabs>
        <w:numPr>
          <w:ilvl w:val="2"/>
          <w:numId w:val="50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and any other sums due and payable which would have been earned after termination until the time of award exceeds the amount of such rental loss Tenant proves could have been reasonably avoided; plus</w:t>
      </w:r>
    </w:p>
    <w:p>
      <w:pPr>
        <w:spacing w:after="0" w:line="183" w:lineRule="exact"/>
        <w:rPr>
          <w:rFonts w:ascii="Arial" w:cs="Arial" w:eastAsia="Arial" w:hAnsi="Arial"/>
          <w:sz w:val="18"/>
          <w:szCs w:val="18"/>
          <w:color w:val="auto"/>
        </w:rPr>
      </w:pPr>
    </w:p>
    <w:p>
      <w:pPr>
        <w:ind w:firstLine="2592"/>
        <w:spacing w:after="0" w:line="340" w:lineRule="auto"/>
        <w:tabs>
          <w:tab w:leader="none" w:pos="3041" w:val="left"/>
        </w:tabs>
        <w:numPr>
          <w:ilvl w:val="2"/>
          <w:numId w:val="505"/>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and any other sums due and payable for the balance of the term of this Lease after the time of award exceeds the amount of such rental loss that Tenant proves could be reasonably avoided; plus</w:t>
      </w:r>
    </w:p>
    <w:p>
      <w:pPr>
        <w:spacing w:after="0" w:line="124" w:lineRule="exact"/>
        <w:rPr>
          <w:rFonts w:ascii="Arial" w:cs="Arial" w:eastAsia="Arial" w:hAnsi="Arial"/>
          <w:sz w:val="16"/>
          <w:szCs w:val="16"/>
          <w:color w:val="auto"/>
        </w:rPr>
      </w:pPr>
    </w:p>
    <w:p>
      <w:pPr>
        <w:jc w:val="both"/>
        <w:ind w:firstLine="2592"/>
        <w:spacing w:after="0" w:line="256" w:lineRule="auto"/>
        <w:tabs>
          <w:tab w:leader="none" w:pos="3046" w:val="left"/>
        </w:tabs>
        <w:numPr>
          <w:ilvl w:val="2"/>
          <w:numId w:val="505"/>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would be likely to result therefrom, including, without limitation, any costs or expenses incurred by Landlord (i) in retaking possession of the Premises; (ii) in maintaining, repairing, preserving, restoring, replacing, cleaning, the Premises or any portion thereof, including such acts for reletting to a new lessee or lessees; (iii) for leasing commissions; or (iv) for any other costs necessary or appropriate to relet the Premises; plus</w:t>
      </w:r>
    </w:p>
    <w:p>
      <w:pPr>
        <w:spacing w:after="0" w:line="188" w:lineRule="exact"/>
        <w:rPr>
          <w:rFonts w:ascii="Arial" w:cs="Arial" w:eastAsia="Arial" w:hAnsi="Arial"/>
          <w:sz w:val="18"/>
          <w:szCs w:val="18"/>
          <w:color w:val="auto"/>
        </w:rPr>
      </w:pPr>
    </w:p>
    <w:p>
      <w:pPr>
        <w:ind w:firstLine="2592"/>
        <w:spacing w:after="0" w:line="276" w:lineRule="auto"/>
        <w:tabs>
          <w:tab w:leader="none" w:pos="3027" w:val="left"/>
        </w:tabs>
        <w:numPr>
          <w:ilvl w:val="2"/>
          <w:numId w:val="505"/>
        </w:numPr>
        <w:rPr>
          <w:rFonts w:ascii="Arial" w:cs="Arial" w:eastAsia="Arial" w:hAnsi="Arial"/>
          <w:sz w:val="18"/>
          <w:szCs w:val="18"/>
          <w:color w:val="auto"/>
        </w:rPr>
      </w:pPr>
      <w:r>
        <w:rPr>
          <w:rFonts w:ascii="Arial" w:cs="Arial" w:eastAsia="Arial" w:hAnsi="Arial"/>
          <w:sz w:val="18"/>
          <w:szCs w:val="18"/>
          <w:color w:val="auto"/>
        </w:rPr>
        <w:t>such reasonable attorneys’ fees incurred by Landlord as a result of an Event of Default, and costs in the event suit is filed by Landlord to enforce such remedy; and plus</w:t>
      </w:r>
    </w:p>
    <w:p>
      <w:pPr>
        <w:spacing w:after="0" w:line="169" w:lineRule="exact"/>
        <w:rPr>
          <w:rFonts w:ascii="Arial" w:cs="Arial" w:eastAsia="Arial" w:hAnsi="Arial"/>
          <w:sz w:val="18"/>
          <w:szCs w:val="18"/>
          <w:color w:val="auto"/>
        </w:rPr>
      </w:pPr>
    </w:p>
    <w:p>
      <w:pPr>
        <w:jc w:val="both"/>
        <w:ind w:firstLine="2592"/>
        <w:spacing w:after="0" w:line="272" w:lineRule="auto"/>
        <w:tabs>
          <w:tab w:leader="none" w:pos="3017" w:val="left"/>
        </w:tabs>
        <w:numPr>
          <w:ilvl w:val="2"/>
          <w:numId w:val="505"/>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 applicable law. As used in subparagraphs (1) and (2) above, the “worth at the time of award” is computed by allowing interest at the Interest Rate (as defined in Paragraph 16.2. below). As used in subparagraph (3) above, the “worth at the time of award” is computed by discounting such amount at the discount rate of the Federal Reserve Bank of San Francisco at the time of award, plus one percent (1%). Tenant waives redemption or relief from forfeiture under California Code of Civil Procedure Sections 1174 and 1179, or under any other present or future law, in the event Tenant is evicted or Landlord takes possession of the Premises by reason of any Event of Default of Tenant hereunder.</w:t>
      </w:r>
    </w:p>
    <w:p>
      <w:pPr>
        <w:spacing w:after="0" w:line="178" w:lineRule="exact"/>
        <w:rPr>
          <w:rFonts w:ascii="Arial" w:cs="Arial" w:eastAsia="Arial" w:hAnsi="Arial"/>
          <w:sz w:val="17"/>
          <w:szCs w:val="17"/>
          <w:color w:val="auto"/>
        </w:rPr>
      </w:pPr>
    </w:p>
    <w:p>
      <w:pPr>
        <w:jc w:val="both"/>
        <w:ind w:firstLine="1300"/>
        <w:spacing w:after="0" w:line="258" w:lineRule="auto"/>
        <w:tabs>
          <w:tab w:leader="none" w:pos="1739"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Continuation of Lease</w:t>
      </w:r>
      <w:r>
        <w:rPr>
          <w:rFonts w:ascii="Arial" w:cs="Arial" w:eastAsia="Arial" w:hAnsi="Arial"/>
          <w:sz w:val="18"/>
          <w:szCs w:val="18"/>
          <w:color w:val="auto"/>
        </w:rPr>
        <w:t>. In the event of any Event of Default by Tenant, then in addition to any other remedies available to Landlord at law or in equity and under this Lease, Landlord shall have the remedy described in California Civil Code Section 1951.4 (Landlord may continue this Lease in effect after Tenant’s Event of Default and abandonment and recover Rent as it becomes due, provided tenant has the right to sublet or assign, subject only to reasonable limitations).</w:t>
      </w:r>
    </w:p>
    <w:p>
      <w:pPr>
        <w:spacing w:after="0" w:line="186" w:lineRule="exact"/>
        <w:rPr>
          <w:rFonts w:ascii="Arial" w:cs="Arial" w:eastAsia="Arial" w:hAnsi="Arial"/>
          <w:sz w:val="18"/>
          <w:szCs w:val="18"/>
          <w:color w:val="auto"/>
        </w:rPr>
      </w:pPr>
    </w:p>
    <w:p>
      <w:pPr>
        <w:jc w:val="both"/>
        <w:ind w:firstLine="1300"/>
        <w:spacing w:after="0" w:line="262" w:lineRule="auto"/>
        <w:tabs>
          <w:tab w:leader="none" w:pos="1729"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Re-entry</w:t>
      </w:r>
      <w:r>
        <w:rPr>
          <w:rFonts w:ascii="Arial" w:cs="Arial" w:eastAsia="Arial" w:hAnsi="Arial"/>
          <w:sz w:val="18"/>
          <w:szCs w:val="18"/>
          <w:color w:val="auto"/>
        </w:rPr>
        <w:t>. In the event of any Event of Default by Tenant, Landlord shall also have the right, with or without terminating this Lease, in compliance with applicable law, to re-enter the Premises and remove all persons and property from the Premises; such property may be removed and stored in a public warehouse or elsewhere at the cost of and for the account of Tenant.</w:t>
      </w:r>
    </w:p>
    <w:p>
      <w:pPr>
        <w:spacing w:after="0" w:line="183" w:lineRule="exact"/>
        <w:rPr>
          <w:rFonts w:ascii="Arial" w:cs="Arial" w:eastAsia="Arial" w:hAnsi="Arial"/>
          <w:sz w:val="18"/>
          <w:szCs w:val="18"/>
          <w:color w:val="auto"/>
        </w:rPr>
      </w:pPr>
    </w:p>
    <w:p>
      <w:pPr>
        <w:jc w:val="both"/>
        <w:ind w:firstLine="1300"/>
        <w:spacing w:after="0" w:line="283" w:lineRule="auto"/>
        <w:tabs>
          <w:tab w:leader="none" w:pos="1739" w:val="left"/>
        </w:tabs>
        <w:numPr>
          <w:ilvl w:val="1"/>
          <w:numId w:val="506"/>
        </w:numPr>
        <w:rPr>
          <w:rFonts w:ascii="Arial" w:cs="Arial" w:eastAsia="Arial" w:hAnsi="Arial"/>
          <w:sz w:val="16"/>
          <w:szCs w:val="16"/>
          <w:color w:val="auto"/>
        </w:rPr>
      </w:pPr>
      <w:r>
        <w:rPr>
          <w:rFonts w:ascii="Arial" w:cs="Arial" w:eastAsia="Arial" w:hAnsi="Arial"/>
          <w:sz w:val="16"/>
          <w:szCs w:val="16"/>
          <w:u w:val="single" w:color="auto"/>
          <w:color w:val="auto"/>
        </w:rPr>
        <w:t>Reletting</w:t>
      </w:r>
      <w:r>
        <w:rPr>
          <w:rFonts w:ascii="Arial" w:cs="Arial" w:eastAsia="Arial" w:hAnsi="Arial"/>
          <w:sz w:val="16"/>
          <w:szCs w:val="16"/>
          <w:color w:val="auto"/>
        </w:rPr>
        <w:t>. In the event of the abandonment of the Premises by Tenant or in the event that Landlord shall elect to re-enter or shall take possession of the Premises pursuant to legal proceeding or pursuant to any notice provided by law, then if Landlord does not elect to terminate this Lease as provided in Paragraph a, Landlord may from time to time, without terminating this Lease, relet the Premises or any part thereof for such term or terms and at such rental or rentals and upon such other terms and conditions as Landlord in its sole discretion may deem advisable with the right to make alterations and repairs to the Premises. In the event that Landlord shall elect to so relet, then rentals received by Landlord from such reletting shall be applied in the following order: (1) to reasonable attorneys’ fees incurred by Landlord as a result of an Event of Default and costs in the event suit is filed by Landlord to enforce such remedies; (2) to the payment of any indebtedness other than Rent due hereunder from Tenant to Landlord; (3) to the payment of any costs of such reletting;</w:t>
      </w:r>
    </w:p>
    <w:p>
      <w:pPr>
        <w:spacing w:after="0" w:line="3" w:lineRule="exact"/>
        <w:rPr>
          <w:rFonts w:ascii="Arial" w:cs="Arial" w:eastAsia="Arial" w:hAnsi="Arial"/>
          <w:sz w:val="16"/>
          <w:szCs w:val="16"/>
          <w:color w:val="auto"/>
        </w:rPr>
      </w:pPr>
    </w:p>
    <w:p>
      <w:pPr>
        <w:jc w:val="both"/>
        <w:ind w:firstLine="8"/>
        <w:spacing w:after="0" w:line="269" w:lineRule="auto"/>
        <w:tabs>
          <w:tab w:leader="none" w:pos="257" w:val="left"/>
        </w:tabs>
        <w:numPr>
          <w:ilvl w:val="0"/>
          <w:numId w:val="507"/>
        </w:numPr>
        <w:rPr>
          <w:rFonts w:ascii="Arial" w:cs="Arial" w:eastAsia="Arial" w:hAnsi="Arial"/>
          <w:sz w:val="17"/>
          <w:szCs w:val="17"/>
          <w:color w:val="auto"/>
        </w:rPr>
      </w:pPr>
      <w:r>
        <w:rPr>
          <w:rFonts w:ascii="Arial" w:cs="Arial" w:eastAsia="Arial" w:hAnsi="Arial"/>
          <w:sz w:val="17"/>
          <w:szCs w:val="17"/>
          <w:color w:val="auto"/>
        </w:rPr>
        <w:t>to the payment of the costs of any alterations and repairs to the Premises; (5) to the payment of Rent due and unpaid hereunder; and (6) the residue, if any, shall be held by Landlord and applied in payment of future Rent and other sums payable by Tenant hereunder as the same may become due and payable hereunder. Should that portion of such rentals received from such reletting during any month, which is applied to the payment of Rent hereunder, be less than the Rent payable during the month by Tenant hereunder, then Tenant shall pay such deficiency to Landlord. Such deficiency shall be calculated and paid monthly. Tenant shall also pay to Landlord, as soon as ascertained, any costs and expenses incurred by Landlord in such reletting or in making such alterations and repairs not covered by the rentals received from such reletting.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33" w:name="page534"/>
    <w:bookmarkEnd w:id="533"/>
    <w:p>
      <w:pPr>
        <w:jc w:val="both"/>
        <w:ind w:firstLine="1300"/>
        <w:spacing w:after="0" w:line="258" w:lineRule="auto"/>
        <w:tabs>
          <w:tab w:leader="none" w:pos="1756" w:val="left"/>
        </w:tabs>
        <w:numPr>
          <w:ilvl w:val="1"/>
          <w:numId w:val="50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No re-entry or taking of possession of the Premises by Landlord pursuant to Subparagraphs (c) and (d) above, shall be construed as an election to terminate this Lease unless a written notice of such intention is given to Tenant or unless the termination thereof is decreed by a court of competent jurisdiction. Notwithstanding any reletting without termination by Landlord because of any Event of Default by Tenant, Landlord may at any time after such reletting elect to terminate this Lease for any such Event of Default.</w:t>
      </w:r>
    </w:p>
    <w:p>
      <w:pPr>
        <w:spacing w:after="0" w:line="186" w:lineRule="exact"/>
        <w:rPr>
          <w:rFonts w:ascii="Arial" w:cs="Arial" w:eastAsia="Arial" w:hAnsi="Arial"/>
          <w:sz w:val="18"/>
          <w:szCs w:val="18"/>
          <w:color w:val="auto"/>
        </w:rPr>
      </w:pPr>
    </w:p>
    <w:p>
      <w:pPr>
        <w:ind w:firstLine="1300"/>
        <w:spacing w:after="0" w:line="276" w:lineRule="auto"/>
        <w:tabs>
          <w:tab w:leader="none" w:pos="1736" w:val="left"/>
        </w:tabs>
        <w:numPr>
          <w:ilvl w:val="1"/>
          <w:numId w:val="508"/>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herein provided are not exclusive and Landlord shall have any and all other remedies provided herein or by law or in equity.</w:t>
      </w:r>
    </w:p>
    <w:p>
      <w:pPr>
        <w:spacing w:after="0" w:line="169" w:lineRule="exact"/>
        <w:rPr>
          <w:rFonts w:ascii="Arial" w:cs="Arial" w:eastAsia="Arial" w:hAnsi="Arial"/>
          <w:sz w:val="18"/>
          <w:szCs w:val="18"/>
          <w:color w:val="auto"/>
        </w:rPr>
      </w:pPr>
    </w:p>
    <w:p>
      <w:pPr>
        <w:jc w:val="both"/>
        <w:ind w:firstLine="1300"/>
        <w:spacing w:after="0" w:line="284" w:lineRule="auto"/>
        <w:tabs>
          <w:tab w:leader="none" w:pos="1739" w:val="left"/>
        </w:tabs>
        <w:numPr>
          <w:ilvl w:val="1"/>
          <w:numId w:val="508"/>
        </w:numPr>
        <w:rPr>
          <w:rFonts w:ascii="Arial" w:cs="Arial" w:eastAsia="Arial" w:hAnsi="Arial"/>
          <w:sz w:val="16"/>
          <w:szCs w:val="16"/>
          <w:color w:val="auto"/>
        </w:rPr>
      </w:pPr>
      <w:r>
        <w:rPr>
          <w:rFonts w:ascii="Arial" w:cs="Arial" w:eastAsia="Arial" w:hAnsi="Arial"/>
          <w:sz w:val="16"/>
          <w:szCs w:val="16"/>
          <w:u w:val="single" w:color="auto"/>
          <w:color w:val="auto"/>
        </w:rPr>
        <w:t>No Surrender</w:t>
      </w:r>
      <w:r>
        <w:rPr>
          <w:rFonts w:ascii="Arial" w:cs="Arial" w:eastAsia="Arial" w:hAnsi="Arial"/>
          <w:sz w:val="16"/>
          <w:szCs w:val="16"/>
          <w:color w:val="auto"/>
        </w:rPr>
        <w:t>. No act or conduct of Landlord, whether consisting of the acceptance of the keys to the Premises, or otherwise, shall be deemed to be or constitute an acceptance of the surrender of the Premises by Tenant prior to the expiration of the Term, and such acceptance by Landlord of surrender by Tenant shall only flow from and must be evidenced by a written acknowledgment of acceptance of surrender signed by Landlord. The surrender of this Lease by Tenant, voluntarily or otherwise, shall not work a merger unless Landlord elects in writing that such merger take place, but shall operate as an assignment to Landlord of any and all existing subleases, or Landlord may, at its option, elect in writing to treat such surrender as a merger terminating Tenant’s estate under this Lease, and thereupon Landlord may terminate any or all such subleases by notifying the sublessee of its election so to do within five</w:t>
      </w:r>
    </w:p>
    <w:p>
      <w:pPr>
        <w:ind w:left="260" w:hanging="252"/>
        <w:spacing w:after="0"/>
        <w:tabs>
          <w:tab w:leader="none" w:pos="26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days after such surrender.</w:t>
      </w:r>
    </w:p>
    <w:p>
      <w:pPr>
        <w:spacing w:after="0" w:line="209" w:lineRule="exact"/>
        <w:rPr>
          <w:rFonts w:ascii="Arial" w:cs="Arial" w:eastAsia="Arial" w:hAnsi="Arial"/>
          <w:sz w:val="18"/>
          <w:szCs w:val="18"/>
          <w:color w:val="auto"/>
        </w:rPr>
      </w:pPr>
    </w:p>
    <w:p>
      <w:pPr>
        <w:jc w:val="both"/>
        <w:ind w:firstLine="1300"/>
        <w:spacing w:after="0" w:line="262" w:lineRule="auto"/>
        <w:tabs>
          <w:tab w:leader="none" w:pos="1900" w:val="left"/>
        </w:tabs>
        <w:numPr>
          <w:ilvl w:val="1"/>
          <w:numId w:val="509"/>
        </w:numPr>
        <w:rPr>
          <w:rFonts w:ascii="Arial" w:cs="Arial" w:eastAsia="Arial" w:hAnsi="Arial"/>
          <w:sz w:val="18"/>
          <w:szCs w:val="18"/>
          <w:color w:val="auto"/>
        </w:rPr>
      </w:pPr>
      <w:r>
        <w:rPr>
          <w:rFonts w:ascii="Arial" w:cs="Arial" w:eastAsia="Arial" w:hAnsi="Arial"/>
          <w:sz w:val="18"/>
          <w:szCs w:val="18"/>
          <w:u w:val="single" w:color="auto"/>
          <w:color w:val="auto"/>
        </w:rPr>
        <w:t>Notice Provisions</w:t>
      </w:r>
      <w:r>
        <w:rPr>
          <w:rFonts w:ascii="Arial" w:cs="Arial" w:eastAsia="Arial" w:hAnsi="Arial"/>
          <w:sz w:val="18"/>
          <w:szCs w:val="18"/>
          <w:color w:val="auto"/>
        </w:rPr>
        <w:t xml:space="preserve"> Tenant agrees that any notice given by Landlord pursuant to Paragraph 13.1 of the Lease shall satisfy the requirements for notice under California Code of Civil Procedure Section 1161, and Landlord shall not be required to give any additional notice in order to be entitled to commence an unlawful detainer proceeding.</w:t>
      </w:r>
    </w:p>
    <w:p>
      <w:pPr>
        <w:spacing w:after="0" w:line="179"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b w:val="1"/>
          <w:bCs w:val="1"/>
          <w:u w:val="single" w:color="auto"/>
          <w:color w:val="auto"/>
        </w:rPr>
        <w:t>Late Charges</w:t>
      </w:r>
      <w:r>
        <w:rPr>
          <w:rFonts w:ascii="Arial" w:cs="Arial" w:eastAsia="Arial" w:hAnsi="Arial"/>
          <w:sz w:val="16"/>
          <w:szCs w:val="16"/>
          <w:color w:val="auto"/>
        </w:rPr>
        <w:t>. Tenant acknowledges that late payment of any installment of Rent will cause Landlord to incur costs not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and that the exact amount of such costs would be extremely difficult and impracticable to fix. Such costs include, without limitation, processing and accounting charges, late charges that may be imposed on Landlord by the terms of any encumbrance or note secured by the Industrial Center and the loss of the use of the delinquent funds. Therefore, if any installment of Rent is not received when due, Tenant shall pay to Landlord on demand, on account of the delinquent payment, an additional sum equal to the greater of (i) five percent (5%) of the overdue amount, or (ii) One Hundred Dollars ($100.00), which additional sum represents a fair and reasonable estimate of the costs that Landlord will incur by reason of late payment by Tenant. Acceptance of any late charge shall not constitute a waiver of Tenant’s default with respect to the overdue amount, nor prevent Landlord from exercising its right to collect interest as provided in Paragraph 16.2 below, or any other damages, or from exercising any of the other rights and remedies available to Landlord.</w:t>
      </w:r>
    </w:p>
    <w:p>
      <w:pPr>
        <w:spacing w:after="0" w:line="159" w:lineRule="exact"/>
        <w:rPr>
          <w:sz w:val="20"/>
          <w:szCs w:val="20"/>
          <w:color w:val="auto"/>
        </w:rPr>
      </w:pPr>
    </w:p>
    <w:p>
      <w:pPr>
        <w:jc w:val="both"/>
        <w:ind w:firstLine="8"/>
        <w:spacing w:after="0" w:line="286" w:lineRule="auto"/>
        <w:tabs>
          <w:tab w:leader="none" w:pos="583" w:val="left"/>
        </w:tabs>
        <w:numPr>
          <w:ilvl w:val="0"/>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If the Premises or any portion thereof are taken under the power of eminent domain or sold under the threat of exercise of said power</w:t>
      </w:r>
      <w:r>
        <w:rPr>
          <w:rFonts w:ascii="Arial" w:cs="Arial" w:eastAsia="Arial" w:hAnsi="Arial"/>
          <w:sz w:val="16"/>
          <w:szCs w:val="16"/>
          <w:b w:val="1"/>
          <w:bCs w:val="1"/>
          <w:color w:val="auto"/>
        </w:rPr>
        <w:t xml:space="preserve"> </w:t>
      </w:r>
      <w:r>
        <w:rPr>
          <w:rFonts w:ascii="Arial" w:cs="Arial" w:eastAsia="Arial" w:hAnsi="Arial"/>
          <w:sz w:val="16"/>
          <w:szCs w:val="16"/>
          <w:color w:val="auto"/>
        </w:rPr>
        <w:t>(all of which are herein called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so taken as of the date the condemning authority takes title or possession, whichever first occurs. If more than 10% of the floor area of the Premises, or more than 25% of the portion of the Common Areas designated for Tenant’s parking, is taken by condemnation, Tenant may, at Tenant’s option, to be exercised in writing within 10 days after Landlord shall have given Tenant written notice of such taking (or in the absence of such notice, within 10 days after the condemning authority shall have taken possession), terminate this Lease as of the date the condemning authority takes such possession. If Tenant does not terminate this Lease in accordance with the foregoing, this Lease shall remain in full force and effect as to the portion of the Premises remaining, except that the Base Rent shall be reduced in the same proportion as the rentable floor area of the Premises taken bears to the total rentable floor area of the Premises. No reduction of Base Rent shall occur if the condemnation does not apply to any portion of the Premises. Any award for the taking of all or any part of the Premises under the power of eminent domain or any payment made under threat of the exercise of such power shall be the property of Landlord; provided, however, that Tenant shall be entitled to any compensation, separately awarded to Tenant, for Tenant’s relocation expenses and/or loss of Tenant’s trade fixtures. In the event that this Lease is not terminated by reason of such condemnation, Landlord shall to the extent of its net severance damages in the condemnation matter, repair any damage to the Premises caused by such condemnation authority. Tenant shall be responsible for the payment of any amount in excess of such net severance damages required to complete such repair.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34" w:name="page535"/>
    <w:bookmarkEnd w:id="534"/>
    <w:p>
      <w:pPr>
        <w:ind w:left="660" w:hanging="652"/>
        <w:spacing w:after="0"/>
        <w:tabs>
          <w:tab w:leader="none" w:pos="66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Estoppel Certificate and Financial Statements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b w:val="1"/>
          <w:bCs w:val="1"/>
          <w:u w:val="single" w:color="auto"/>
          <w:color w:val="auto"/>
        </w:rPr>
        <w:t>Estoppel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(herein referred to as “</w:t>
      </w:r>
      <w:r>
        <w:rPr>
          <w:rFonts w:ascii="Arial" w:cs="Arial" w:eastAsia="Arial" w:hAnsi="Arial"/>
          <w:sz w:val="17"/>
          <w:szCs w:val="17"/>
          <w:b w:val="1"/>
          <w:bCs w:val="1"/>
          <w:color w:val="auto"/>
        </w:rPr>
        <w:t>Responding Party</w:t>
      </w:r>
      <w:r>
        <w:rPr>
          <w:rFonts w:ascii="Arial" w:cs="Arial" w:eastAsia="Arial" w:hAnsi="Arial"/>
          <w:sz w:val="17"/>
          <w:szCs w:val="17"/>
          <w:color w:val="auto"/>
        </w:rPr>
        <w:t>”) shall within fifteen (15) days after written notice from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(the “</w:t>
      </w:r>
      <w:r>
        <w:rPr>
          <w:rFonts w:ascii="Arial" w:cs="Arial" w:eastAsia="Arial" w:hAnsi="Arial"/>
          <w:sz w:val="17"/>
          <w:szCs w:val="17"/>
          <w:b w:val="1"/>
          <w:bCs w:val="1"/>
          <w:color w:val="auto"/>
        </w:rPr>
        <w:t>Requesting Party</w:t>
      </w:r>
      <w:r>
        <w:rPr>
          <w:rFonts w:ascii="Arial" w:cs="Arial" w:eastAsia="Arial" w:hAnsi="Arial"/>
          <w:sz w:val="17"/>
          <w:szCs w:val="17"/>
          <w:color w:val="auto"/>
        </w:rPr>
        <w:t>”) execute, acknowledge, and deliver to the Requesting Party, to the extent it can truthfully do so, an estoppel certificate in a form reasonably acceptable to Landlord, or any of Landlord’s lenders or any prospective purchasers of the Premises or the Industrial Center as the case may be, plus such additional information, confirmation, and statements as be reasonably requested by the Requesting Party. Should Tenant fail to deliver an executed and acknowledged estoppel certificate to Landlord as prescribed herein, Tenant hereby authorizes Landlord to act as Tenant’s attorney-in-fact in executing such estoppel certificate or, at Landlord’s option, Tenant shall pay a fee of $100.00 per day (“</w:t>
      </w:r>
      <w:r>
        <w:rPr>
          <w:rFonts w:ascii="Arial" w:cs="Arial" w:eastAsia="Arial" w:hAnsi="Arial"/>
          <w:sz w:val="17"/>
          <w:szCs w:val="17"/>
          <w:b w:val="1"/>
          <w:bCs w:val="1"/>
          <w:color w:val="auto"/>
        </w:rPr>
        <w:t>Estoppel Delay Fee</w:t>
      </w:r>
      <w:r>
        <w:rPr>
          <w:rFonts w:ascii="Arial" w:cs="Arial" w:eastAsia="Arial" w:hAnsi="Arial"/>
          <w:sz w:val="17"/>
          <w:szCs w:val="17"/>
          <w:color w:val="auto"/>
        </w:rPr>
        <w:t>”) for each day after the fifteen (15) days’ written notice in which Tenant fails to comply with this requirement.</w:t>
      </w:r>
    </w:p>
    <w:p>
      <w:pPr>
        <w:spacing w:after="0" w:line="172"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7"/>
          <w:szCs w:val="17"/>
          <w:b w:val="1"/>
          <w:bCs w:val="1"/>
          <w:u w:val="single" w:color="auto"/>
          <w:color w:val="auto"/>
        </w:rPr>
        <w:t>Financial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 desires to finance, refinance, or sell the Building, Industrial Center, or any part thereof, Tenant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Guarantors shall deliver to any potential lender or purchaser designated by Landlord such financial statements of Tenant and such Guarantors as may be reasonably required by such lender or purchaser, including but not limited to Tenant’s financial statements for the past 3 years. All such financial statements shall be received by Landlord and such lender or purchaser in confidence and shall be used only for the purposes herein set forth.</w:t>
      </w:r>
    </w:p>
    <w:p>
      <w:pPr>
        <w:spacing w:after="0" w:line="164" w:lineRule="exact"/>
        <w:rPr>
          <w:sz w:val="20"/>
          <w:szCs w:val="20"/>
          <w:color w:val="auto"/>
        </w:rPr>
      </w:pPr>
    </w:p>
    <w:p>
      <w:pPr>
        <w:ind w:left="660" w:hanging="652"/>
        <w:spacing w:after="0"/>
        <w:tabs>
          <w:tab w:leader="none" w:pos="66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 and Provisions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of any provision of this Lease, as determined by a court of competent jurisdiction, shall not affect the validity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hereof.</w:t>
      </w:r>
    </w:p>
    <w:p>
      <w:pPr>
        <w:spacing w:after="0" w:line="163"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Interest on Past-Due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Rent not paid by Tenant to Landlord within five (5) business days following the date due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from the date due to the date of payment by Tenant at an annual rate of interest (the “</w:t>
      </w:r>
      <w:r>
        <w:rPr>
          <w:rFonts w:ascii="Arial" w:cs="Arial" w:eastAsia="Arial" w:hAnsi="Arial"/>
          <w:sz w:val="18"/>
          <w:szCs w:val="18"/>
          <w:b w:val="1"/>
          <w:bCs w:val="1"/>
          <w:color w:val="auto"/>
        </w:rPr>
        <w:t>Interest Rate</w:t>
      </w:r>
      <w:r>
        <w:rPr>
          <w:rFonts w:ascii="Arial" w:cs="Arial" w:eastAsia="Arial" w:hAnsi="Arial"/>
          <w:sz w:val="18"/>
          <w:szCs w:val="18"/>
          <w:color w:val="auto"/>
        </w:rPr>
        <w:t>”) equal to ten percent (10%) per annum; except that Landlord shall only be required to give one (1) such notice in any calendar year, and after one (1) such notice is given, any failure by Tenant in such calendar year to pay Rent on the date due will subject Tenant to the default interest at the Interest Rate, without the requirement of notice from Landlord of such failure. Such interest is in addition to the late charge provided for in Paragraph 13.3.</w:t>
      </w:r>
    </w:p>
    <w:p>
      <w:pPr>
        <w:spacing w:after="0" w:line="18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with respect to the performance of all obligations to be performed or observed by the Parties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b w:val="1"/>
          <w:bCs w:val="1"/>
          <w:u w:val="single" w:color="auto"/>
          <w:color w:val="auto"/>
        </w:rPr>
        <w:t>Landlord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Tenant, its successors, and assigns shall not assert nor seek to enforce any claim for breach of this Lease against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assets other than Landlord’s interest in the Industrial Center. Tenant agrees to look solely to such interest for the satisfaction of any liability or claim against Landlord under this Lease. In no event whatsoever shall Landlord (which term shall include, without limitation, any general or limited partner, trustees, beneficiaries, officers, directors, or stockholders of Landlord) ever be personally liable for any such liability.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35" w:name="page536"/>
    <w:bookmarkEnd w:id="535"/>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and acknowledged that there are no oral agreements between the parties hereto affecting this Lease and</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shall be considered to be the only agreement between the parties hereto and their representatives and agents, and none of the terms, covenants, conditions or provisions of this Lease can be modified, deleted or added to except in writing signed by the parties hereto. All negotiations and oral agreements acceptable to both parties have been merged into and are included herein. There are no other representations or warranties between the parties, and all reliance with respect to representations is based totally upon the representations and agreements contained in this Lease. The parties acknowledge that (i) each party and/or its counsel have reviewed and revised this Lease, and (ii) no rule of construction to the effect that any ambiguities are to be resolved against the drafting party shall be employed in the interpretation or enforcement of this Lease or any amendments or exhibits to this Lease or any document executed and delivered by either party in connection with this Lease.</w:t>
      </w:r>
    </w:p>
    <w:p>
      <w:pPr>
        <w:spacing w:after="0" w:line="180"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b w:val="1"/>
          <w:bCs w:val="1"/>
          <w:color w:val="auto"/>
        </w:rPr>
        <w:t xml:space="preserve">16.6 </w:t>
      </w:r>
      <w:r>
        <w:rPr>
          <w:rFonts w:ascii="Arial" w:cs="Arial" w:eastAsia="Arial" w:hAnsi="Arial"/>
          <w:sz w:val="16"/>
          <w:szCs w:val="16"/>
          <w:b w:val="1"/>
          <w:bCs w:val="1"/>
          <w:u w:val="single" w:color="auto"/>
          <w:color w:val="auto"/>
        </w:rPr>
        <w:t>Notice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and demands which may or are required to be given by either party to the other hereunder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All notices and demands by Landlord to Tenant shall be delivered personally or sent by United States mail, postage prepaid, or by any reputable overnight or same-day courier, addressed to Tenant at the Premises, Attn: CEO or to such other place as Tenant may from time to time designate by notice to Landlord hereunder; provided, however, that prior to the Commencement Date, notices to Tenant shall be addressed to Tenant at 20 California Street, 7th Floor, San Francisco, California 94111, Attn: CEO. All notices and demands by Tenant to Landlord shall be sent by United States mail, postage prepaid, or by any reputable overnight or same-day courier, addressed to Landlord in care of Shorenstein Properties LLC, 235 Montgomery Street, 16th floor, San Francisco, California 94104, Attn: Corporate Secretary, with a copy to Shorenstein Properties LLC, 235 Montgomery Street, 16th floor, San Francisco, California 94104, Attn: Paul Grafft, or to such other place as Landlord may from time to time designate by notice to Tenant hereunder. Notices delivered personally or sent same-day courier will be effective immediately upon delivery to the addressee at the designated address; notices sent by overnight courier will be effective one</w:t>
      </w:r>
    </w:p>
    <w:p>
      <w:pPr>
        <w:spacing w:after="0" w:line="4" w:lineRule="exact"/>
        <w:rPr>
          <w:sz w:val="20"/>
          <w:szCs w:val="20"/>
          <w:color w:val="auto"/>
        </w:rPr>
      </w:pPr>
    </w:p>
    <w:p>
      <w:pPr>
        <w:ind w:firstLine="8"/>
        <w:spacing w:after="0" w:line="288" w:lineRule="auto"/>
        <w:tabs>
          <w:tab w:leader="none" w:pos="268" w:val="left"/>
        </w:tabs>
        <w:numPr>
          <w:ilvl w:val="0"/>
          <w:numId w:val="513"/>
        </w:numPr>
        <w:rPr>
          <w:rFonts w:ascii="Arial" w:cs="Arial" w:eastAsia="Arial" w:hAnsi="Arial"/>
          <w:sz w:val="17"/>
          <w:szCs w:val="17"/>
          <w:color w:val="auto"/>
        </w:rPr>
      </w:pPr>
      <w:r>
        <w:rPr>
          <w:rFonts w:ascii="Arial" w:cs="Arial" w:eastAsia="Arial" w:hAnsi="Arial"/>
          <w:sz w:val="17"/>
          <w:szCs w:val="17"/>
          <w:color w:val="auto"/>
        </w:rPr>
        <w:t>business day after acceptance by the service for delivery; notices sent by mail will be effective two (2) business days after mailing. In the event Tenant requests multiple notices hereunder, Tenant will be bound by such notice from the earlier of the effective times of the multiple notices.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2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b w:val="1"/>
          <w:bCs w:val="1"/>
          <w:u w:val="single" w:color="auto"/>
          <w:color w:val="auto"/>
        </w:rPr>
        <w:t>Waivers</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by Landlord of an Event of Default by Tenant shall be deemed a waiver of any other term, covenant, or condition hereof,</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any subsequent Event of Default by Tenant of the same or any other term, covenant, or condition hereof. In addition the acceptance by Landlord of any rent or other payment after it is due, whether or not a notice of default has been served or any action (including, without limitation, an unlawful detainer action) has been filed by Landlord thereon, shall not be deemed a waiver of Landlord’s rights to proceed on any notice of default or action which has been filed against Tenant based upon Tenant’s breach of the Lease.</w:t>
      </w:r>
    </w:p>
    <w:p>
      <w:pPr>
        <w:spacing w:after="0" w:line="18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16.9 </w:t>
      </w:r>
      <w:r>
        <w:rPr>
          <w:rFonts w:ascii="Arial" w:cs="Arial" w:eastAsia="Arial" w:hAnsi="Arial"/>
          <w:sz w:val="17"/>
          <w:szCs w:val="17"/>
          <w:b w:val="1"/>
          <w:bCs w:val="1"/>
          <w:u w:val="single" w:color="auto"/>
          <w:color w:val="auto"/>
        </w:rPr>
        <w:t>Holdover</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remains in possession of the Premises after the expiration or earlier termination of this Lease with the express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of Landlord, Tenant’s occupancy shall be a month-to-month tenancy at a rent agreed upon by Landlord and Tenant provided, however, if Landlord consents to the holdover in writing, but the consent does not confirm in writing the rent during the holdover, the rent during the holdover shall be one hundred fifty percent (150%) of the Base Monthly Rent and one hundred percent (100%) of the payments due under Paragraph 4.2 above during the last full month prior to the date of the expiration of this Lease. Except as provided in the preceding sentence, the month-to-month tenancy shall be on the terms and conditions of this Lease, except that any renewal options, expansion options, rights of first refusal, rights of first negotiation or any other rights or options pertaining to additional space in the Building contained in this Lease shall be deemed to have terminated and shall be inapplicable thereto. Landlord’s acceptance of rent after such holding over with Landlord’s written consent shall not result in any other tenancy or in a renewal of the original term of this Lease. If Tenant remains in possession of the Premises after the expiration or earlier termination of this Lease without Landlord’s consent, Tenant’s continued possession shall be on the basis of a tenancy at sufferance and Tenant shall pay as Base Monthly Rent and rent under Paragraph 4.2 of the Lease during the holdover period an amount equal to the greater of (i) one hundred fifty percent (150%) of the fair market rental (as reasonably determined by Landlord) for the Premises or (ii) two hundred percent (200%) of the Base Monthly Rent and payments due under Paragraph 4.2 of the Lease for the last full month prior to the date of such expiration or termination.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36" w:name="page537"/>
    <w:bookmarkEnd w:id="536"/>
    <w:p>
      <w:pPr>
        <w:jc w:val="both"/>
        <w:ind w:firstLine="646"/>
        <w:spacing w:after="0" w:line="300" w:lineRule="auto"/>
        <w:rPr>
          <w:sz w:val="20"/>
          <w:szCs w:val="20"/>
          <w:color w:val="auto"/>
        </w:rPr>
      </w:pPr>
      <w:r>
        <w:rPr>
          <w:rFonts w:ascii="Arial" w:cs="Arial" w:eastAsia="Arial" w:hAnsi="Arial"/>
          <w:sz w:val="16"/>
          <w:szCs w:val="16"/>
          <w:color w:val="auto"/>
        </w:rPr>
        <w:t>Tenant shall indemnify, defend and hold Landlord harmless from and against all Claims incurred by or asserted against Landlord and arising directly or indirectly from Tenant’s failure to timely surrender the Premises, including but not limited to (i) any rent payable by or any loss, cost, or damages, including lost profits, claimed by any prospective tenant of the Premises or any portion thereof, and (ii) Landlord’s damages as a result of such prospective tenant rescinding or refusing to enter into the prospective lease of the Premises or any portion thereof by reason of such failure to timely surrender the Premises.</w:t>
      </w:r>
    </w:p>
    <w:p>
      <w:pPr>
        <w:spacing w:after="0" w:line="15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16.10 </w:t>
      </w:r>
      <w:r>
        <w:rPr>
          <w:rFonts w:ascii="Arial" w:cs="Arial" w:eastAsia="Arial" w:hAnsi="Arial"/>
          <w:sz w:val="18"/>
          <w:szCs w:val="18"/>
          <w:b w:val="1"/>
          <w:bCs w:val="1"/>
          <w:u w:val="single" w:color="auto"/>
          <w:color w:val="auto"/>
        </w:rPr>
        <w:t>Cumulative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No remedy or election hereunder shall be deemed exclusive but shall, wherever possible, be cumulative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remedies in law or in equity.</w:t>
      </w:r>
    </w:p>
    <w:p>
      <w:pPr>
        <w:spacing w:after="0" w:line="163"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b w:val="1"/>
          <w:bCs w:val="1"/>
          <w:u w:val="single" w:color="auto"/>
          <w:color w:val="auto"/>
        </w:rPr>
        <w:t>Binding Effect: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shall be binding upon the Parties, their personal representatives, successors, and assigns, and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in which the Premises are located. Any litigation between the Parties hereto concerning this Lease shall be initiated in the county in which the Premises are located.</w:t>
      </w:r>
    </w:p>
    <w:p>
      <w:pPr>
        <w:spacing w:after="0" w:line="176"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16.12 </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and obligations contained in this Lease on the part of Landlord are binding on Landlord,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only during their respective period of ownership of an interest in the Building. In the event of any transfer or transfers of such title to the Building, Landlord (and, in the case of any subsequent transfers or conveyances, the then grantor) shall be concurrently freed and relieved from and after the date of such transfer or conveyance, without any further instrument or agreement, of all liability with respect to the performance of any covenants or obligations on the part of Landlord contained in this Lease thereafter to be performed.</w:t>
      </w:r>
    </w:p>
    <w:p>
      <w:pPr>
        <w:spacing w:after="0" w:line="18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 xml:space="preserve">16.13 </w:t>
      </w:r>
      <w:r>
        <w:rPr>
          <w:rFonts w:ascii="Arial" w:cs="Arial" w:eastAsia="Arial" w:hAnsi="Arial"/>
          <w:sz w:val="18"/>
          <w:szCs w:val="18"/>
          <w:b w:val="1"/>
          <w:bCs w:val="1"/>
          <w:u w:val="single" w:color="auto"/>
          <w:color w:val="auto"/>
        </w:rPr>
        <w:t>Attorneys’ Fees and Other Costs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Party brings an action or proceeding to enforce the terms hereof or declare rights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(as hereafter defined) in any such proceeding shall be entitled to reasonable attorneys’ fees. The term “</w:t>
      </w:r>
      <w:r>
        <w:rPr>
          <w:rFonts w:ascii="Arial" w:cs="Arial" w:eastAsia="Arial" w:hAnsi="Arial"/>
          <w:sz w:val="18"/>
          <w:szCs w:val="18"/>
          <w:b w:val="1"/>
          <w:bCs w:val="1"/>
          <w:color w:val="auto"/>
        </w:rPr>
        <w:t>Prevailing Party</w:t>
      </w:r>
      <w:r>
        <w:rPr>
          <w:rFonts w:ascii="Arial" w:cs="Arial" w:eastAsia="Arial" w:hAnsi="Arial"/>
          <w:sz w:val="18"/>
          <w:szCs w:val="18"/>
          <w:color w:val="auto"/>
        </w:rPr>
        <w:t>” shall include, without limitation, a Party who substantially obtains or defeats the relief sought. Landlord shall be entitled to attorneys’ fees, costs, and expenses incurred in the preparation and service of notices of Event of Default and consultations in connection therewith, whether or not a legal action is subsequently commenced in connection with such Event of Default or resulting breach. Tenant shall reimburse Landlord on demand for all reasonable legal, engineering, and other professional services expenses incurred by Landlord in connection with all requests by Tenant or any lender of Tenant for consent, waiver or approval of any kind.</w:t>
      </w:r>
    </w:p>
    <w:p>
      <w:pPr>
        <w:spacing w:after="0" w:line="189"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b w:val="1"/>
          <w:bCs w:val="1"/>
          <w:color w:val="auto"/>
        </w:rPr>
        <w:t xml:space="preserve">16.14 </w:t>
      </w:r>
      <w:r>
        <w:rPr>
          <w:rFonts w:ascii="Arial" w:cs="Arial" w:eastAsia="Arial" w:hAnsi="Arial"/>
          <w:sz w:val="16"/>
          <w:szCs w:val="16"/>
          <w:b w:val="1"/>
          <w:bCs w:val="1"/>
          <w:u w:val="single" w:color="auto"/>
          <w:color w:val="auto"/>
        </w:rPr>
        <w:t>Landlord’s Access; Showing Premises; Repairs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Landlord’s agents shall have the right to enter the Premises at any time,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case of an emergency, and otherwise at reasonable times upon not less than twenty-four (24) hours prior notice for the purpose of showing the same to prospective purchasers, lenders, or tenants, and making such alterations, repairs, improvements, or additions to the Premises or to the Building, as Landlord may reasonably deem necessary. Except in the event of an emergency, when accessing the Premises, Landlord shall comply with Tenant’s reasonable security measures, which may include, among other things, the requirement that landlord’s representative entering the Premises be accompanied by Tenant’s designated representative (provided that Tenant makes such representative available within the 24-hour advance notice period). Landlord may at any time place on or about the Premises or Building any ordinary “For Sale” signs, and Landlord may at any time during the last 180 days of the term hereof place on or about the Premises any ordinary “For Lease” signs. All such activities of Landlord shall be without abatement of rent or liability to Tenant.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37" w:name="page538"/>
    <w:bookmarkEnd w:id="537"/>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16.15 </w:t>
      </w:r>
      <w:r>
        <w:rPr>
          <w:rFonts w:ascii="Arial" w:cs="Arial" w:eastAsia="Arial" w:hAnsi="Arial"/>
          <w:sz w:val="17"/>
          <w:szCs w:val="17"/>
          <w:b w:val="1"/>
          <w:bCs w:val="1"/>
          <w:u w:val="single" w:color="auto"/>
          <w:color w:val="auto"/>
        </w:rPr>
        <w:t>Signs</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install Building standard signage identifying Tenant at the entrance to the Premises, the cost of which signage and</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 shall be borne by Tenant. If monument signage exists for the Building in which the Premises are located, Tenant shall be entitled to have Tenant’s name listed on the monument with Building standard lettering, the cost of which listing on the monument sign shall be borne by Landlord. If the monument is two-sided, Tenant shall be entitled to such signage on both sides of the monument. If, after signage has been installed at the Premises and/or Tenant’s name has been installed on the monument, Tenant requests a change in Tenant’s name as stated thereon, Tenant shall be responsible for the cost of any changes to Tenant’s name on the signage and/or monument. Subject to the foregoing, Tenant shall not place any signs at or upon the exterior of the Premises or the Building without Landlord’s prior written consent, which may be withheld in Landlord’s sole discretion.</w:t>
      </w:r>
    </w:p>
    <w:p>
      <w:pPr>
        <w:spacing w:after="0" w:line="172"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16.16 </w:t>
      </w:r>
      <w:r>
        <w:rPr>
          <w:rFonts w:ascii="Arial" w:cs="Arial" w:eastAsia="Arial" w:hAnsi="Arial"/>
          <w:sz w:val="18"/>
          <w:szCs w:val="18"/>
          <w:b w:val="1"/>
          <w:bCs w:val="1"/>
          <w:u w:val="single" w:color="auto"/>
          <w:color w:val="auto"/>
        </w:rPr>
        <w:t>Transportation Demand Management and Other Governmental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of Paragraph 6.3 above,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cooperate with Landlord in the implementation of the programs promulgated by the City of South San Francisco to reduce traffic generated by the Industrial Center. Such programs encourage the use of public transportation, ride sharing and other modes of transportation. Tenant shall designate one (1) or more of its employees to act as a liaison with Landlord to facilitate and coordinate such programs.</w:t>
      </w:r>
    </w:p>
    <w:p>
      <w:pPr>
        <w:spacing w:after="0" w:line="18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16.17 </w:t>
      </w:r>
      <w:r>
        <w:rPr>
          <w:rFonts w:ascii="Arial" w:cs="Arial" w:eastAsia="Arial" w:hAnsi="Arial"/>
          <w:sz w:val="18"/>
          <w:szCs w:val="18"/>
          <w:b w:val="1"/>
          <w:bCs w:val="1"/>
          <w:u w:val="single" w:color="auto"/>
          <w:color w:val="auto"/>
        </w:rPr>
        <w:t>Quiet Possession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payment by Tenant of the Base Rent and Additional Rent for the Premises and the performance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conditions, and provisions on Tenant’s part to be observed and performed under this Lease, Tenant shall have quiet possession of the Premises for the entire term hereof, subject to all of the provisions of this Lease.</w:t>
      </w:r>
    </w:p>
    <w:p>
      <w:pPr>
        <w:spacing w:after="0" w:line="176"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16.18 </w:t>
      </w:r>
      <w:r>
        <w:rPr>
          <w:rFonts w:ascii="Arial" w:cs="Arial" w:eastAsia="Arial" w:hAnsi="Arial"/>
          <w:sz w:val="17"/>
          <w:szCs w:val="17"/>
          <w:b w:val="1"/>
          <w:bCs w:val="1"/>
          <w:u w:val="single" w:color="auto"/>
          <w:color w:val="auto"/>
        </w:rPr>
        <w:t>Subordination; Attornment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is expressly made subject and subordinate to any mortgage, deed of trust, ground lease, underlying</w:t>
      </w:r>
      <w:r>
        <w:rPr>
          <w:rFonts w:ascii="Arial" w:cs="Arial" w:eastAsia="Arial" w:hAnsi="Arial"/>
          <w:sz w:val="17"/>
          <w:szCs w:val="17"/>
          <w:b w:val="1"/>
          <w:bCs w:val="1"/>
          <w:color w:val="auto"/>
        </w:rPr>
        <w:t xml:space="preserve"> </w:t>
      </w:r>
      <w:r>
        <w:rPr>
          <w:rFonts w:ascii="Arial" w:cs="Arial" w:eastAsia="Arial" w:hAnsi="Arial"/>
          <w:sz w:val="17"/>
          <w:szCs w:val="17"/>
          <w:color w:val="auto"/>
        </w:rPr>
        <w:t>lease or like encumbrance affecting any part of the Industrial Center or any interest of Landlord therein which is now existing or hereafter executed or recorded, any present or future modification, amendment or supplement to any of the foregoing, and to any advances made thereunder (any of the foregoing being a “</w:t>
      </w:r>
      <w:r>
        <w:rPr>
          <w:rFonts w:ascii="Arial" w:cs="Arial" w:eastAsia="Arial" w:hAnsi="Arial"/>
          <w:sz w:val="17"/>
          <w:szCs w:val="17"/>
          <w:b w:val="1"/>
          <w:bCs w:val="1"/>
          <w:color w:val="auto"/>
        </w:rPr>
        <w:t>Superior Interest</w:t>
      </w:r>
      <w:r>
        <w:rPr>
          <w:rFonts w:ascii="Arial" w:cs="Arial" w:eastAsia="Arial" w:hAnsi="Arial"/>
          <w:sz w:val="17"/>
          <w:szCs w:val="17"/>
          <w:color w:val="auto"/>
        </w:rPr>
        <w:t>”) without the necessity of any further documentation evidencing such subordination. Notwithstanding the foregoing, Tenant shall, within ten (10) days after Landlord’s request, execute and deliver to Landlord a document evidencing the subordination of this Lease to a particular Superior Interest. If Tenant does not deliver the document to Landlord within the required ten (10) day period, Landlord may send Tenant a second written request to execute and deliver the document to Landlord. If Tenant fails the execute and deliver the document to Landlord within five (5) business days following such second written request, Tenant hereby appoints Landlord as Tenant’s attorney in fact to execute and deliver such document. If the interest of Landlord in the Industrial Center or the Building is transferred to any person (“</w:t>
      </w:r>
      <w:r>
        <w:rPr>
          <w:rFonts w:ascii="Arial" w:cs="Arial" w:eastAsia="Arial" w:hAnsi="Arial"/>
          <w:sz w:val="17"/>
          <w:szCs w:val="17"/>
          <w:b w:val="1"/>
          <w:bCs w:val="1"/>
          <w:color w:val="auto"/>
        </w:rPr>
        <w:t>Purchaser</w:t>
      </w:r>
      <w:r>
        <w:rPr>
          <w:rFonts w:ascii="Arial" w:cs="Arial" w:eastAsia="Arial" w:hAnsi="Arial"/>
          <w:sz w:val="17"/>
          <w:szCs w:val="17"/>
          <w:color w:val="auto"/>
        </w:rPr>
        <w:t>”) pursuant to or in lieu of foreclosure or other proceedings for enforcement of any Superior Interest, Tenant shall immediately attorn to the Purchaser, and this Lease shall continue in full force and effect as a direct lease between the Purchaser and Tenant on the terms and conditions set forth herein, provided that Purchaser acquires and accepts the Industrial Center or the Building subject to this Lease. Upon Purchaser’s request, including any such request made by reason of the termination of this Lease as a result of such foreclosure or other proceedings, Tenant shall enter in to a new lease with Purchaser on the terms and conditions of this Lease applicable to the remainder of the term hereof. Notwithstanding the subordination of this Lease to Superior Interests as set forth above, the holder of any Superior Interest may at any time (including as part of foreclosure or other proceedings for enforcement of such Superior Interest), upon written notice to Tenant, elect to have this Lease be prior and superior to such Superior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38" w:name="page539"/>
    <w:bookmarkEnd w:id="538"/>
    <w:p>
      <w:pPr>
        <w:jc w:val="both"/>
        <w:ind w:firstLine="646"/>
        <w:spacing w:after="0" w:line="293" w:lineRule="auto"/>
        <w:rPr>
          <w:sz w:val="20"/>
          <w:szCs w:val="20"/>
          <w:color w:val="auto"/>
        </w:rPr>
      </w:pPr>
      <w:r>
        <w:rPr>
          <w:rFonts w:ascii="Arial" w:cs="Arial" w:eastAsia="Arial" w:hAnsi="Arial"/>
          <w:sz w:val="16"/>
          <w:szCs w:val="16"/>
          <w:b w:val="1"/>
          <w:bCs w:val="1"/>
          <w:color w:val="auto"/>
        </w:rPr>
        <w:t xml:space="preserve">16.19 </w:t>
      </w:r>
      <w:r>
        <w:rPr>
          <w:rFonts w:ascii="Arial" w:cs="Arial" w:eastAsia="Arial" w:hAnsi="Arial"/>
          <w:sz w:val="16"/>
          <w:szCs w:val="16"/>
          <w:b w:val="1"/>
          <w:bCs w:val="1"/>
          <w:u w:val="single" w:color="auto"/>
          <w:color w:val="auto"/>
        </w:rPr>
        <w:t>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that it will abide by, and to cause its employees, suppliers, shippers, customers, tenants,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invitees to abide by, all reasonable rules and regulations (“</w:t>
      </w:r>
      <w:r>
        <w:rPr>
          <w:rFonts w:ascii="Arial" w:cs="Arial" w:eastAsia="Arial" w:hAnsi="Arial"/>
          <w:sz w:val="16"/>
          <w:szCs w:val="16"/>
          <w:b w:val="1"/>
          <w:bCs w:val="1"/>
          <w:color w:val="auto"/>
        </w:rPr>
        <w:t>Rules and Regulations</w:t>
      </w:r>
      <w:r>
        <w:rPr>
          <w:rFonts w:ascii="Arial" w:cs="Arial" w:eastAsia="Arial" w:hAnsi="Arial"/>
          <w:sz w:val="16"/>
          <w:szCs w:val="16"/>
          <w:color w:val="auto"/>
        </w:rPr>
        <w:t xml:space="preserve">”) which Landlord may make from time to time for the management, safety, care, and cleanliness of the Common Areas, the parking and unloading of vehicles, and the preservation of good order, as well as for the convenience of other occupants or tenants of the Building and the Industrial Center and their invitees. The current Rules and Regulations are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Landlord shall not be responsible to Tenant for the noncompliance with said Rules and Regulations by other tenants of the Industrial Center. In the event of any conflict between the terms of this Lease and the Rules and Regulations, the terms of this Lease shall govern.</w:t>
      </w:r>
    </w:p>
    <w:p>
      <w:pPr>
        <w:spacing w:after="0" w:line="16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16.20 </w:t>
      </w:r>
      <w:r>
        <w:rPr>
          <w:rFonts w:ascii="Arial" w:cs="Arial" w:eastAsia="Arial" w:hAnsi="Arial"/>
          <w:sz w:val="18"/>
          <w:szCs w:val="18"/>
          <w:b w:val="1"/>
          <w:bCs w:val="1"/>
          <w:u w:val="single" w:color="auto"/>
          <w:color w:val="auto"/>
        </w:rPr>
        <w:t>Security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acknowledges that the rental payable to Landlord hereunder does not include the cost of guard service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measures. Landlord has no obligations to provide same. Tenant assumes all responsibility for the protection of the Premises, Tenant, its agents, and invitees and their property from the acts of third parties.</w:t>
      </w:r>
    </w:p>
    <w:p>
      <w:pPr>
        <w:spacing w:after="0" w:line="17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16.21 </w:t>
      </w:r>
      <w:r>
        <w:rPr>
          <w:rFonts w:ascii="Arial" w:cs="Arial" w:eastAsia="Arial" w:hAnsi="Arial"/>
          <w:sz w:val="18"/>
          <w:szCs w:val="18"/>
          <w:b w:val="1"/>
          <w:bCs w:val="1"/>
          <w:u w:val="single" w:color="auto"/>
          <w:color w:val="auto"/>
        </w:rPr>
        <w:t>Reservations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reserves the right to grant such easements that Landlord deems necessary and to cause the recordation of parcel</w:t>
      </w:r>
      <w:r>
        <w:rPr>
          <w:rFonts w:ascii="Arial" w:cs="Arial" w:eastAsia="Arial" w:hAnsi="Arial"/>
          <w:sz w:val="18"/>
          <w:szCs w:val="18"/>
          <w:b w:val="1"/>
          <w:bCs w:val="1"/>
          <w:color w:val="auto"/>
        </w:rPr>
        <w:t xml:space="preserve"> </w:t>
      </w:r>
      <w:r>
        <w:rPr>
          <w:rFonts w:ascii="Arial" w:cs="Arial" w:eastAsia="Arial" w:hAnsi="Arial"/>
          <w:sz w:val="18"/>
          <w:szCs w:val="18"/>
          <w:color w:val="auto"/>
        </w:rPr>
        <w:t>maps, so long as such easements and maps do not unreasonably interfere with the use of the Premises by Tenant. Tenant agrees to sign any documents reasonably requested by Landlord to effectuate any such easements or maps.</w:t>
      </w:r>
    </w:p>
    <w:p>
      <w:pPr>
        <w:spacing w:after="0" w:line="17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16.22</w:t>
      </w:r>
      <w:r>
        <w:rPr>
          <w:sz w:val="20"/>
          <w:szCs w:val="20"/>
          <w:color w:val="auto"/>
        </w:rPr>
        <w:tab/>
      </w:r>
      <w:r>
        <w:rPr>
          <w:rFonts w:ascii="Arial" w:cs="Arial" w:eastAsia="Arial" w:hAnsi="Arial"/>
          <w:sz w:val="16"/>
          <w:szCs w:val="16"/>
          <w:b w:val="1"/>
          <w:bCs w:val="1"/>
          <w:u w:val="single" w:color="auto"/>
          <w:color w:val="auto"/>
        </w:rPr>
        <w:t>Conflict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Reserved.</w:t>
      </w:r>
    </w:p>
    <w:p>
      <w:pPr>
        <w:spacing w:after="0" w:line="224"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7"/>
          <w:szCs w:val="17"/>
          <w:b w:val="1"/>
          <w:bCs w:val="1"/>
          <w:color w:val="auto"/>
        </w:rPr>
        <w:t xml:space="preserve">16.23 </w:t>
      </w:r>
      <w:r>
        <w:rPr>
          <w:rFonts w:ascii="Arial" w:cs="Arial" w:eastAsia="Arial" w:hAnsi="Arial"/>
          <w:sz w:val="17"/>
          <w:szCs w:val="17"/>
          <w:b w:val="1"/>
          <w:bCs w:val="1"/>
          <w:u w:val="single" w:color="auto"/>
          <w:color w:val="auto"/>
        </w:rPr>
        <w:t>Offer</w:t>
      </w:r>
      <w:r>
        <w:rPr>
          <w:rFonts w:ascii="Arial" w:cs="Arial" w:eastAsia="Arial" w:hAnsi="Arial"/>
          <w:sz w:val="17"/>
          <w:szCs w:val="17"/>
          <w:b w:val="1"/>
          <w:bCs w:val="1"/>
          <w:color w:val="auto"/>
        </w:rPr>
        <w:t xml:space="preserve">. </w:t>
      </w:r>
      <w:r>
        <w:rPr>
          <w:rFonts w:ascii="Arial" w:cs="Arial" w:eastAsia="Arial" w:hAnsi="Arial"/>
          <w:sz w:val="17"/>
          <w:szCs w:val="17"/>
          <w:color w:val="auto"/>
        </w:rPr>
        <w:t>Preparation of this Lease by either Landlord or Tenant or Landlord’s agent or Tenant’s agent and submission of same to Tenant or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not be deemed an offer to lease. This Lease is not intended to be binding until executed and delivered by all Parties hereto.</w:t>
      </w:r>
    </w:p>
    <w:p>
      <w:pPr>
        <w:spacing w:after="0" w:line="13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16.24</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This Lease may be modified only in writing, signed by the parties in interest at the time of the modification.</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16.25 </w:t>
      </w:r>
      <w:r>
        <w:rPr>
          <w:rFonts w:ascii="Arial" w:cs="Arial" w:eastAsia="Arial" w:hAnsi="Arial"/>
          <w:sz w:val="18"/>
          <w:szCs w:val="18"/>
          <w:b w:val="1"/>
          <w:bCs w:val="1"/>
          <w:u w:val="single" w:color="auto"/>
          <w:color w:val="auto"/>
        </w:rPr>
        <w:t>Multiple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expressly provided herein, if more than one person or entity is named herein as Tenant,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such persons shall be the joint and several responsibility of all persons or entities named herein as such Tenant.</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16.26 </w:t>
      </w:r>
      <w:r>
        <w:rPr>
          <w:rFonts w:ascii="Arial" w:cs="Arial" w:eastAsia="Arial" w:hAnsi="Arial"/>
          <w:sz w:val="18"/>
          <w:szCs w:val="18"/>
          <w:b w:val="1"/>
          <w:bCs w:val="1"/>
          <w:u w:val="single" w:color="auto"/>
          <w:color w:val="auto"/>
        </w:rPr>
        <w:t>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Each person signing on behalf of Landlord or Tenant warrants and represents that she or he is authorized to execute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and to make it a binding obligation of Landlord or Tenant.</w:t>
      </w:r>
    </w:p>
    <w:p>
      <w:pPr>
        <w:spacing w:after="0" w:line="16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16.27</w:t>
      </w:r>
      <w:r>
        <w:rPr>
          <w:sz w:val="20"/>
          <w:szCs w:val="20"/>
          <w:color w:val="auto"/>
        </w:rPr>
        <w:tab/>
      </w:r>
      <w:r>
        <w:rPr>
          <w:rFonts w:ascii="Arial" w:cs="Arial" w:eastAsia="Arial" w:hAnsi="Arial"/>
          <w:sz w:val="16"/>
          <w:szCs w:val="16"/>
          <w:b w:val="1"/>
          <w:bCs w:val="1"/>
          <w:u w:val="single" w:color="auto"/>
          <w:color w:val="auto"/>
        </w:rPr>
        <w:t>Recordation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Tenant shall not record this Lease or a short form memorandum hereof.</w:t>
      </w:r>
    </w:p>
    <w:p>
      <w:pPr>
        <w:spacing w:after="0" w:line="22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16.28 </w:t>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acknowledges that the content of this Lease and any related documents are confidential information.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and maintain such confidential information strictly confidential and shall not disclose such confidential information to any person or entity other than Tenant’s financial, legal space planning consultants, current and prospective acquirers, lenders, investors, assignees and sublessees, or as required by applicable law.</w:t>
      </w:r>
    </w:p>
    <w:p>
      <w:pPr>
        <w:spacing w:after="0" w:line="180"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b w:val="1"/>
          <w:bCs w:val="1"/>
          <w:color w:val="auto"/>
        </w:rPr>
        <w:t xml:space="preserve">16.29 </w:t>
      </w:r>
      <w:r>
        <w:rPr>
          <w:rFonts w:ascii="Arial" w:cs="Arial" w:eastAsia="Arial" w:hAnsi="Arial"/>
          <w:sz w:val="17"/>
          <w:szCs w:val="17"/>
          <w:b w:val="1"/>
          <w:bCs w:val="1"/>
          <w:u w:val="single" w:color="auto"/>
          <w:color w:val="auto"/>
        </w:rPr>
        <w:t>Landlord Renovations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acknowledges that Landlord may from time to time, at Landlord’s sole option, renovate, improve, develop,</w:t>
      </w:r>
      <w:r>
        <w:rPr>
          <w:rFonts w:ascii="Arial" w:cs="Arial" w:eastAsia="Arial" w:hAnsi="Arial"/>
          <w:sz w:val="17"/>
          <w:szCs w:val="17"/>
          <w:b w:val="1"/>
          <w:bCs w:val="1"/>
          <w:color w:val="auto"/>
        </w:rPr>
        <w:t xml:space="preserve"> </w:t>
      </w:r>
      <w:r>
        <w:rPr>
          <w:rFonts w:ascii="Arial" w:cs="Arial" w:eastAsia="Arial" w:hAnsi="Arial"/>
          <w:sz w:val="17"/>
          <w:szCs w:val="17"/>
          <w:color w:val="auto"/>
        </w:rPr>
        <w:t>alter, or modify (collectively, the “</w:t>
      </w:r>
      <w:r>
        <w:rPr>
          <w:rFonts w:ascii="Arial" w:cs="Arial" w:eastAsia="Arial" w:hAnsi="Arial"/>
          <w:sz w:val="17"/>
          <w:szCs w:val="17"/>
          <w:b w:val="1"/>
          <w:bCs w:val="1"/>
          <w:color w:val="auto"/>
        </w:rPr>
        <w:t>Renovations</w:t>
      </w:r>
      <w:r>
        <w:rPr>
          <w:rFonts w:ascii="Arial" w:cs="Arial" w:eastAsia="Arial" w:hAnsi="Arial"/>
          <w:sz w:val="17"/>
          <w:szCs w:val="17"/>
          <w:color w:val="auto"/>
        </w:rPr>
        <w:t>”) portions of the Building, Premises, Common Areas and the Industrial Center, including without limitation, systems and equipment, roof, and structural portions of the same. In connection with such Renovations, Landlord may, among other things, erect scaffolding or other necessary structures in the Building, limit or eliminate access to portions of the Industrial Center, including portions of the Common Areas, or perform work in the Building, which work may create noise, dust or leave debris in the Building.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Property, Alterations or improvements resulting from the Renovations or Landlord’s actions in connection with such Renovations, or for any inconvenience or annoyance occasioned by such Renovations or Landlord’s actions in connection with such Renovations; provided that Landlord shall use commercially reasonable efforts to minimize interference with Tenant’s use of the Premises.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39" w:name="page540"/>
    <w:bookmarkEnd w:id="539"/>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16.30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SHALL AND THEY HEREBY DO WAIVE TRIAL BY JURY IN ANY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COUNTERCLAIM BROUGHT BY EITHER OF THE PARTIES HERETO AGAINST THE OTHER ON ANY MATTERS WHATSOEVER ARISING OUT OF OR IN ANY WAY RELATED TO THIS LEASE, THE RELATIONSHIP OF LANDLORD AND TENANT, TENANT’S USE OR OCCUPANCY OF THE PREMISES, THE BUILDING OR THE PARK, AND/OR ANY CLAIM OF INJURY, LOSS OR DAMAGE.</w:t>
      </w:r>
    </w:p>
    <w:p>
      <w:pPr>
        <w:spacing w:after="0" w:line="16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16.31 </w:t>
      </w:r>
      <w:r>
        <w:rPr>
          <w:rFonts w:ascii="Arial" w:cs="Arial" w:eastAsia="Arial" w:hAnsi="Arial"/>
          <w:sz w:val="18"/>
          <w:szCs w:val="18"/>
          <w:b w:val="1"/>
          <w:bCs w:val="1"/>
          <w:u w:val="single" w:color="auto"/>
          <w:color w:val="auto"/>
        </w:rPr>
        <w:t>CASp Inspection</w:t>
      </w:r>
      <w:r>
        <w:rPr>
          <w:rFonts w:ascii="Arial" w:cs="Arial" w:eastAsia="Arial" w:hAnsi="Arial"/>
          <w:sz w:val="18"/>
          <w:szCs w:val="18"/>
          <w:color w:val="auto"/>
        </w:rPr>
        <w:t>. As of the date of this Lease, the Premises and the common areas of the Real Property expected to be in Tenant’s path of</w:t>
      </w:r>
      <w:r>
        <w:rPr>
          <w:rFonts w:ascii="Arial" w:cs="Arial" w:eastAsia="Arial" w:hAnsi="Arial"/>
          <w:sz w:val="18"/>
          <w:szCs w:val="18"/>
          <w:b w:val="1"/>
          <w:bCs w:val="1"/>
          <w:color w:val="auto"/>
        </w:rPr>
        <w:t xml:space="preserve"> </w:t>
      </w:r>
      <w:r>
        <w:rPr>
          <w:rFonts w:ascii="Arial" w:cs="Arial" w:eastAsia="Arial" w:hAnsi="Arial"/>
          <w:sz w:val="18"/>
          <w:szCs w:val="18"/>
          <w:color w:val="auto"/>
        </w:rPr>
        <w:t>travel during the Lease term, have not undergone an inspection by a Certified Access Specialist regarding compliance with construction-related accessibility standards. This disclosure is made pursuant to Section 1938 of the California Civil Code.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40" w:name="page541"/>
    <w:bookmarkEnd w:id="540"/>
    <w:p>
      <w:pPr>
        <w:jc w:val="both"/>
        <w:ind w:firstLine="646"/>
        <w:spacing w:after="0" w:line="271" w:lineRule="auto"/>
        <w:rPr>
          <w:sz w:val="20"/>
          <w:szCs w:val="20"/>
          <w:color w:val="auto"/>
        </w:rPr>
      </w:pPr>
      <w:r>
        <w:rPr>
          <w:rFonts w:ascii="Arial" w:cs="Arial" w:eastAsia="Arial" w:hAnsi="Arial"/>
          <w:sz w:val="17"/>
          <w:szCs w:val="17"/>
          <w:b w:val="1"/>
          <w:bCs w:val="1"/>
          <w:color w:val="auto"/>
        </w:rPr>
        <w:t xml:space="preserve">16.32 </w:t>
      </w:r>
      <w:r>
        <w:rPr>
          <w:rFonts w:ascii="Arial" w:cs="Arial" w:eastAsia="Arial" w:hAnsi="Arial"/>
          <w:sz w:val="17"/>
          <w:szCs w:val="17"/>
          <w:b w:val="1"/>
          <w:bCs w:val="1"/>
          <w:u w:val="single" w:color="auto"/>
          <w:color w:val="auto"/>
        </w:rPr>
        <w:t>Landlord’s Early Termination Option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Lease, if Landlord intends to redevelop or sell the</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Industrial Center, Landlord may terminate this Lease, without penalty or payment, at any time on or after December 31, 2015, by providing Tenant with not less than six (6) months prior written notice of such termination, which notice shall specify the termination date selected by Landlord (the “</w:t>
      </w:r>
      <w:r>
        <w:rPr>
          <w:rFonts w:ascii="Arial" w:cs="Arial" w:eastAsia="Arial" w:hAnsi="Arial"/>
          <w:sz w:val="17"/>
          <w:szCs w:val="17"/>
          <w:b w:val="1"/>
          <w:bCs w:val="1"/>
          <w:color w:val="auto"/>
        </w:rPr>
        <w:t>Early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Date</w:t>
      </w:r>
      <w:r>
        <w:rPr>
          <w:rFonts w:ascii="Arial" w:cs="Arial" w:eastAsia="Arial" w:hAnsi="Arial"/>
          <w:sz w:val="17"/>
          <w:szCs w:val="17"/>
          <w:color w:val="auto"/>
        </w:rPr>
        <w:t>”). If Landlord exercises the aforementioned termination option, Tenant shall, on or before the Early Termination Date, vacate and</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the Premises to Landlord in the condition required by Paragraph 7.4 hereof. In no event shall the early termination of the Lease pursuant to this Paragraph 16.32 release either party from their respective obligations arising under the Lease during the period prior to the Early Termination Date (or, as to Tenant’s obligations, prior to the later of the Early Termination Date or the date Tenant actually vacates and surrenders the Premises to Landlord in the required condition) and such obligations shall survive the termination of the Lease.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have executed this Lease at the place and on the dates specified below their respective signatures.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7860" w:type="dxa"/>
            <w:vAlign w:val="bottom"/>
            <w:gridSpan w:val="6"/>
          </w:tcPr>
          <w:p>
            <w:pPr>
              <w:ind w:left="2960"/>
              <w:spacing w:after="0"/>
              <w:rPr>
                <w:sz w:val="20"/>
                <w:szCs w:val="20"/>
                <w:color w:val="auto"/>
              </w:rPr>
            </w:pPr>
            <w:r>
              <w:rPr>
                <w:rFonts w:ascii="Arial" w:cs="Arial" w:eastAsia="Arial" w:hAnsi="Arial"/>
                <w:sz w:val="18"/>
                <w:szCs w:val="18"/>
                <w:b w:val="1"/>
                <w:bCs w:val="1"/>
                <w:color w:val="auto"/>
              </w:rPr>
              <w:t>TENANT</w:t>
            </w:r>
          </w:p>
        </w:tc>
      </w:tr>
      <w:tr>
        <w:trPr>
          <w:trHeight w:val="416"/>
        </w:trPr>
        <w:tc>
          <w:tcPr>
            <w:tcW w:w="3560" w:type="dxa"/>
            <w:vAlign w:val="bottom"/>
            <w:gridSpan w:val="4"/>
          </w:tcPr>
          <w:p>
            <w:pPr>
              <w:spacing w:after="0"/>
              <w:rPr>
                <w:sz w:val="20"/>
                <w:szCs w:val="20"/>
                <w:color w:val="auto"/>
              </w:rPr>
            </w:pPr>
            <w:r>
              <w:rPr>
                <w:rFonts w:ascii="Arial" w:cs="Arial" w:eastAsia="Arial" w:hAnsi="Arial"/>
                <w:sz w:val="18"/>
                <w:szCs w:val="18"/>
                <w:color w:val="auto"/>
              </w:rPr>
              <w:t>OYSTER POINT LLC,</w:t>
            </w:r>
          </w:p>
        </w:tc>
        <w:tc>
          <w:tcPr>
            <w:tcW w:w="7860" w:type="dxa"/>
            <w:vAlign w:val="bottom"/>
            <w:gridSpan w:val="6"/>
          </w:tcPr>
          <w:p>
            <w:pPr>
              <w:ind w:left="2960"/>
              <w:spacing w:after="0"/>
              <w:rPr>
                <w:sz w:val="20"/>
                <w:szCs w:val="20"/>
                <w:color w:val="auto"/>
              </w:rPr>
            </w:pPr>
            <w:r>
              <w:rPr>
                <w:rFonts w:ascii="Arial" w:cs="Arial" w:eastAsia="Arial" w:hAnsi="Arial"/>
                <w:sz w:val="18"/>
                <w:szCs w:val="18"/>
                <w:color w:val="auto"/>
              </w:rPr>
              <w:t>VAXART, INC.</w:t>
            </w:r>
          </w:p>
        </w:tc>
      </w:tr>
      <w:tr>
        <w:trPr>
          <w:trHeight w:val="230"/>
        </w:trPr>
        <w:tc>
          <w:tcPr>
            <w:tcW w:w="3560" w:type="dxa"/>
            <w:vAlign w:val="bottom"/>
            <w:gridSpan w:val="4"/>
          </w:tcPr>
          <w:p>
            <w:pPr>
              <w:spacing w:after="0"/>
              <w:rPr>
                <w:sz w:val="20"/>
                <w:szCs w:val="20"/>
                <w:color w:val="auto"/>
              </w:rPr>
            </w:pPr>
            <w:r>
              <w:rPr>
                <w:rFonts w:ascii="Arial" w:cs="Arial" w:eastAsia="Arial" w:hAnsi="Arial"/>
                <w:sz w:val="18"/>
                <w:szCs w:val="18"/>
                <w:color w:val="auto"/>
              </w:rPr>
              <w:t>a Delaware limited liability company</w:t>
            </w:r>
          </w:p>
        </w:tc>
        <w:tc>
          <w:tcPr>
            <w:tcW w:w="7860" w:type="dxa"/>
            <w:vAlign w:val="bottom"/>
            <w:gridSpan w:val="6"/>
          </w:tcPr>
          <w:p>
            <w:pPr>
              <w:ind w:left="2960"/>
              <w:spacing w:after="0"/>
              <w:rPr>
                <w:sz w:val="20"/>
                <w:szCs w:val="20"/>
                <w:color w:val="auto"/>
              </w:rPr>
            </w:pPr>
            <w:r>
              <w:rPr>
                <w:rFonts w:ascii="Arial" w:cs="Arial" w:eastAsia="Arial" w:hAnsi="Arial"/>
                <w:sz w:val="18"/>
                <w:szCs w:val="18"/>
                <w:color w:val="auto"/>
              </w:rPr>
              <w:t>a Delaware corporation</w:t>
            </w:r>
          </w:p>
        </w:tc>
      </w:tr>
      <w:tr>
        <w:trPr>
          <w:trHeight w:val="390"/>
        </w:trPr>
        <w:tc>
          <w:tcPr>
            <w:tcW w:w="3560" w:type="dxa"/>
            <w:vAlign w:val="bottom"/>
            <w:gridSpan w:val="4"/>
          </w:tcPr>
          <w:p>
            <w:pPr>
              <w:spacing w:after="0"/>
              <w:rPr>
                <w:sz w:val="20"/>
                <w:szCs w:val="20"/>
                <w:color w:val="auto"/>
              </w:rPr>
            </w:pPr>
            <w:r>
              <w:rPr>
                <w:rFonts w:ascii="Arial" w:cs="Arial" w:eastAsia="Arial" w:hAnsi="Arial"/>
                <w:sz w:val="18"/>
                <w:szCs w:val="18"/>
                <w:color w:val="auto"/>
              </w:rPr>
              <w:t>By /s/Paul W. Grafft</w:t>
            </w:r>
          </w:p>
        </w:tc>
        <w:tc>
          <w:tcPr>
            <w:tcW w:w="7860" w:type="dxa"/>
            <w:vAlign w:val="bottom"/>
            <w:gridSpan w:val="6"/>
          </w:tcPr>
          <w:p>
            <w:pPr>
              <w:ind w:left="2960"/>
              <w:spacing w:after="0"/>
              <w:rPr>
                <w:sz w:val="20"/>
                <w:szCs w:val="20"/>
                <w:color w:val="auto"/>
              </w:rPr>
            </w:pPr>
            <w:r>
              <w:rPr>
                <w:rFonts w:ascii="Arial" w:cs="Arial" w:eastAsia="Arial" w:hAnsi="Arial"/>
                <w:sz w:val="18"/>
                <w:szCs w:val="18"/>
                <w:color w:val="auto"/>
              </w:rPr>
              <w:t>By /s/Wouter LaTour</w:t>
            </w: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1"/>
        </w:trPr>
        <w:tc>
          <w:tcPr>
            <w:tcW w:w="3560" w:type="dxa"/>
            <w:vAlign w:val="bottom"/>
            <w:gridSpan w:val="4"/>
          </w:tcPr>
          <w:p>
            <w:pPr>
              <w:spacing w:after="0"/>
              <w:rPr>
                <w:sz w:val="20"/>
                <w:szCs w:val="20"/>
                <w:color w:val="auto"/>
              </w:rPr>
            </w:pPr>
            <w:r>
              <w:rPr>
                <w:rFonts w:ascii="Arial" w:cs="Arial" w:eastAsia="Arial" w:hAnsi="Arial"/>
                <w:sz w:val="18"/>
                <w:szCs w:val="18"/>
                <w:color w:val="auto"/>
              </w:rPr>
              <w:t>Name Paul W. Grafft</w:t>
            </w:r>
          </w:p>
        </w:tc>
        <w:tc>
          <w:tcPr>
            <w:tcW w:w="7860" w:type="dxa"/>
            <w:vAlign w:val="bottom"/>
            <w:gridSpan w:val="6"/>
          </w:tcPr>
          <w:p>
            <w:pPr>
              <w:ind w:left="2960"/>
              <w:spacing w:after="0"/>
              <w:rPr>
                <w:sz w:val="20"/>
                <w:szCs w:val="20"/>
                <w:color w:val="auto"/>
              </w:rPr>
            </w:pPr>
            <w:r>
              <w:rPr>
                <w:rFonts w:ascii="Arial" w:cs="Arial" w:eastAsia="Arial" w:hAnsi="Arial"/>
                <w:sz w:val="18"/>
                <w:szCs w:val="18"/>
                <w:color w:val="auto"/>
              </w:rPr>
              <w:t>Name Wouter LaTour</w:t>
            </w: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1"/>
        </w:trPr>
        <w:tc>
          <w:tcPr>
            <w:tcW w:w="3560" w:type="dxa"/>
            <w:vAlign w:val="bottom"/>
            <w:gridSpan w:val="4"/>
          </w:tcPr>
          <w:p>
            <w:pPr>
              <w:spacing w:after="0"/>
              <w:rPr>
                <w:sz w:val="20"/>
                <w:szCs w:val="20"/>
                <w:color w:val="auto"/>
              </w:rPr>
            </w:pPr>
            <w:r>
              <w:rPr>
                <w:rFonts w:ascii="Arial" w:cs="Arial" w:eastAsia="Arial" w:hAnsi="Arial"/>
                <w:sz w:val="18"/>
                <w:szCs w:val="18"/>
                <w:color w:val="auto"/>
              </w:rPr>
              <w:t>Title Vice President</w:t>
            </w:r>
          </w:p>
        </w:tc>
        <w:tc>
          <w:tcPr>
            <w:tcW w:w="7860" w:type="dxa"/>
            <w:vAlign w:val="bottom"/>
            <w:gridSpan w:val="6"/>
          </w:tcPr>
          <w:p>
            <w:pPr>
              <w:ind w:left="2960"/>
              <w:spacing w:after="0"/>
              <w:rPr>
                <w:sz w:val="20"/>
                <w:szCs w:val="20"/>
                <w:color w:val="auto"/>
              </w:rPr>
            </w:pPr>
            <w:r>
              <w:rPr>
                <w:rFonts w:ascii="Arial" w:cs="Arial" w:eastAsia="Arial" w:hAnsi="Arial"/>
                <w:sz w:val="18"/>
                <w:szCs w:val="18"/>
                <w:color w:val="auto"/>
              </w:rPr>
              <w:t>Title CEO</w:t>
            </w:r>
          </w:p>
        </w:tc>
      </w:tr>
      <w:tr>
        <w:trPr>
          <w:trHeight w:val="451"/>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3220" w:type="dxa"/>
            <w:vAlign w:val="bottom"/>
          </w:tcPr>
          <w:p>
            <w:pPr>
              <w:ind w:left="20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14"/>
        </w:trPr>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8" w:right="239" w:bottom="1440" w:gutter="0" w:footer="0" w:header="0"/>
        </w:sectPr>
      </w:pPr>
    </w:p>
    <w:bookmarkStart w:id="541" w:name="page542"/>
    <w:bookmarkEnd w:id="541"/>
    <w:p>
      <w:pPr>
        <w:jc w:val="center"/>
        <w:spacing w:after="0"/>
        <w:rPr>
          <w:sz w:val="20"/>
          <w:szCs w:val="20"/>
          <w:color w:val="auto"/>
        </w:rPr>
      </w:pPr>
      <w:r>
        <w:rPr>
          <w:rFonts w:ascii="Arial" w:cs="Arial" w:eastAsia="Arial" w:hAnsi="Arial"/>
          <w:sz w:val="31"/>
          <w:szCs w:val="3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162560</wp:posOffset>
            </wp:positionV>
            <wp:extent cx="7247255" cy="59309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1">
                      <a:extLst>
                        <a:ext uri="{28A0092B-C50C-407E-A947-70E740481C1C}"/>
                      </a:extLst>
                    </a:blip>
                    <a:srcRect/>
                    <a:stretch>
                      <a:fillRect/>
                    </a:stretch>
                  </pic:blipFill>
                  <pic:spPr bwMode="auto">
                    <a:xfrm>
                      <a:off x="0" y="0"/>
                      <a:ext cx="7247255" cy="5930900"/>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542" w:name="page543"/>
    <w:bookmarkEnd w:id="542"/>
    <w:p>
      <w:pPr>
        <w:jc w:val="center"/>
        <w:spacing w:after="0"/>
        <w:rPr>
          <w:sz w:val="20"/>
          <w:szCs w:val="20"/>
          <w:color w:val="auto"/>
        </w:rPr>
      </w:pPr>
      <w:r>
        <w:rPr>
          <w:rFonts w:ascii="Arial" w:cs="Arial" w:eastAsia="Arial" w:hAnsi="Arial"/>
          <w:sz w:val="18"/>
          <w:szCs w:val="18"/>
          <w:b w:val="1"/>
          <w:bCs w:val="1"/>
          <w:color w:val="auto"/>
        </w:rPr>
        <w:t>Exhibit B</w:t>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Commencement Date Certificate</w:t>
      </w:r>
    </w:p>
    <w:p>
      <w:pPr>
        <w:spacing w:after="0" w:line="22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Landlord:</w:t>
      </w:r>
      <w:r>
        <w:rPr>
          <w:sz w:val="20"/>
          <w:szCs w:val="20"/>
          <w:color w:val="auto"/>
        </w:rPr>
        <w:tab/>
      </w:r>
      <w:r>
        <w:rPr>
          <w:rFonts w:ascii="Arial" w:cs="Arial" w:eastAsia="Arial" w:hAnsi="Arial"/>
          <w:sz w:val="18"/>
          <w:szCs w:val="18"/>
          <w:color w:val="auto"/>
        </w:rPr>
        <w:t>Oyster Point LLC, a Delaware limited liability company</w:t>
      </w:r>
    </w:p>
    <w:p>
      <w:pPr>
        <w:spacing w:after="0" w:line="25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Tenant:</w:t>
      </w:r>
      <w:r>
        <w:rPr>
          <w:sz w:val="20"/>
          <w:szCs w:val="20"/>
          <w:color w:val="auto"/>
        </w:rPr>
        <w:tab/>
      </w:r>
      <w:r>
        <w:rPr>
          <w:rFonts w:ascii="Arial" w:cs="Arial" w:eastAsia="Arial" w:hAnsi="Arial"/>
          <w:sz w:val="18"/>
          <w:szCs w:val="18"/>
          <w:color w:val="auto"/>
        </w:rPr>
        <w:t>Vaxart, Inc., a Delaware corporation</w:t>
      </w:r>
    </w:p>
    <w:p>
      <w:pPr>
        <w:spacing w:after="0" w:line="25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Lease Date:</w:t>
      </w:r>
      <w:r>
        <w:rPr>
          <w:sz w:val="20"/>
          <w:szCs w:val="20"/>
          <w:color w:val="auto"/>
        </w:rPr>
        <w:tab/>
      </w:r>
      <w:r>
        <w:rPr>
          <w:rFonts w:ascii="Arial" w:cs="Arial" w:eastAsia="Arial" w:hAnsi="Arial"/>
          <w:sz w:val="16"/>
          <w:szCs w:val="16"/>
          <w:color w:val="auto"/>
        </w:rPr>
        <w:t>as of October __, 2013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660"/>
              <w:spacing w:after="0"/>
              <w:rPr>
                <w:sz w:val="20"/>
                <w:szCs w:val="20"/>
                <w:color w:val="auto"/>
              </w:rPr>
            </w:pPr>
            <w:r>
              <w:rPr>
                <w:rFonts w:ascii="Arial" w:cs="Arial" w:eastAsia="Arial" w:hAnsi="Arial"/>
                <w:sz w:val="18"/>
                <w:szCs w:val="18"/>
                <w:b w:val="1"/>
                <w:bCs w:val="1"/>
                <w:color w:val="auto"/>
              </w:rPr>
              <w:t>Premises:</w:t>
            </w:r>
          </w:p>
        </w:tc>
        <w:tc>
          <w:tcPr>
            <w:tcW w:w="9360" w:type="dxa"/>
            <w:vAlign w:val="bottom"/>
            <w:gridSpan w:val="9"/>
          </w:tcPr>
          <w:p>
            <w:pPr>
              <w:jc w:val="right"/>
              <w:ind w:right="4110"/>
              <w:spacing w:after="0"/>
              <w:rPr>
                <w:sz w:val="20"/>
                <w:szCs w:val="20"/>
                <w:color w:val="auto"/>
              </w:rPr>
            </w:pPr>
            <w:r>
              <w:rPr>
                <w:rFonts w:ascii="Arial" w:cs="Arial" w:eastAsia="Arial" w:hAnsi="Arial"/>
                <w:sz w:val="18"/>
                <w:szCs w:val="18"/>
                <w:color w:val="auto"/>
                <w:w w:val="91"/>
              </w:rPr>
              <w:t>385 Oyster Point Boulevard, Suite 9A, South San Francisco, California</w:t>
            </w:r>
          </w:p>
        </w:tc>
      </w:tr>
      <w:tr>
        <w:trPr>
          <w:trHeight w:val="458"/>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rPr>
              <w:t>Tenant hereby accepts the Premises as being in the condition required under the Lease.</w:t>
            </w:r>
          </w:p>
        </w:tc>
      </w:tr>
      <w:tr>
        <w:trPr>
          <w:trHeight w:val="390"/>
        </w:trPr>
        <w:tc>
          <w:tcPr>
            <w:tcW w:w="3680" w:type="dxa"/>
            <w:vAlign w:val="bottom"/>
            <w:gridSpan w:val="3"/>
          </w:tcPr>
          <w:p>
            <w:pPr>
              <w:ind w:left="660"/>
              <w:spacing w:after="0"/>
              <w:rPr>
                <w:sz w:val="20"/>
                <w:szCs w:val="20"/>
                <w:color w:val="auto"/>
              </w:rPr>
            </w:pPr>
            <w:r>
              <w:rPr>
                <w:rFonts w:ascii="Arial" w:cs="Arial" w:eastAsia="Arial" w:hAnsi="Arial"/>
                <w:sz w:val="18"/>
                <w:szCs w:val="18"/>
                <w:color w:val="auto"/>
                <w:w w:val="90"/>
              </w:rPr>
              <w:t>The Commencement Date of the Lease is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0" w:type="dxa"/>
            <w:vAlign w:val="bottom"/>
            <w:gridSpan w:val="3"/>
          </w:tcPr>
          <w:p>
            <w:pPr>
              <w:jc w:val="right"/>
              <w:ind w:right="5950"/>
              <w:spacing w:after="0"/>
              <w:rPr>
                <w:sz w:val="20"/>
                <w:szCs w:val="20"/>
                <w:color w:val="auto"/>
              </w:rPr>
            </w:pPr>
            <w:r>
              <w:rPr>
                <w:rFonts w:ascii="Arial" w:cs="Arial" w:eastAsia="Arial" w:hAnsi="Arial"/>
                <w:sz w:val="18"/>
                <w:szCs w:val="18"/>
                <w:color w:val="auto"/>
              </w:rPr>
              <w:t>,   .</w:t>
            </w:r>
          </w:p>
        </w:tc>
      </w:tr>
      <w:tr>
        <w:trPr>
          <w:trHeight w:val="411"/>
        </w:trPr>
        <w:tc>
          <w:tcPr>
            <w:tcW w:w="3680" w:type="dxa"/>
            <w:vAlign w:val="bottom"/>
            <w:gridSpan w:val="3"/>
          </w:tcPr>
          <w:p>
            <w:pPr>
              <w:ind w:left="660"/>
              <w:spacing w:after="0"/>
              <w:rPr>
                <w:sz w:val="20"/>
                <w:szCs w:val="20"/>
                <w:color w:val="auto"/>
              </w:rPr>
            </w:pPr>
            <w:r>
              <w:rPr>
                <w:rFonts w:ascii="Arial" w:cs="Arial" w:eastAsia="Arial" w:hAnsi="Arial"/>
                <w:sz w:val="18"/>
                <w:szCs w:val="18"/>
                <w:color w:val="auto"/>
              </w:rPr>
              <w:t>The Expiration Date of the Lease is</w:t>
            </w:r>
          </w:p>
        </w:tc>
        <w:tc>
          <w:tcPr>
            <w:tcW w:w="1340" w:type="dxa"/>
            <w:vAlign w:val="bottom"/>
            <w:tcBorders>
              <w:top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r>
      <w:tr>
        <w:trPr>
          <w:trHeight w:val="667"/>
        </w:trPr>
        <w:tc>
          <w:tcPr>
            <w:tcW w:w="2060" w:type="dxa"/>
            <w:vAlign w:val="bottom"/>
          </w:tcPr>
          <w:p>
            <w:pPr>
              <w:ind w:left="980"/>
              <w:spacing w:after="0"/>
              <w:rPr>
                <w:sz w:val="20"/>
                <w:szCs w:val="20"/>
                <w:color w:val="auto"/>
              </w:rPr>
            </w:pPr>
            <w:r>
              <w:rPr>
                <w:rFonts w:ascii="Arial" w:cs="Arial" w:eastAsia="Arial" w:hAnsi="Arial"/>
                <w:sz w:val="18"/>
                <w:szCs w:val="18"/>
                <w:b w:val="1"/>
                <w:bCs w:val="1"/>
                <w:color w:val="auto"/>
              </w:rPr>
              <w:t>LANDLORD</w:t>
            </w:r>
          </w:p>
        </w:tc>
        <w:tc>
          <w:tcPr>
            <w:tcW w:w="1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tcPr>
          <w:p>
            <w:pPr>
              <w:ind w:left="540"/>
              <w:spacing w:after="0"/>
              <w:rPr>
                <w:sz w:val="20"/>
                <w:szCs w:val="20"/>
                <w:color w:val="auto"/>
              </w:rPr>
            </w:pPr>
            <w:r>
              <w:rPr>
                <w:rFonts w:ascii="Arial" w:cs="Arial" w:eastAsia="Arial" w:hAnsi="Arial"/>
                <w:sz w:val="18"/>
                <w:szCs w:val="18"/>
                <w:b w:val="1"/>
                <w:bCs w:val="1"/>
                <w:color w:val="auto"/>
              </w:rPr>
              <w:t>TENANT</w:t>
            </w:r>
          </w:p>
        </w:tc>
      </w:tr>
      <w:tr>
        <w:trPr>
          <w:trHeight w:val="416"/>
        </w:trPr>
        <w:tc>
          <w:tcPr>
            <w:tcW w:w="3680" w:type="dxa"/>
            <w:vAlign w:val="bottom"/>
            <w:gridSpan w:val="3"/>
          </w:tcPr>
          <w:p>
            <w:pPr>
              <w:ind w:left="980"/>
              <w:spacing w:after="0"/>
              <w:rPr>
                <w:sz w:val="20"/>
                <w:szCs w:val="20"/>
                <w:color w:val="auto"/>
              </w:rPr>
            </w:pPr>
            <w:r>
              <w:rPr>
                <w:rFonts w:ascii="Arial" w:cs="Arial" w:eastAsia="Arial" w:hAnsi="Arial"/>
                <w:sz w:val="18"/>
                <w:szCs w:val="18"/>
                <w:color w:val="auto"/>
              </w:rPr>
              <w:t>OYSTER POINT LLC,</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tcPr>
          <w:p>
            <w:pPr>
              <w:ind w:left="540"/>
              <w:spacing w:after="0"/>
              <w:rPr>
                <w:sz w:val="20"/>
                <w:szCs w:val="20"/>
                <w:color w:val="auto"/>
              </w:rPr>
            </w:pPr>
            <w:r>
              <w:rPr>
                <w:rFonts w:ascii="Arial" w:cs="Arial" w:eastAsia="Arial" w:hAnsi="Arial"/>
                <w:sz w:val="18"/>
                <w:szCs w:val="18"/>
                <w:color w:val="auto"/>
              </w:rPr>
              <w:t>VAXART, INC.,</w:t>
            </w:r>
          </w:p>
        </w:tc>
      </w:tr>
      <w:tr>
        <w:trPr>
          <w:trHeight w:val="230"/>
        </w:trPr>
        <w:tc>
          <w:tcPr>
            <w:tcW w:w="3680" w:type="dxa"/>
            <w:vAlign w:val="bottom"/>
            <w:gridSpan w:val="3"/>
          </w:tcPr>
          <w:p>
            <w:pPr>
              <w:ind w:left="980"/>
              <w:spacing w:after="0"/>
              <w:rPr>
                <w:sz w:val="20"/>
                <w:szCs w:val="20"/>
                <w:color w:val="auto"/>
              </w:rPr>
            </w:pPr>
            <w:r>
              <w:rPr>
                <w:rFonts w:ascii="Arial" w:cs="Arial" w:eastAsia="Arial" w:hAnsi="Arial"/>
                <w:sz w:val="18"/>
                <w:szCs w:val="18"/>
                <w:color w:val="auto"/>
                <w:w w:val="93"/>
              </w:rPr>
              <w:t>a Delaware limited liability company</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80" w:type="dxa"/>
            <w:vAlign w:val="bottom"/>
          </w:tcPr>
          <w:p>
            <w:pPr>
              <w:ind w:left="540"/>
              <w:spacing w:after="0"/>
              <w:rPr>
                <w:sz w:val="20"/>
                <w:szCs w:val="20"/>
                <w:color w:val="auto"/>
              </w:rPr>
            </w:pPr>
            <w:r>
              <w:rPr>
                <w:rFonts w:ascii="Arial" w:cs="Arial" w:eastAsia="Arial" w:hAnsi="Arial"/>
                <w:sz w:val="18"/>
                <w:szCs w:val="18"/>
                <w:color w:val="auto"/>
              </w:rPr>
              <w:t>a Delaware corporation</w:t>
            </w:r>
          </w:p>
        </w:tc>
      </w:tr>
      <w:tr>
        <w:trPr>
          <w:trHeight w:val="646"/>
        </w:trPr>
        <w:tc>
          <w:tcPr>
            <w:tcW w:w="5020" w:type="dxa"/>
            <w:vAlign w:val="bottom"/>
            <w:gridSpan w:val="7"/>
          </w:tcPr>
          <w:p>
            <w:pPr>
              <w:ind w:left="980"/>
              <w:spacing w:after="0"/>
              <w:rPr>
                <w:sz w:val="20"/>
                <w:szCs w:val="20"/>
                <w:color w:val="auto"/>
              </w:rPr>
            </w:pPr>
            <w:r>
              <w:rPr>
                <w:rFonts w:ascii="Arial" w:cs="Arial" w:eastAsia="Arial" w:hAnsi="Arial"/>
                <w:sz w:val="18"/>
                <w:szCs w:val="18"/>
                <w:color w:val="auto"/>
              </w:rPr>
              <w:t>By_____________________________________</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tcPr>
          <w:p>
            <w:pPr>
              <w:ind w:left="540"/>
              <w:spacing w:after="0"/>
              <w:rPr>
                <w:sz w:val="20"/>
                <w:szCs w:val="20"/>
                <w:color w:val="auto"/>
              </w:rPr>
            </w:pPr>
            <w:r>
              <w:rPr>
                <w:rFonts w:ascii="Arial" w:cs="Arial" w:eastAsia="Arial" w:hAnsi="Arial"/>
                <w:sz w:val="18"/>
                <w:szCs w:val="18"/>
                <w:color w:val="auto"/>
              </w:rPr>
              <w:t>By___________________________________</w:t>
            </w:r>
          </w:p>
        </w:tc>
      </w:tr>
      <w:tr>
        <w:trPr>
          <w:trHeight w:val="431"/>
        </w:trPr>
        <w:tc>
          <w:tcPr>
            <w:tcW w:w="5020" w:type="dxa"/>
            <w:vAlign w:val="bottom"/>
            <w:gridSpan w:val="7"/>
          </w:tcPr>
          <w:p>
            <w:pPr>
              <w:ind w:left="980"/>
              <w:spacing w:after="0"/>
              <w:rPr>
                <w:sz w:val="20"/>
                <w:szCs w:val="20"/>
                <w:color w:val="auto"/>
              </w:rPr>
            </w:pPr>
            <w:r>
              <w:rPr>
                <w:rFonts w:ascii="Arial" w:cs="Arial" w:eastAsia="Arial" w:hAnsi="Arial"/>
                <w:sz w:val="18"/>
                <w:szCs w:val="18"/>
                <w:color w:val="auto"/>
              </w:rPr>
              <w:t>Name___________________________________</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tcPr>
          <w:p>
            <w:pPr>
              <w:ind w:left="540"/>
              <w:spacing w:after="0"/>
              <w:rPr>
                <w:sz w:val="20"/>
                <w:szCs w:val="20"/>
                <w:color w:val="auto"/>
              </w:rPr>
            </w:pPr>
            <w:r>
              <w:rPr>
                <w:rFonts w:ascii="Arial" w:cs="Arial" w:eastAsia="Arial" w:hAnsi="Arial"/>
                <w:sz w:val="18"/>
                <w:szCs w:val="18"/>
                <w:color w:val="auto"/>
              </w:rPr>
              <w:t>Name_________________________________</w:t>
            </w:r>
          </w:p>
        </w:tc>
      </w:tr>
      <w:tr>
        <w:trPr>
          <w:trHeight w:val="431"/>
        </w:trPr>
        <w:tc>
          <w:tcPr>
            <w:tcW w:w="5020" w:type="dxa"/>
            <w:vAlign w:val="bottom"/>
            <w:gridSpan w:val="7"/>
          </w:tcPr>
          <w:p>
            <w:pPr>
              <w:ind w:left="980"/>
              <w:spacing w:after="0"/>
              <w:rPr>
                <w:sz w:val="20"/>
                <w:szCs w:val="20"/>
                <w:color w:val="auto"/>
              </w:rPr>
            </w:pPr>
            <w:r>
              <w:rPr>
                <w:rFonts w:ascii="Arial" w:cs="Arial" w:eastAsia="Arial" w:hAnsi="Arial"/>
                <w:sz w:val="18"/>
                <w:szCs w:val="18"/>
                <w:color w:val="auto"/>
              </w:rPr>
              <w:t>Title____________________________________</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80" w:type="dxa"/>
            <w:vAlign w:val="bottom"/>
          </w:tcPr>
          <w:p>
            <w:pPr>
              <w:ind w:left="540"/>
              <w:spacing w:after="0"/>
              <w:rPr>
                <w:sz w:val="20"/>
                <w:szCs w:val="20"/>
                <w:color w:val="auto"/>
              </w:rPr>
            </w:pPr>
            <w:r>
              <w:rPr>
                <w:rFonts w:ascii="Arial" w:cs="Arial" w:eastAsia="Arial" w:hAnsi="Arial"/>
                <w:sz w:val="18"/>
                <w:szCs w:val="18"/>
                <w:color w:val="auto"/>
              </w:rPr>
              <w:t>Title__________________________________</w:t>
            </w:r>
          </w:p>
        </w:tc>
      </w:tr>
      <w:tr>
        <w:trPr>
          <w:trHeight w:val="572"/>
        </w:trPr>
        <w:tc>
          <w:tcPr>
            <w:tcW w:w="2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543" w:name="page544"/>
    <w:bookmarkEnd w:id="543"/>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Move-in and Lease Renewal Environmental Questionnaire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Oyster Point Business Park</w:t>
      </w:r>
    </w:p>
    <w:p>
      <w:pPr>
        <w:spacing w:after="0" w:line="205" w:lineRule="exact"/>
        <w:rPr>
          <w:sz w:val="20"/>
          <w:szCs w:val="20"/>
          <w:color w:val="auto"/>
        </w:rPr>
      </w:pPr>
    </w:p>
    <w:p>
      <w:pPr>
        <w:ind w:left="4000"/>
        <w:spacing w:after="0"/>
        <w:tabs>
          <w:tab w:leader="none" w:pos="5700" w:val="left"/>
        </w:tabs>
        <w:rPr>
          <w:sz w:val="20"/>
          <w:szCs w:val="20"/>
          <w:color w:val="auto"/>
        </w:rPr>
      </w:pPr>
      <w:r>
        <w:rPr>
          <w:rFonts w:ascii="Arial" w:cs="Arial" w:eastAsia="Arial" w:hAnsi="Arial"/>
          <w:sz w:val="18"/>
          <w:szCs w:val="18"/>
          <w:b w:val="1"/>
          <w:bCs w:val="1"/>
          <w:color w:val="auto"/>
        </w:rPr>
        <w:t>Property Name:</w:t>
      </w:r>
      <w:r>
        <w:rPr>
          <w:sz w:val="20"/>
          <w:szCs w:val="20"/>
          <w:color w:val="auto"/>
        </w:rPr>
        <w:tab/>
      </w:r>
      <w:r>
        <w:rPr>
          <w:rFonts w:ascii="Arial" w:cs="Arial" w:eastAsia="Arial" w:hAnsi="Arial"/>
          <w:sz w:val="16"/>
          <w:szCs w:val="16"/>
          <w:color w:val="auto"/>
        </w:rPr>
        <w:t>Oyster Point Business Park</w:t>
      </w:r>
    </w:p>
    <w:p>
      <w:pPr>
        <w:spacing w:after="0" w:line="224" w:lineRule="exact"/>
        <w:rPr>
          <w:sz w:val="20"/>
          <w:szCs w:val="20"/>
          <w:color w:val="auto"/>
        </w:rPr>
      </w:pPr>
    </w:p>
    <w:p>
      <w:pPr>
        <w:ind w:left="4000"/>
        <w:spacing w:after="0"/>
        <w:tabs>
          <w:tab w:leader="none" w:pos="5700" w:val="left"/>
        </w:tabs>
        <w:rPr>
          <w:sz w:val="20"/>
          <w:szCs w:val="20"/>
          <w:color w:val="auto"/>
        </w:rPr>
      </w:pPr>
      <w:r>
        <w:rPr>
          <w:rFonts w:ascii="Arial" w:cs="Arial" w:eastAsia="Arial" w:hAnsi="Arial"/>
          <w:sz w:val="18"/>
          <w:szCs w:val="18"/>
          <w:b w:val="1"/>
          <w:bCs w:val="1"/>
          <w:color w:val="auto"/>
        </w:rPr>
        <w:t>Premises Address:</w:t>
      </w:r>
      <w:r>
        <w:rPr>
          <w:sz w:val="20"/>
          <w:szCs w:val="20"/>
          <w:color w:val="auto"/>
        </w:rPr>
        <w:tab/>
      </w:r>
      <w:r>
        <w:rPr>
          <w:rFonts w:ascii="Arial" w:cs="Arial" w:eastAsia="Arial" w:hAnsi="Arial"/>
          <w:sz w:val="16"/>
          <w:szCs w:val="16"/>
          <w:color w:val="auto"/>
        </w:rPr>
        <w:t>385 Oyster Point Boulevard, Suite 9A,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South San Francisco, California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Exhibit C to the Lease Dated </w:t>
      </w:r>
      <w:r>
        <w:rPr>
          <w:rFonts w:ascii="Arial" w:cs="Arial" w:eastAsia="Arial" w:hAnsi="Arial"/>
          <w:sz w:val="18"/>
          <w:szCs w:val="18"/>
          <w:color w:val="auto"/>
        </w:rPr>
        <w:t>as of October 28,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Oyster Point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Vaxart, Inc., a Delaware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Instructions: The following questionnaire is to be completed by the Tenant Representative with knowledge of the planned/existing operations for the specified building/location. A copy of the completed form must be attached to all new leases and renewals, and forwarded to the Owner’s Risk Management Department. Please print clearly and attach additional sheets as necessary.</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Process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Describe planned use (new Lease) or existing operations (lease renewal), and include brief description of manufacturing processes employed.</w:t>
      </w:r>
    </w:p>
    <w:p>
      <w:pPr>
        <w:spacing w:after="0" w:line="22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u w:val="single" w:color="auto"/>
          <w:color w:val="auto"/>
        </w:rPr>
        <w:t>General office and biotech/life science R&amp;D uses. Specifically, Vaxart is developiing live viral vaccines for human use. This work involves industry-standard recombinanat DNA and viral technologies, cell culture and small scale production of tablets. The work requires the use of small qunatities of chemicals with a minimal waste stream. The company is currently categorized as a Small Quantity Generator of hazardous waste, with total amounts not exceeding 5 gal/yr. A copy of the companies Hazardous Materials Inventory is included for reference. In addition, the company tests vaccine responses in mice (to be housed in the facilities existing animal holding room) and analyzes human and mouse blood samples. The resulting medical waste will be picked-up at least weekly by a licensed medical waste disposal contractor under Vaxart’s State of California medical waste license (copy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113665</wp:posOffset>
            </wp:positionV>
            <wp:extent cx="68795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2">
                      <a:extLst>
                        <a:ext uri="{28A0092B-C50C-407E-A947-70E740481C1C}"/>
                      </a:extLst>
                    </a:blip>
                    <a:srcRect/>
                    <a:stretch>
                      <a:fillRect/>
                    </a:stretch>
                  </pic:blipFill>
                  <pic:spPr bwMode="auto">
                    <a:xfrm>
                      <a:off x="0" y="0"/>
                      <a:ext cx="687959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258445</wp:posOffset>
            </wp:positionV>
            <wp:extent cx="68795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3">
                      <a:extLst>
                        <a:ext uri="{28A0092B-C50C-407E-A947-70E740481C1C}"/>
                      </a:extLst>
                    </a:blip>
                    <a:srcRect/>
                    <a:stretch>
                      <a:fillRect/>
                    </a:stretch>
                  </pic:blipFill>
                  <pic:spPr bwMode="auto">
                    <a:xfrm>
                      <a:off x="0" y="0"/>
                      <a:ext cx="687959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Hazardous Materials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hazardous materials used or stored? If so, continue with the next question. If not, go to Section 3.0.</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Are any of the following materials handled on the property?</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Yes X__ No___</w:t>
      </w:r>
    </w:p>
    <w:p>
      <w:pPr>
        <w:spacing w:after="0" w:line="8"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(A material is handled if it is used, generated, processed, produced, packaged, treated, stored, emitted, discharged, or disposed.) If so, complete this section. If this question is not applicable, skip this section and go on to Section 5.0.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ind w:left="1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Explosives</w:t>
            </w:r>
          </w:p>
        </w:tc>
        <w:tc>
          <w:tcPr>
            <w:tcW w:w="23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Fuels</w:t>
            </w:r>
          </w:p>
        </w:tc>
        <w:tc>
          <w:tcPr>
            <w:tcW w:w="510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Oils</w:t>
            </w:r>
          </w:p>
        </w:tc>
      </w:tr>
      <w:tr>
        <w:trPr>
          <w:trHeight w:val="215"/>
        </w:trPr>
        <w:tc>
          <w:tcPr>
            <w:tcW w:w="3940" w:type="dxa"/>
            <w:vAlign w:val="bottom"/>
          </w:tcPr>
          <w:p>
            <w:pPr>
              <w:ind w:left="1620"/>
              <w:spacing w:after="0"/>
              <w:rPr>
                <w:sz w:val="20"/>
                <w:szCs w:val="20"/>
                <w:color w:val="auto"/>
              </w:rPr>
            </w:pPr>
            <w:r>
              <w:rPr>
                <w:rFonts w:ascii="Arial" w:cs="Arial" w:eastAsia="Arial" w:hAnsi="Arial"/>
                <w:sz w:val="18"/>
                <w:szCs w:val="18"/>
                <w:color w:val="auto"/>
              </w:rPr>
              <w:t>X Solvents</w:t>
            </w:r>
          </w:p>
        </w:tc>
        <w:tc>
          <w:tcPr>
            <w:tcW w:w="23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Oxidizers</w:t>
            </w:r>
          </w:p>
        </w:tc>
        <w:tc>
          <w:tcPr>
            <w:tcW w:w="5100" w:type="dxa"/>
            <w:vAlign w:val="bottom"/>
          </w:tcPr>
          <w:p>
            <w:pPr>
              <w:ind w:left="920"/>
              <w:spacing w:after="0"/>
              <w:rPr>
                <w:sz w:val="20"/>
                <w:szCs w:val="20"/>
                <w:color w:val="auto"/>
              </w:rPr>
            </w:pPr>
            <w:r>
              <w:rPr>
                <w:rFonts w:ascii="Arial" w:cs="Arial" w:eastAsia="Arial" w:hAnsi="Arial"/>
                <w:sz w:val="18"/>
                <w:szCs w:val="18"/>
                <w:color w:val="auto"/>
              </w:rPr>
              <w:t>X Organics/Inorganics</w:t>
            </w:r>
          </w:p>
        </w:tc>
      </w:tr>
      <w:tr>
        <w:trPr>
          <w:trHeight w:val="215"/>
        </w:trPr>
        <w:tc>
          <w:tcPr>
            <w:tcW w:w="3940" w:type="dxa"/>
            <w:vAlign w:val="bottom"/>
          </w:tcPr>
          <w:p>
            <w:pPr>
              <w:ind w:left="1620"/>
              <w:spacing w:after="0"/>
              <w:rPr>
                <w:sz w:val="20"/>
                <w:szCs w:val="20"/>
                <w:color w:val="auto"/>
              </w:rPr>
            </w:pPr>
            <w:r>
              <w:rPr>
                <w:rFonts w:ascii="Arial" w:cs="Arial" w:eastAsia="Arial" w:hAnsi="Arial"/>
                <w:sz w:val="18"/>
                <w:szCs w:val="18"/>
                <w:color w:val="auto"/>
              </w:rPr>
              <w:t>X Acids</w:t>
            </w:r>
          </w:p>
        </w:tc>
        <w:tc>
          <w:tcPr>
            <w:tcW w:w="2380" w:type="dxa"/>
            <w:vAlign w:val="bottom"/>
          </w:tcPr>
          <w:p>
            <w:pPr>
              <w:ind w:left="580"/>
              <w:spacing w:after="0"/>
              <w:rPr>
                <w:sz w:val="20"/>
                <w:szCs w:val="20"/>
                <w:color w:val="auto"/>
              </w:rPr>
            </w:pPr>
            <w:r>
              <w:rPr>
                <w:rFonts w:ascii="Arial" w:cs="Arial" w:eastAsia="Arial" w:hAnsi="Arial"/>
                <w:sz w:val="18"/>
                <w:szCs w:val="18"/>
                <w:color w:val="auto"/>
              </w:rPr>
              <w:t>X Bases</w:t>
            </w:r>
          </w:p>
        </w:tc>
        <w:tc>
          <w:tcPr>
            <w:tcW w:w="510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Pesticides</w:t>
            </w:r>
          </w:p>
        </w:tc>
      </w:tr>
      <w:tr>
        <w:trPr>
          <w:trHeight w:val="215"/>
        </w:trPr>
        <w:tc>
          <w:tcPr>
            <w:tcW w:w="3940" w:type="dxa"/>
            <w:vAlign w:val="bottom"/>
          </w:tcPr>
          <w:p>
            <w:pPr>
              <w:ind w:left="1620"/>
              <w:spacing w:after="0"/>
              <w:rPr>
                <w:sz w:val="20"/>
                <w:szCs w:val="20"/>
                <w:color w:val="auto"/>
              </w:rPr>
            </w:pPr>
            <w:r>
              <w:rPr>
                <w:rFonts w:ascii="Arial" w:cs="Arial" w:eastAsia="Arial" w:hAnsi="Arial"/>
                <w:sz w:val="18"/>
                <w:szCs w:val="18"/>
                <w:color w:val="auto"/>
              </w:rPr>
              <w:t>X Gases</w:t>
            </w:r>
          </w:p>
        </w:tc>
        <w:tc>
          <w:tcPr>
            <w:tcW w:w="238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PCBs</w:t>
            </w:r>
          </w:p>
        </w:tc>
        <w:tc>
          <w:tcPr>
            <w:tcW w:w="5100" w:type="dxa"/>
            <w:vAlign w:val="bottom"/>
          </w:tcPr>
          <w:p>
            <w:pPr>
              <w:ind w:left="9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Radioactive Materials</w:t>
            </w:r>
          </w:p>
        </w:tc>
      </w:tr>
      <w:tr>
        <w:trPr>
          <w:trHeight w:val="282"/>
        </w:trPr>
        <w:tc>
          <w:tcPr>
            <w:tcW w:w="3940" w:type="dxa"/>
            <w:vAlign w:val="bottom"/>
          </w:tcPr>
          <w:p>
            <w:pPr>
              <w:ind w:left="16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Other (please specify)</w:t>
            </w:r>
          </w:p>
        </w:tc>
        <w:tc>
          <w:tcPr>
            <w:tcW w:w="238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579"/>
        </w:trPr>
        <w:tc>
          <w:tcPr>
            <w:tcW w:w="3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8" w:right="239" w:bottom="1440" w:gutter="0" w:footer="0" w:header="0"/>
        </w:sectPr>
      </w:pPr>
    </w:p>
    <w:bookmarkStart w:id="544" w:name="page545"/>
    <w:bookmarkEnd w:id="544"/>
    <w:p>
      <w:pPr>
        <w:jc w:val="both"/>
        <w:ind w:left="1300" w:right="100" w:hanging="645"/>
        <w:spacing w:after="0" w:line="262" w:lineRule="auto"/>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If any of the groups of materials checked in Section 2.1, please list the specific material(s), use(s), and quantity of each chemical used or stored on the site in the Table below. If convenient, you may substitute a chemical inventory and list the uses of each of the chemicals in each category separately.</w:t>
      </w:r>
    </w:p>
    <w:p>
      <w:pPr>
        <w:spacing w:after="0" w:line="182" w:lineRule="exact"/>
        <w:rPr>
          <w:sz w:val="20"/>
          <w:szCs w:val="20"/>
          <w:color w:val="auto"/>
        </w:rPr>
      </w:pPr>
    </w:p>
    <w:tbl>
      <w:tblPr>
        <w:tblLayout w:type="fixed"/>
        <w:tblInd w:w="1310" w:type="dxa"/>
        <w:tblCellMar>
          <w:top w:w="0" w:type="dxa"/>
          <w:left w:w="0" w:type="dxa"/>
          <w:bottom w:w="0" w:type="dxa"/>
          <w:right w:w="0" w:type="dxa"/>
        </w:tblCellMar>
      </w:tblPr>
      <w:tr>
        <w:trPr>
          <w:trHeight w:val="40"/>
        </w:trPr>
        <w:tc>
          <w:tcPr>
            <w:tcW w:w="3080" w:type="dxa"/>
            <w:vAlign w:val="bottom"/>
            <w:tcBorders>
              <w:top w:val="single" w:sz="8" w:color="auto"/>
              <w:left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right w:val="single" w:sz="8" w:color="auto"/>
            </w:tcBorders>
          </w:tcPr>
          <w:p>
            <w:pPr>
              <w:spacing w:after="0"/>
              <w:rPr>
                <w:sz w:val="3"/>
                <w:szCs w:val="3"/>
                <w:color w:val="auto"/>
              </w:rPr>
            </w:pPr>
          </w:p>
        </w:tc>
        <w:tc>
          <w:tcPr>
            <w:tcW w:w="1340" w:type="dxa"/>
            <w:vAlign w:val="bottom"/>
            <w:tcBorders>
              <w:top w:val="single" w:sz="8" w:color="auto"/>
              <w:bottom w:val="single" w:sz="8" w:color="auto"/>
              <w:right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08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ind w:right="50"/>
              <w:spacing w:after="0" w:line="177" w:lineRule="exact"/>
              <w:rPr>
                <w:sz w:val="20"/>
                <w:szCs w:val="20"/>
                <w:color w:val="auto"/>
              </w:rPr>
            </w:pPr>
            <w:r>
              <w:rPr>
                <w:rFonts w:ascii="Arial" w:cs="Arial" w:eastAsia="Arial" w:hAnsi="Arial"/>
                <w:sz w:val="18"/>
                <w:szCs w:val="18"/>
                <w:b w:val="1"/>
                <w:bCs w:val="1"/>
                <w:color w:val="auto"/>
                <w:w w:val="87"/>
              </w:rPr>
              <w:t>Physical</w:t>
            </w:r>
          </w:p>
        </w:tc>
        <w:tc>
          <w:tcPr>
            <w:tcW w:w="146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80" w:type="dxa"/>
            <w:vAlign w:val="bottom"/>
            <w:tcBorders>
              <w:lef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State</w:t>
            </w:r>
          </w:p>
        </w:tc>
        <w:tc>
          <w:tcPr>
            <w:tcW w:w="14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Container</w:t>
            </w:r>
          </w:p>
        </w:tc>
        <w:tc>
          <w:tcPr>
            <w:tcW w:w="14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Number of</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80" w:type="dxa"/>
            <w:vAlign w:val="bottom"/>
            <w:tcBorders>
              <w:lef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Material</w:t>
            </w:r>
          </w:p>
        </w:tc>
        <w:tc>
          <w:tcPr>
            <w:tcW w:w="1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0"/>
              </w:rPr>
              <w:t>(Solid,</w:t>
            </w:r>
          </w:p>
        </w:tc>
        <w:tc>
          <w:tcPr>
            <w:tcW w:w="146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Usage</w:t>
            </w: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3"/>
              </w:rPr>
              <w:t>Size</w:t>
            </w:r>
          </w:p>
        </w:tc>
        <w:tc>
          <w:tcPr>
            <w:tcW w:w="14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Containers</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Quantity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80" w:type="dxa"/>
            <w:vAlign w:val="bottom"/>
            <w:tcBorders>
              <w:left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95"/>
              </w:rPr>
              <w:t>Liquid, or</w:t>
            </w: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80" w:type="dxa"/>
            <w:vAlign w:val="bottom"/>
            <w:tcBorders>
              <w:lef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08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Gas)</w:t>
            </w:r>
          </w:p>
        </w:tc>
        <w:tc>
          <w:tcPr>
            <w:tcW w:w="14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0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080" w:type="dxa"/>
            <w:vAlign w:val="bottom"/>
            <w:tcBorders>
              <w:left w:val="single" w:sz="8" w:color="auto"/>
              <w:bottom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3"/>
              </w:rPr>
              <w:t>*** See Attached Chemical Inventory</w:t>
            </w:r>
          </w:p>
        </w:tc>
        <w:tc>
          <w:tcPr>
            <w:tcW w:w="1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7285990</wp:posOffset>
            </wp:positionH>
            <wp:positionV relativeFrom="paragraph">
              <wp:posOffset>-1187450</wp:posOffset>
            </wp:positionV>
            <wp:extent cx="2921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4">
                      <a:extLst>
                        <a:ext uri="{28A0092B-C50C-407E-A947-70E740481C1C}"/>
                      </a:extLst>
                    </a:blip>
                    <a:srcRect/>
                    <a:stretch>
                      <a:fillRect/>
                    </a:stretch>
                  </pic:blipFill>
                  <pic:spPr bwMode="auto">
                    <a:xfrm>
                      <a:off x="0" y="0"/>
                      <a:ext cx="29210" cy="8255"/>
                    </a:xfrm>
                    <a:prstGeom prst="rect">
                      <a:avLst/>
                    </a:prstGeom>
                    <a:noFill/>
                  </pic:spPr>
                </pic:pic>
              </a:graphicData>
            </a:graphic>
          </wp:anchor>
        </w:drawing>
        <w:drawing>
          <wp:anchor simplePos="0" relativeHeight="251657728" behindDoc="1" locked="0" layoutInCell="0" allowOverlap="1">
            <wp:simplePos x="0" y="0"/>
            <wp:positionH relativeFrom="column">
              <wp:posOffset>7285990</wp:posOffset>
            </wp:positionH>
            <wp:positionV relativeFrom="paragraph">
              <wp:posOffset>-1170305</wp:posOffset>
            </wp:positionV>
            <wp:extent cx="2921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5">
                      <a:extLst>
                        <a:ext uri="{28A0092B-C50C-407E-A947-70E740481C1C}"/>
                      </a:extLst>
                    </a:blip>
                    <a:srcRect/>
                    <a:stretch>
                      <a:fillRect/>
                    </a:stretch>
                  </pic:blipFill>
                  <pic:spPr bwMode="auto">
                    <a:xfrm>
                      <a:off x="0" y="0"/>
                      <a:ext cx="29210" cy="8255"/>
                    </a:xfrm>
                    <a:prstGeom prst="rect">
                      <a:avLst/>
                    </a:prstGeom>
                    <a:noFill/>
                  </pic:spPr>
                </pic:pic>
              </a:graphicData>
            </a:graphic>
          </wp:anchor>
        </w:drawing>
        <w:drawing>
          <wp:anchor simplePos="0" relativeHeight="251657728" behindDoc="1" locked="0" layoutInCell="0" allowOverlap="1">
            <wp:simplePos x="0" y="0"/>
            <wp:positionH relativeFrom="column">
              <wp:posOffset>7285990</wp:posOffset>
            </wp:positionH>
            <wp:positionV relativeFrom="paragraph">
              <wp:posOffset>-7620</wp:posOffset>
            </wp:positionV>
            <wp:extent cx="2921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6">
                      <a:extLst>
                        <a:ext uri="{28A0092B-C50C-407E-A947-70E740481C1C}"/>
                      </a:extLst>
                    </a:blip>
                    <a:srcRect/>
                    <a:stretch>
                      <a:fillRect/>
                    </a:stretch>
                  </pic:blipFill>
                  <pic:spPr bwMode="auto">
                    <a:xfrm>
                      <a:off x="0" y="0"/>
                      <a:ext cx="29210" cy="8255"/>
                    </a:xfrm>
                    <a:prstGeom prst="rect">
                      <a:avLst/>
                    </a:prstGeom>
                    <a:noFill/>
                  </pic:spPr>
                </pic:pic>
              </a:graphicData>
            </a:graphic>
          </wp:anchor>
        </w:drawing>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color w:val="auto"/>
        </w:rPr>
        <w:t>Describe the planned storage area location(s) for these materials. Please include site maps and drawings as appropriate.</w:t>
      </w:r>
    </w:p>
    <w:p>
      <w:pPr>
        <w:spacing w:after="0" w:line="255" w:lineRule="exact"/>
        <w:rPr>
          <w:sz w:val="20"/>
          <w:szCs w:val="20"/>
          <w:color w:val="auto"/>
        </w:rPr>
      </w:pPr>
    </w:p>
    <w:p>
      <w:pPr>
        <w:jc w:val="both"/>
        <w:ind w:left="1300"/>
        <w:spacing w:after="0" w:line="276" w:lineRule="auto"/>
        <w:rPr>
          <w:sz w:val="20"/>
          <w:szCs w:val="20"/>
          <w:color w:val="auto"/>
        </w:rPr>
      </w:pPr>
      <w:r>
        <w:rPr>
          <w:rFonts w:ascii="Arial" w:cs="Arial" w:eastAsia="Arial" w:hAnsi="Arial"/>
          <w:sz w:val="18"/>
          <w:szCs w:val="18"/>
          <w:color w:val="auto"/>
        </w:rPr>
        <w:t>Hazardous and/or flammable materials will be kept in fume hoods or in approved fire-proof cabinets, as appropriate per SSF/San Mateo County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-19050</wp:posOffset>
            </wp:positionV>
            <wp:extent cx="64897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7">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125730</wp:posOffset>
            </wp:positionV>
            <wp:extent cx="648970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8">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271145</wp:posOffset>
            </wp:positionV>
            <wp:extent cx="648970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9">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415925</wp:posOffset>
            </wp:positionV>
            <wp:extent cx="615315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0">
                      <a:extLst>
                        <a:ext uri="{28A0092B-C50C-407E-A947-70E740481C1C}"/>
                      </a:extLst>
                    </a:blip>
                    <a:srcRect/>
                    <a:stretch>
                      <a:fillRect/>
                    </a:stretch>
                  </pic:blipFill>
                  <pic:spPr bwMode="auto">
                    <a:xfrm>
                      <a:off x="0" y="0"/>
                      <a:ext cx="6153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5"/>
          <w:szCs w:val="15"/>
          <w:b w:val="1"/>
          <w:bCs w:val="1"/>
          <w:color w:val="auto"/>
        </w:rPr>
        <w:t>Hazardous Wastes</w:t>
      </w:r>
    </w:p>
    <w:p>
      <w:pPr>
        <w:spacing w:after="0" w:line="282" w:lineRule="exact"/>
        <w:rPr>
          <w:sz w:val="20"/>
          <w:szCs w:val="20"/>
          <w:color w:val="auto"/>
        </w:rPr>
      </w:pPr>
    </w:p>
    <w:p>
      <w:pPr>
        <w:ind w:left="1300"/>
        <w:spacing w:after="0"/>
        <w:tabs>
          <w:tab w:leader="none" w:pos="10400" w:val="left"/>
        </w:tabs>
        <w:rPr>
          <w:sz w:val="20"/>
          <w:szCs w:val="20"/>
          <w:color w:val="auto"/>
        </w:rPr>
      </w:pPr>
      <w:r>
        <w:rPr>
          <w:rFonts w:ascii="Arial" w:cs="Arial" w:eastAsia="Arial" w:hAnsi="Arial"/>
          <w:sz w:val="18"/>
          <w:szCs w:val="18"/>
          <w:color w:val="auto"/>
        </w:rPr>
        <w:t>Are hazardous wastes generated?</w:t>
      </w:r>
      <w:r>
        <w:rPr>
          <w:sz w:val="20"/>
          <w:szCs w:val="20"/>
          <w:color w:val="auto"/>
        </w:rPr>
        <w:tab/>
      </w:r>
      <w:r>
        <w:rPr>
          <w:rFonts w:ascii="Arial" w:cs="Arial" w:eastAsia="Arial" w:hAnsi="Arial"/>
          <w:sz w:val="17"/>
          <w:szCs w:val="17"/>
          <w:color w:val="auto"/>
        </w:rPr>
        <w:t>Yes_X_ No__</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yes, continue with the next question. If not, skip this section and go to Section 4.0.</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Are any of the following wastes generated, handled, or disposed of (where applicable) on the property?</w:t>
      </w:r>
    </w:p>
    <w:p>
      <w:pPr>
        <w:sectPr>
          <w:pgSz w:w="11900" w:h="16838" w:orient="portrait"/>
          <w:cols w:equalWidth="0" w:num="1">
            <w:col w:w="11520"/>
          </w:cols>
          <w:pgMar w:left="240" w:top="579" w:right="139" w:bottom="1440" w:gutter="0" w:footer="0" w:header="0"/>
        </w:sectPr>
      </w:pPr>
    </w:p>
    <w:p>
      <w:pPr>
        <w:spacing w:after="0" w:line="255"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X Hazardous wastes</w:t>
      </w:r>
    </w:p>
    <w:p>
      <w:pPr>
        <w:spacing w:after="0" w:line="57" w:lineRule="exact"/>
        <w:rPr>
          <w:sz w:val="20"/>
          <w:szCs w:val="20"/>
          <w:color w:val="auto"/>
        </w:rPr>
      </w:pPr>
    </w:p>
    <w:p>
      <w:pPr>
        <w:ind w:left="1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Waste oils</w:t>
      </w:r>
    </w:p>
    <w:p>
      <w:pPr>
        <w:spacing w:after="0" w:line="10" w:lineRule="exact"/>
        <w:rPr>
          <w:sz w:val="20"/>
          <w:szCs w:val="20"/>
          <w:color w:val="auto"/>
        </w:rPr>
      </w:pPr>
    </w:p>
    <w:p>
      <w:pPr>
        <w:ind w:left="1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Air emissions</w:t>
      </w:r>
    </w:p>
    <w:p>
      <w:pPr>
        <w:spacing w:after="0" w:line="8" w:lineRule="exact"/>
        <w:rPr>
          <w:sz w:val="20"/>
          <w:szCs w:val="20"/>
          <w:color w:val="auto"/>
        </w:rPr>
      </w:pPr>
    </w:p>
    <w:p>
      <w:pPr>
        <w:ind w:left="146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Regulated Wastes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Industrial Wastewater</w:t>
      </w:r>
    </w:p>
    <w:p>
      <w:pPr>
        <w:spacing w:after="0" w:line="5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PCBs</w:t>
      </w:r>
    </w:p>
    <w:p>
      <w:pPr>
        <w:spacing w:after="0" w:line="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Sludges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XOther (please specify) Medical Waste</w:t>
      </w:r>
    </w:p>
    <w:p>
      <w:pPr>
        <w:spacing w:after="0" w:line="200" w:lineRule="exact"/>
        <w:rPr>
          <w:sz w:val="20"/>
          <w:szCs w:val="20"/>
          <w:color w:val="auto"/>
        </w:rPr>
      </w:pPr>
    </w:p>
    <w:p>
      <w:pPr>
        <w:sectPr>
          <w:pgSz w:w="11900" w:h="16838" w:orient="portrait"/>
          <w:cols w:equalWidth="0" w:num="2">
            <w:col w:w="4140" w:space="720"/>
            <w:col w:w="6660"/>
          </w:cols>
          <w:pgMar w:left="240" w:top="579" w:right="1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3.2</w:t>
            </w:r>
          </w:p>
        </w:tc>
        <w:tc>
          <w:tcPr>
            <w:tcW w:w="8880" w:type="dxa"/>
            <w:vAlign w:val="bottom"/>
            <w:gridSpan w:val="6"/>
          </w:tcPr>
          <w:p>
            <w:pPr>
              <w:ind w:left="220"/>
              <w:spacing w:after="0"/>
              <w:rPr>
                <w:sz w:val="20"/>
                <w:szCs w:val="20"/>
                <w:color w:val="auto"/>
              </w:rPr>
            </w:pPr>
            <w:r>
              <w:rPr>
                <w:rFonts w:ascii="Arial" w:cs="Arial" w:eastAsia="Arial" w:hAnsi="Arial"/>
                <w:sz w:val="18"/>
                <w:szCs w:val="18"/>
                <w:color w:val="auto"/>
                <w:w w:val="99"/>
              </w:rPr>
              <w:t>List and quantify the materials identified in Question 3-1 of this section. Attach separate pages as necessary.</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6"/>
              </w:rPr>
              <w:t>RCRA</w:t>
            </w:r>
          </w:p>
        </w:tc>
        <w:tc>
          <w:tcPr>
            <w:tcW w:w="16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Waste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restart"/>
          </w:tcPr>
          <w:p>
            <w:pPr>
              <w:ind w:left="760"/>
              <w:spacing w:after="0"/>
              <w:rPr>
                <w:sz w:val="20"/>
                <w:szCs w:val="20"/>
                <w:color w:val="auto"/>
              </w:rPr>
            </w:pPr>
            <w:r>
              <w:rPr>
                <w:rFonts w:ascii="Arial" w:cs="Arial" w:eastAsia="Arial" w:hAnsi="Arial"/>
                <w:sz w:val="18"/>
                <w:szCs w:val="18"/>
                <w:b w:val="1"/>
                <w:bCs w:val="1"/>
                <w:color w:val="auto"/>
              </w:rPr>
              <w:t>Waste Generated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listed</w:t>
            </w:r>
          </w:p>
        </w:tc>
        <w:tc>
          <w:tcPr>
            <w:tcW w:w="160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Source</w:t>
            </w:r>
          </w:p>
        </w:tc>
        <w:tc>
          <w:tcPr>
            <w:tcW w:w="164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5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Disposition</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86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Monthly Quantity</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Characterization</w:t>
            </w: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4"/>
              </w:rPr>
              <w:t>Waste?</w:t>
            </w:r>
          </w:p>
        </w:tc>
        <w:tc>
          <w:tcPr>
            <w:tcW w:w="1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b w:val="1"/>
                <w:bCs w:val="1"/>
                <w:color w:val="auto"/>
              </w:rPr>
              <w:t>Medical waste</w:t>
            </w:r>
          </w:p>
        </w:tc>
        <w:tc>
          <w:tcPr>
            <w:tcW w:w="8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Biological</w:t>
            </w:r>
          </w:p>
        </w:tc>
        <w:tc>
          <w:tcPr>
            <w:tcW w:w="1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Approx. 300 lbs/mo</w:t>
            </w:r>
          </w:p>
        </w:tc>
        <w:tc>
          <w:tcPr>
            <w:tcW w:w="16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Alcohols/stains</w:t>
            </w:r>
          </w:p>
        </w:tc>
        <w:tc>
          <w:tcPr>
            <w:tcW w:w="156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Sterilization by</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experiments</w:t>
            </w:r>
          </w:p>
        </w:tc>
        <w:tc>
          <w:tcPr>
            <w:tcW w:w="16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medical waste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60"/>
              <w:spacing w:after="0" w:line="190" w:lineRule="exact"/>
              <w:rPr>
                <w:sz w:val="20"/>
                <w:szCs w:val="20"/>
                <w:color w:val="auto"/>
              </w:rPr>
            </w:pPr>
            <w:r>
              <w:rPr>
                <w:rFonts w:ascii="Arial" w:cs="Arial" w:eastAsia="Arial" w:hAnsi="Arial"/>
                <w:sz w:val="18"/>
                <w:szCs w:val="18"/>
                <w:b w:val="1"/>
                <w:bCs w:val="1"/>
                <w:color w:val="auto"/>
              </w:rPr>
              <w:t>Mixed</w:t>
            </w:r>
          </w:p>
        </w:tc>
        <w:tc>
          <w:tcPr>
            <w:tcW w:w="86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No</w:t>
            </w:r>
          </w:p>
        </w:tc>
        <w:tc>
          <w:tcPr>
            <w:tcW w:w="160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Biological</w:t>
            </w:r>
          </w:p>
        </w:tc>
        <w:tc>
          <w:tcPr>
            <w:tcW w:w="164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&lt;1 liter/mo</w:t>
            </w:r>
          </w:p>
        </w:tc>
        <w:tc>
          <w:tcPr>
            <w:tcW w:w="16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Alcohols/stains</w:t>
            </w:r>
          </w:p>
        </w:tc>
        <w:tc>
          <w:tcPr>
            <w:tcW w:w="1560" w:type="dxa"/>
            <w:vAlign w:val="bottom"/>
            <w:gridSpan w:val="2"/>
          </w:tcPr>
          <w:p>
            <w:pPr>
              <w:ind w:left="80"/>
              <w:spacing w:after="0" w:line="190" w:lineRule="exact"/>
              <w:rPr>
                <w:sz w:val="20"/>
                <w:szCs w:val="20"/>
                <w:color w:val="auto"/>
              </w:rPr>
            </w:pPr>
            <w:r>
              <w:rPr>
                <w:rFonts w:ascii="Arial" w:cs="Arial" w:eastAsia="Arial" w:hAnsi="Arial"/>
                <w:sz w:val="18"/>
                <w:szCs w:val="18"/>
                <w:color w:val="auto"/>
              </w:rPr>
              <w:t>Incineration by</w:t>
            </w: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w w:val="91"/>
              </w:rPr>
              <w:t>biological/chemical/pharmaceutical</w:t>
            </w:r>
          </w:p>
        </w:tc>
        <w:tc>
          <w:tcPr>
            <w:tcW w:w="86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experiments</w:t>
            </w:r>
          </w:p>
        </w:tc>
        <w:tc>
          <w:tcPr>
            <w:tcW w:w="164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medical waste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contractor</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6"/>
        </w:trPr>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79" w:right="139" w:bottom="1440" w:gutter="0" w:footer="0" w:header="0"/>
          <w:type w:val="continuous"/>
        </w:sectPr>
      </w:pPr>
    </w:p>
    <w:bookmarkStart w:id="545" w:name="page546"/>
    <w:bookmarkEnd w:id="545"/>
    <w:p>
      <w:pPr>
        <w:ind w:left="1300" w:right="100" w:hanging="645"/>
        <w:spacing w:after="0" w:line="276" w:lineRule="auto"/>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color w:val="auto"/>
        </w:rPr>
        <w:t>Please include name, location, and permit number (e.g. EPA ID No.) for transporter and disposal facility, if applicable). Attach separate pages as necessary.</w:t>
      </w:r>
    </w:p>
    <w:p>
      <w:pPr>
        <w:spacing w:after="0" w:line="168" w:lineRule="exact"/>
        <w:rPr>
          <w:sz w:val="20"/>
          <w:szCs w:val="20"/>
          <w:color w:val="auto"/>
        </w:rPr>
      </w:pPr>
    </w:p>
    <w:tbl>
      <w:tblPr>
        <w:tblLayout w:type="fixed"/>
        <w:tblInd w:w="1310" w:type="dxa"/>
        <w:tblCellMar>
          <w:top w:w="0" w:type="dxa"/>
          <w:left w:w="0" w:type="dxa"/>
          <w:bottom w:w="0" w:type="dxa"/>
          <w:right w:w="0" w:type="dxa"/>
        </w:tblCellMar>
      </w:tblPr>
      <w:tr>
        <w:trPr>
          <w:trHeight w:val="426"/>
        </w:trPr>
        <w:tc>
          <w:tcPr>
            <w:tcW w:w="2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Transporter/Disposal</w:t>
            </w:r>
          </w:p>
        </w:tc>
        <w:tc>
          <w:tcPr>
            <w:tcW w:w="2580" w:type="dxa"/>
            <w:vAlign w:val="bottom"/>
            <w:tcBorders>
              <w:top w:val="single" w:sz="8" w:color="auto"/>
              <w:right w:val="single" w:sz="8" w:color="auto"/>
            </w:tcBorders>
            <w:vMerge w:val="restart"/>
          </w:tcPr>
          <w:p>
            <w:pPr>
              <w:ind w:left="620"/>
              <w:spacing w:after="0"/>
              <w:rPr>
                <w:sz w:val="20"/>
                <w:szCs w:val="20"/>
                <w:color w:val="auto"/>
              </w:rPr>
            </w:pPr>
            <w:r>
              <w:rPr>
                <w:rFonts w:ascii="Arial" w:cs="Arial" w:eastAsia="Arial" w:hAnsi="Arial"/>
                <w:sz w:val="18"/>
                <w:szCs w:val="18"/>
                <w:b w:val="1"/>
                <w:bCs w:val="1"/>
                <w:color w:val="auto"/>
              </w:rPr>
              <w:t>Facility Location</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Transporter (T) or</w:t>
            </w:r>
          </w:p>
        </w:tc>
        <w:tc>
          <w:tcPr>
            <w:tcW w:w="2480" w:type="dxa"/>
            <w:vAlign w:val="bottom"/>
            <w:tcBorders>
              <w:top w:val="single" w:sz="8" w:color="auto"/>
            </w:tcBorders>
            <w:vMerge w:val="restart"/>
          </w:tcPr>
          <w:p>
            <w:pPr>
              <w:ind w:left="660"/>
              <w:spacing w:after="0"/>
              <w:rPr>
                <w:sz w:val="20"/>
                <w:szCs w:val="20"/>
                <w:color w:val="auto"/>
              </w:rPr>
            </w:pPr>
            <w:r>
              <w:rPr>
                <w:rFonts w:ascii="Arial" w:cs="Arial" w:eastAsia="Arial" w:hAnsi="Arial"/>
                <w:sz w:val="18"/>
                <w:szCs w:val="18"/>
                <w:b w:val="1"/>
                <w:bCs w:val="1"/>
                <w:color w:val="auto"/>
              </w:rPr>
              <w:t>Permit Number</w:t>
            </w:r>
          </w:p>
        </w:tc>
        <w:tc>
          <w:tcPr>
            <w:tcW w:w="0" w:type="dxa"/>
            <w:vAlign w:val="bottom"/>
          </w:tcPr>
          <w:p>
            <w:pPr>
              <w:spacing w:after="0"/>
              <w:rPr>
                <w:sz w:val="1"/>
                <w:szCs w:val="1"/>
                <w:color w:val="auto"/>
              </w:rPr>
            </w:pPr>
          </w:p>
        </w:tc>
      </w:tr>
      <w:tr>
        <w:trPr>
          <w:trHeight w:val="126"/>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Facility Name</w:t>
            </w:r>
          </w:p>
        </w:tc>
        <w:tc>
          <w:tcPr>
            <w:tcW w:w="258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Disposal (D) Facility</w:t>
            </w: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0" w:type="dxa"/>
            <w:vAlign w:val="bottom"/>
            <w:tcBorders>
              <w:left w:val="single" w:sz="8" w:color="auto"/>
              <w:right w:val="single" w:sz="8" w:color="auto"/>
            </w:tcBorders>
            <w:vMerge w:val="continue"/>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Stericycle</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Fremont, CA</w:t>
            </w:r>
          </w:p>
        </w:tc>
        <w:tc>
          <w:tcPr>
            <w:tcW w:w="2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 &amp; T</w:t>
            </w: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color w:val="auto"/>
        </w:rPr>
        <w:t>Are pollution controls or monitoring employed in the process to prevent or minimize the release of wastes into the environment?</w:t>
      </w:r>
    </w:p>
    <w:p>
      <w:pPr>
        <w:spacing w:after="0" w:line="22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Yes___ No X</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describe.</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5080</wp:posOffset>
            </wp:positionV>
            <wp:extent cx="648970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1">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150495</wp:posOffset>
            </wp:positionV>
            <wp:extent cx="64897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2">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295910</wp:posOffset>
            </wp:positionV>
            <wp:extent cx="648970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3">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color w:val="auto"/>
        </w:rPr>
        <w:t>USTS/ASTS</w:t>
      </w:r>
    </w:p>
    <w:p>
      <w:pPr>
        <w:spacing w:after="0" w:line="251" w:lineRule="exact"/>
        <w:rPr>
          <w:sz w:val="20"/>
          <w:szCs w:val="20"/>
          <w:color w:val="auto"/>
        </w:rPr>
      </w:pPr>
    </w:p>
    <w:p>
      <w:pPr>
        <w:ind w:left="1300" w:right="100" w:hanging="645"/>
        <w:spacing w:after="0" w:line="275" w:lineRule="auto"/>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color w:val="auto"/>
        </w:rPr>
        <w:t>Are underground storage tanks (USTs), aboveground storage tanks (ASTs), or associated pipelines used for the storage of petroleum products, chemicals, or liquid wastes present on site (lease renewals) or required for planned operations (new tenants)?</w:t>
      </w:r>
    </w:p>
    <w:p>
      <w:pPr>
        <w:spacing w:after="0" w:line="1" w:lineRule="exact"/>
        <w:rPr>
          <w:sz w:val="20"/>
          <w:szCs w:val="20"/>
          <w:color w:val="auto"/>
        </w:rPr>
      </w:pPr>
    </w:p>
    <w:p>
      <w:pPr>
        <w:ind w:left="10220"/>
        <w:spacing w:after="0"/>
        <w:rPr>
          <w:sz w:val="20"/>
          <w:szCs w:val="20"/>
          <w:color w:val="auto"/>
        </w:rPr>
      </w:pPr>
      <w:r>
        <w:rPr>
          <w:rFonts w:ascii="Arial" w:cs="Arial" w:eastAsia="Arial" w:hAnsi="Arial"/>
          <w:sz w:val="18"/>
          <w:szCs w:val="18"/>
          <w:color w:val="auto"/>
        </w:rPr>
        <w:t>Yes___ No X__</w:t>
      </w:r>
    </w:p>
    <w:p>
      <w:pPr>
        <w:spacing w:after="0" w:line="209" w:lineRule="exact"/>
        <w:rPr>
          <w:sz w:val="20"/>
          <w:szCs w:val="20"/>
          <w:color w:val="auto"/>
        </w:rPr>
      </w:pPr>
    </w:p>
    <w:p>
      <w:pPr>
        <w:ind w:left="1300" w:right="100"/>
        <w:spacing w:after="0" w:line="276" w:lineRule="auto"/>
        <w:rPr>
          <w:sz w:val="20"/>
          <w:szCs w:val="20"/>
          <w:color w:val="auto"/>
        </w:rPr>
      </w:pPr>
      <w:r>
        <w:rPr>
          <w:rFonts w:ascii="Arial" w:cs="Arial" w:eastAsia="Arial" w:hAnsi="Arial"/>
          <w:sz w:val="18"/>
          <w:szCs w:val="18"/>
          <w:color w:val="auto"/>
        </w:rPr>
        <w:t>If not, continue with section 5.0. If yes, please describe capacity, contents, age, type of the USTs or ASTs, as well any associated leak detection / spill prevention measures. Please attach additional pages if necessary.</w:t>
      </w:r>
    </w:p>
    <w:p>
      <w:pPr>
        <w:spacing w:after="0" w:line="164" w:lineRule="exact"/>
        <w:rPr>
          <w:sz w:val="20"/>
          <w:szCs w:val="20"/>
          <w:color w:val="auto"/>
        </w:rPr>
      </w:pPr>
    </w:p>
    <w:tbl>
      <w:tblPr>
        <w:tblLayout w:type="fixed"/>
        <w:tblInd w:w="131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Type (Steel, Fiberglass,</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Associated Leak</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Capacity</w:t>
            </w:r>
          </w:p>
        </w:tc>
        <w:tc>
          <w:tcPr>
            <w:tcW w:w="208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b w:val="1"/>
                <w:bCs w:val="1"/>
                <w:color w:val="auto"/>
              </w:rPr>
              <w:t>Contents</w:t>
            </w:r>
          </w:p>
        </w:tc>
        <w:tc>
          <w:tcPr>
            <w:tcW w:w="2060" w:type="dxa"/>
            <w:vAlign w:val="bottom"/>
            <w:tcBorders>
              <w:right w:val="single" w:sz="8" w:color="auto"/>
            </w:tcBorders>
            <w:vMerge w:val="restart"/>
          </w:tcPr>
          <w:p>
            <w:pPr>
              <w:ind w:left="480"/>
              <w:spacing w:after="0"/>
              <w:rPr>
                <w:sz w:val="20"/>
                <w:szCs w:val="20"/>
                <w:color w:val="auto"/>
              </w:rPr>
            </w:pPr>
            <w:r>
              <w:rPr>
                <w:rFonts w:ascii="Arial" w:cs="Arial" w:eastAsia="Arial" w:hAnsi="Arial"/>
                <w:sz w:val="18"/>
                <w:szCs w:val="18"/>
                <w:b w:val="1"/>
                <w:bCs w:val="1"/>
                <w:color w:val="auto"/>
              </w:rPr>
              <w:t>Year Installed</w:t>
            </w:r>
          </w:p>
        </w:tc>
        <w:tc>
          <w:tcPr>
            <w:tcW w:w="2020" w:type="dxa"/>
            <w:vAlign w:val="bottom"/>
            <w:tcBorders>
              <w:right w:val="single" w:sz="8" w:color="auto"/>
            </w:tcBorders>
            <w:vMerge w:val="continue"/>
          </w:tcPr>
          <w:p>
            <w:pPr>
              <w:spacing w:after="0"/>
              <w:rPr>
                <w:sz w:val="9"/>
                <w:szCs w:val="9"/>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Detection / Spill</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etc)</w:t>
            </w: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Prevention Measures*</w:t>
            </w:r>
          </w:p>
        </w:tc>
        <w:tc>
          <w:tcPr>
            <w:tcW w:w="0" w:type="dxa"/>
            <w:vAlign w:val="bottom"/>
          </w:tcPr>
          <w:p>
            <w:pPr>
              <w:spacing w:after="0"/>
              <w:rPr>
                <w:sz w:val="1"/>
                <w:szCs w:val="1"/>
                <w:color w:val="auto"/>
              </w:rPr>
            </w:pPr>
          </w:p>
        </w:tc>
      </w:tr>
      <w:tr>
        <w:trPr>
          <w:trHeight w:val="107"/>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06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520"/>
          </w:cols>
          <w:pgMar w:left="240" w:top="578" w:right="139" w:bottom="1440" w:gutter="0" w:footer="0" w:header="0"/>
        </w:sectPr>
      </w:pPr>
    </w:p>
    <w:p>
      <w:pPr>
        <w:ind w:left="130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following are examples of leak detection / spill prevention measures:</w:t>
      </w:r>
    </w:p>
    <w:p>
      <w:pPr>
        <w:spacing w:after="0" w:line="32"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Integrity testing</w:t>
      </w:r>
      <w:r>
        <w:rPr>
          <w:sz w:val="20"/>
          <w:szCs w:val="20"/>
          <w:color w:val="auto"/>
        </w:rPr>
        <w:tab/>
      </w:r>
      <w:r>
        <w:rPr>
          <w:rFonts w:ascii="Arial" w:cs="Arial" w:eastAsia="Arial" w:hAnsi="Arial"/>
          <w:sz w:val="16"/>
          <w:szCs w:val="16"/>
          <w:color w:val="auto"/>
        </w:rPr>
        <w:t>Inventory reconciliation</w:t>
      </w:r>
    </w:p>
    <w:p>
      <w:pPr>
        <w:spacing w:after="0" w:line="8"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Overfill spill protection</w:t>
      </w:r>
      <w:r>
        <w:rPr>
          <w:sz w:val="20"/>
          <w:szCs w:val="20"/>
          <w:color w:val="auto"/>
        </w:rPr>
        <w:tab/>
      </w:r>
      <w:r>
        <w:rPr>
          <w:rFonts w:ascii="Arial" w:cs="Arial" w:eastAsia="Arial" w:hAnsi="Arial"/>
          <w:sz w:val="15"/>
          <w:szCs w:val="15"/>
          <w:color w:val="auto"/>
        </w:rPr>
        <w:t>Secondary containment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Leak detection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Cathodic protection</w:t>
      </w:r>
    </w:p>
    <w:p>
      <w:pPr>
        <w:spacing w:after="0" w:line="200" w:lineRule="exact"/>
        <w:rPr>
          <w:sz w:val="20"/>
          <w:szCs w:val="20"/>
          <w:color w:val="auto"/>
        </w:rPr>
      </w:pPr>
    </w:p>
    <w:p>
      <w:pPr>
        <w:sectPr>
          <w:pgSz w:w="11900" w:h="16838" w:orient="portrait"/>
          <w:cols w:equalWidth="0" w:num="3">
            <w:col w:w="1780" w:space="560"/>
            <w:col w:w="5440" w:space="720"/>
            <w:col w:w="3020"/>
          </w:cols>
          <w:pgMar w:left="240" w:top="578" w:right="139" w:bottom="1440" w:gutter="0" w:footer="0" w:header="0"/>
          <w:type w:val="continuous"/>
        </w:sectPr>
      </w:pPr>
    </w:p>
    <w:p>
      <w:pPr>
        <w:spacing w:after="0" w:line="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Please provide copies of written tank integrity test results and/or monitoring documentation, if available.</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Is the UST/AST registered and permitted with the appropriate regulatory agencies?</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Yes___ No___</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attach a copy of the required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520"/>
          </w:cols>
          <w:pgMar w:left="240" w:top="578" w:right="139" w:bottom="1440" w:gutter="0" w:footer="0" w:header="0"/>
          <w:type w:val="continuous"/>
        </w:sectPr>
      </w:pPr>
    </w:p>
    <w:bookmarkStart w:id="546" w:name="page547"/>
    <w:bookmarkEnd w:id="546"/>
    <w:p>
      <w:pPr>
        <w:ind w:left="1300" w:hanging="645"/>
        <w:spacing w:after="0" w:line="306" w:lineRule="auto"/>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color w:val="auto"/>
        </w:rPr>
        <w:t>If this Questionnaire is being completed for a lease renewal, and if any of the USTs/ASTs have leaked, please state the substance released, the media(s) impacted (e.g., soil, water, asphalt, etc.), the actions taken, and all remedial responses to the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105410</wp:posOffset>
            </wp:positionV>
            <wp:extent cx="648970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5">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250825</wp:posOffset>
            </wp:positionV>
            <wp:extent cx="648970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6">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395605</wp:posOffset>
            </wp:positionV>
            <wp:extent cx="64897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7">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color w:val="auto"/>
        </w:rPr>
        <w:t>If this Questionnaire is being completed for a lease renewal, have USTs/ASTs been removed from the property?</w:t>
      </w:r>
    </w:p>
    <w:p>
      <w:pPr>
        <w:spacing w:after="0" w:line="3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Yes___ No___</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yes, please provide any official closure letters or reports and supporting documentation (e.g., analytical test results, remediation report</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results, etc.).</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color w:val="auto"/>
        </w:rPr>
        <w:t>For Lease renewals, are there any above or below ground pipelines on site used to transfer chemicals or wastes?</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Yes___ No___</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new tenants, are installations of this type required for the planned operations?</w:t>
      </w:r>
    </w:p>
    <w:p>
      <w:pPr>
        <w:spacing w:after="0" w:line="8"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Yes___ No___</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yes to either question,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142240</wp:posOffset>
            </wp:positionV>
            <wp:extent cx="648970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8">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287020</wp:posOffset>
            </wp:positionV>
            <wp:extent cx="648970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9">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432435</wp:posOffset>
            </wp:positionV>
            <wp:extent cx="648970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0">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Asbestos Containing Building Materials</w:t>
      </w:r>
    </w:p>
    <w:p>
      <w:pPr>
        <w:spacing w:after="0" w:line="228" w:lineRule="exact"/>
        <w:rPr>
          <w:sz w:val="20"/>
          <w:szCs w:val="20"/>
          <w:color w:val="auto"/>
        </w:rPr>
      </w:pPr>
    </w:p>
    <w:p>
      <w:pPr>
        <w:jc w:val="both"/>
        <w:ind w:firstLine="8"/>
        <w:spacing w:after="0" w:line="300" w:lineRule="auto"/>
        <w:tabs>
          <w:tab w:leader="none" w:pos="549" w:val="left"/>
        </w:tabs>
        <w:numPr>
          <w:ilvl w:val="0"/>
          <w:numId w:val="514"/>
        </w:numPr>
        <w:rPr>
          <w:rFonts w:ascii="Arial" w:cs="Arial" w:eastAsia="Arial" w:hAnsi="Arial"/>
          <w:sz w:val="16"/>
          <w:szCs w:val="16"/>
          <w:color w:val="auto"/>
        </w:rPr>
      </w:pPr>
      <w:r>
        <w:rPr>
          <w:rFonts w:ascii="Arial" w:cs="Arial" w:eastAsia="Arial" w:hAnsi="Arial"/>
          <w:sz w:val="16"/>
          <w:szCs w:val="16"/>
          <w:color w:val="auto"/>
        </w:rPr>
        <w:t>Please be advised that this property participates in an Asbestos Operations and Maintenance Program, and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color w:val="auto"/>
        </w:rPr>
        <w:t>Regulatory</w:t>
      </w:r>
    </w:p>
    <w:p>
      <w:pPr>
        <w:spacing w:after="0" w:line="224" w:lineRule="exact"/>
        <w:rPr>
          <w:sz w:val="20"/>
          <w:szCs w:val="20"/>
          <w:color w:val="auto"/>
        </w:rPr>
      </w:pPr>
    </w:p>
    <w:p>
      <w:pPr>
        <w:ind w:left="1300" w:hanging="645"/>
        <w:spacing w:after="0" w:line="260" w:lineRule="auto"/>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For Lease Renewals, are there any past, current, or pending regulatory actions by federal, state, or local environmental agencies alleging noncompliance with regulations?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Yes___ No___</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142240</wp:posOffset>
            </wp:positionV>
            <wp:extent cx="648970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1">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287020</wp:posOffset>
            </wp:positionV>
            <wp:extent cx="64897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2">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432435</wp:posOffset>
            </wp:positionV>
            <wp:extent cx="64897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3">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hanging="645"/>
        <w:spacing w:after="0" w:line="260" w:lineRule="auto"/>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color w:val="auto"/>
        </w:rPr>
        <w:t>For lease renewals, are there any past, current, or pending lawsuits or administrative proceedings for alleged environmental damages involving the property, you, or any owner or tenant of the property?</w:t>
      </w:r>
    </w:p>
    <w:p>
      <w:pPr>
        <w:spacing w:after="0" w:line="1"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Yes___ No___</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142240</wp:posOffset>
            </wp:positionV>
            <wp:extent cx="648970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4">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287020</wp:posOffset>
            </wp:positionV>
            <wp:extent cx="64897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5">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432435</wp:posOffset>
            </wp:positionV>
            <wp:extent cx="64897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6">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Does the operation have or require a National Pollutant Discharge Elimination System (NPDES) or equivalent permit?</w:t>
      </w:r>
    </w:p>
    <w:p>
      <w:pPr>
        <w:spacing w:after="0" w:line="39"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Yes___ No X_</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attach a copy of this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7255"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47" w:name="page548"/>
    <w:bookmarkEnd w:id="547"/>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For Lease renewals, have there been any complaints from the surrounding community regarding facility operations?</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Yes___ No___</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Have there been any worker complaints or regulatory investigations regarding hazardous material exposure at the facility?</w:t>
      </w:r>
    </w:p>
    <w:p>
      <w:pPr>
        <w:spacing w:after="0" w:line="8"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Yes___ No_X_</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describe status and any corrective actions taken. Please attach additional pages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142240</wp:posOffset>
            </wp:positionV>
            <wp:extent cx="648970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8">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287020</wp:posOffset>
            </wp:positionV>
            <wp:extent cx="648970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9">
                      <a:extLst>
                        <a:ext uri="{28A0092B-C50C-407E-A947-70E740481C1C}"/>
                      </a:extLst>
                    </a:blip>
                    <a:srcRect/>
                    <a:stretch>
                      <a:fillRect/>
                    </a:stretch>
                  </pic:blipFill>
                  <pic:spPr bwMode="auto">
                    <a:xfrm>
                      <a:off x="0" y="0"/>
                      <a:ext cx="6489700" cy="825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432435</wp:posOffset>
            </wp:positionV>
            <wp:extent cx="648970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0">
                      <a:extLst>
                        <a:ext uri="{28A0092B-C50C-407E-A947-70E740481C1C}"/>
                      </a:extLst>
                    </a:blip>
                    <a:srcRect/>
                    <a:stretch>
                      <a:fillRect/>
                    </a:stretch>
                  </pic:blipFill>
                  <pic:spPr bwMode="auto">
                    <a:xfrm>
                      <a:off x="0" y="0"/>
                      <a:ext cx="648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color w:val="auto"/>
        </w:rPr>
        <w:t>Has a Hazardous Materials Business Plan been developed for the site?</w:t>
      </w:r>
    </w:p>
    <w:p>
      <w:pPr>
        <w:spacing w:after="0" w:line="39"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Yes___ No_X_</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attach a copy.</w:t>
      </w:r>
    </w:p>
    <w:p>
      <w:pPr>
        <w:spacing w:after="0" w:line="205" w:lineRule="exact"/>
        <w:rPr>
          <w:sz w:val="20"/>
          <w:szCs w:val="20"/>
          <w:color w:val="auto"/>
        </w:rPr>
      </w:pPr>
    </w:p>
    <w:p>
      <w:pPr>
        <w:ind w:left="1300" w:hanging="645"/>
        <w:spacing w:after="0" w:line="260" w:lineRule="auto"/>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Are any environmental documentation, chemical inventory, or management plan required by the local Fire Department or Health Department?</w:t>
      </w:r>
    </w:p>
    <w:p>
      <w:pPr>
        <w:spacing w:after="0" w:line="1"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Yes___ No X__</w:t>
      </w:r>
    </w:p>
    <w:p>
      <w:pPr>
        <w:spacing w:after="0" w:line="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so, please attach a copy.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am familiar with the real property described in this questionnaire. By signing below, I represent and warrant that the answers to the above questions are complete and accurate to the best of my knowledge. I also understand that the Owner will rely on the completeness and accuracy of my answers in assessing any environmental liability risks associated with the property.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5720"/>
              <w:spacing w:after="0"/>
              <w:rPr>
                <w:sz w:val="20"/>
                <w:szCs w:val="20"/>
                <w:color w:val="auto"/>
              </w:rPr>
            </w:pPr>
            <w:r>
              <w:rPr>
                <w:rFonts w:ascii="Arial" w:cs="Arial" w:eastAsia="Arial" w:hAnsi="Arial"/>
                <w:sz w:val="18"/>
                <w:szCs w:val="18"/>
                <w:color w:val="auto"/>
              </w:rPr>
              <w:t>Signature: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/s/John Coldwell</w:t>
            </w:r>
          </w:p>
        </w:tc>
      </w:tr>
      <w:tr>
        <w:trPr>
          <w:trHeight w:val="209"/>
        </w:trPr>
        <w:tc>
          <w:tcPr>
            <w:tcW w:w="6700" w:type="dxa"/>
            <w:vAlign w:val="bottom"/>
          </w:tcPr>
          <w:p>
            <w:pPr>
              <w:ind w:left="572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John Coldwell</w:t>
            </w:r>
          </w:p>
        </w:tc>
      </w:tr>
      <w:tr>
        <w:trPr>
          <w:trHeight w:val="209"/>
        </w:trPr>
        <w:tc>
          <w:tcPr>
            <w:tcW w:w="6700" w:type="dxa"/>
            <w:vAlign w:val="bottom"/>
          </w:tcPr>
          <w:p>
            <w:pPr>
              <w:ind w:left="5720"/>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COO</w:t>
            </w:r>
          </w:p>
        </w:tc>
      </w:tr>
      <w:tr>
        <w:trPr>
          <w:trHeight w:val="209"/>
        </w:trPr>
        <w:tc>
          <w:tcPr>
            <w:tcW w:w="6700" w:type="dxa"/>
            <w:vAlign w:val="bottom"/>
          </w:tcPr>
          <w:p>
            <w:pPr>
              <w:ind w:left="5720"/>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26 Oct. 2013</w:t>
            </w:r>
          </w:p>
        </w:tc>
      </w:tr>
      <w:tr>
        <w:trPr>
          <w:trHeight w:val="209"/>
        </w:trPr>
        <w:tc>
          <w:tcPr>
            <w:tcW w:w="6700" w:type="dxa"/>
            <w:vAlign w:val="bottom"/>
          </w:tcPr>
          <w:p>
            <w:pPr>
              <w:ind w:left="5720"/>
              <w:spacing w:after="0"/>
              <w:rPr>
                <w:sz w:val="20"/>
                <w:szCs w:val="20"/>
                <w:color w:val="auto"/>
              </w:rPr>
            </w:pPr>
            <w:r>
              <w:rPr>
                <w:rFonts w:ascii="Arial" w:cs="Arial" w:eastAsia="Arial" w:hAnsi="Arial"/>
                <w:sz w:val="18"/>
                <w:szCs w:val="18"/>
                <w:color w:val="auto"/>
              </w:rPr>
              <w:t>Telephone:</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(415) 505-5646</w:t>
            </w:r>
          </w:p>
        </w:tc>
      </w:tr>
      <w:tr>
        <w:trPr>
          <w:trHeight w:val="566"/>
        </w:trPr>
        <w:tc>
          <w:tcPr>
            <w:tcW w:w="67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548" w:name="page549"/>
    <w:bookmarkEnd w:id="5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242570</wp:posOffset>
            </wp:positionV>
            <wp:extent cx="7247255" cy="89985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1">
                      <a:extLst>
                        <a:ext uri="{28A0092B-C50C-407E-A947-70E740481C1C}"/>
                      </a:extLst>
                    </a:blip>
                    <a:srcRect/>
                    <a:stretch>
                      <a:fillRect/>
                    </a:stretch>
                  </pic:blipFill>
                  <pic:spPr bwMode="auto">
                    <a:xfrm>
                      <a:off x="0" y="0"/>
                      <a:ext cx="7247255" cy="8998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9" w:name="page550"/>
    <w:bookmarkEnd w:id="549"/>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Rules &amp; Regulations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Oyster Point Business Park</w:t>
      </w:r>
    </w:p>
    <w:p>
      <w:pPr>
        <w:spacing w:after="0" w:line="209"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Any capitalized terms used herein and not otherwise defined herein shall have the meaning ascribed to such terms as set forth in the Lease. In the event of a conflict between these Rules and Regulations and the provisions of the Lease, the Lease shall control.</w:t>
      </w:r>
    </w:p>
    <w:p>
      <w:pPr>
        <w:spacing w:after="0" w:line="170" w:lineRule="exact"/>
        <w:rPr>
          <w:sz w:val="20"/>
          <w:szCs w:val="20"/>
          <w:color w:val="auto"/>
        </w:rPr>
      </w:pPr>
    </w:p>
    <w:p>
      <w:pPr>
        <w:ind w:left="660" w:right="20" w:hanging="652"/>
        <w:spacing w:after="0" w:line="276" w:lineRule="auto"/>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No advertisement, picture or sign of any short shall be displayed on or outside the Premises without the prior written consent of Landlord. Landlord shall have the right to remove any such unapproved item without notice and at Tenant’s expense.</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regularly park motor vehicles in designated parking areas after the conclusion of normal daily business activity.</w:t>
      </w:r>
    </w:p>
    <w:p>
      <w:pPr>
        <w:spacing w:after="0" w:line="223"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use any method of heating or air conditioning other than that supplied by Landlord without the consent of Landlord.</w:t>
      </w:r>
    </w:p>
    <w:p>
      <w:pPr>
        <w:spacing w:after="0" w:line="223"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All window coverings installed by Tenant and visible from the outside of the building require the prior written approval of Landlord.</w:t>
      </w:r>
    </w:p>
    <w:p>
      <w:pPr>
        <w:spacing w:after="0" w:line="22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use, keep or permit to be used to kept any foul or noxious gas or substance or any flammable or combustible materials on or around the Premises.</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alter any lock or install any new locks or bolts on any door at the Premises without the prior consent of Landlord.</w:t>
      </w:r>
    </w:p>
    <w:p>
      <w:pPr>
        <w:spacing w:after="0" w:line="223"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agrees not to make any duplicate keys without the prior consent of Landlord.</w:t>
      </w:r>
    </w:p>
    <w:p>
      <w:pPr>
        <w:spacing w:after="0" w:line="223"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park motor vehicles in those general parking areas as designated by Landlord except for loading and unloading. During those periods of loading and unloading, Tenant shall not unreasonably interfere with traffic flow within the Industrial Center and loading and unloading areas of other Leases.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disturb, solicit or canvas any occupant of the Building or Industrial Center and shall cooperate to prevent same.</w:t>
      </w:r>
    </w:p>
    <w:p>
      <w:pPr>
        <w:spacing w:after="0" w:line="223" w:lineRule="exact"/>
        <w:rPr>
          <w:rFonts w:ascii="Arial" w:cs="Arial" w:eastAsia="Arial" w:hAnsi="Arial"/>
          <w:sz w:val="18"/>
          <w:szCs w:val="18"/>
          <w:color w:val="auto"/>
        </w:rPr>
      </w:pPr>
    </w:p>
    <w:p>
      <w:pPr>
        <w:ind w:left="660" w:hanging="652"/>
        <w:spacing w:after="0"/>
        <w:tabs>
          <w:tab w:leader="none" w:pos="6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No person shall go on the roof without Landlord’s permission.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0" w:name="page551"/>
    <w:bookmarkEnd w:id="550"/>
    <w:p>
      <w:pPr>
        <w:jc w:val="both"/>
        <w:ind w:left="660" w:hanging="652"/>
        <w:spacing w:after="0" w:line="262"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Business machines and mechanical equipment belonging to Tenant which cause noise or vibration that may be transmitted to the structure of the Building, to such a degree as to be objectionable to Landlord or other Tenants, shall be placed and maintained by Tenant, at Tenant’s expense, on vibration eliminators or other devices sufficient to eliminate noise or vibration.</w:t>
      </w:r>
    </w:p>
    <w:p>
      <w:pPr>
        <w:spacing w:after="0" w:line="18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All goods, including material used to store goods, delivered to the Premises of Tenant shall be immediately moved into the Premises and shall not be left in parking or receiving areas overnight.</w:t>
      </w:r>
    </w:p>
    <w:p>
      <w:pPr>
        <w:spacing w:after="0" w:line="169"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Tractor trailers which must be unhooked or parked with dolly wheels beyond the concrete loading areas must use steel plates or wood blocks under the dolly wheels to prevent damage to the asphalt paving surfaces. No parking or storing of such trailers will be permitted in the auto parking areas of the Industrial Center or on streets adjacent thereto.</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Forklifts which operate on asphalt paving areas shall not have solid rubber tires and shall only use tires that do not damage the asphalt.</w:t>
      </w:r>
    </w:p>
    <w:p>
      <w:pPr>
        <w:spacing w:after="0" w:line="235" w:lineRule="exact"/>
        <w:rPr>
          <w:rFonts w:ascii="Arial" w:cs="Arial" w:eastAsia="Arial" w:hAnsi="Arial"/>
          <w:sz w:val="17"/>
          <w:szCs w:val="17"/>
          <w:color w:val="auto"/>
        </w:rPr>
      </w:pPr>
    </w:p>
    <w:p>
      <w:pPr>
        <w:jc w:val="both"/>
        <w:ind w:left="660" w:hanging="652"/>
        <w:spacing w:after="0" w:line="262"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is responsible for the storage and removal of all trash and refuse. All such trash and refuse shall be contained in suitable receptacles stored behind screened enclosures. If trash or refuse is stored in the driveway or common area for more than one day, Landlord shall have the debris removed at Tenant’s expense.</w:t>
      </w:r>
    </w:p>
    <w:p>
      <w:pPr>
        <w:spacing w:after="0" w:line="183"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shall not store or permit the storage or placement of goods, merchandise, trash or debris in or around the common areas surrounding the Premises. No displays or sales or merchandise shall be allowed in the parking lots or other common areas.</w:t>
      </w:r>
    </w:p>
    <w:p>
      <w:pPr>
        <w:spacing w:after="0" w:line="169"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shall not service, maintain or repair vehicles of any kind in the Premises, Common Area or Industrial Park at any time. In an emergency, vehicles must be towed off site for repair.</w:t>
      </w:r>
    </w:p>
    <w:p>
      <w:pPr>
        <w:spacing w:after="0" w:line="169"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shall not use any drain in, on or around the Premises, Common Area or within the Industrial Park for the disposal of any illegal or hazardous substances.</w:t>
      </w:r>
    </w:p>
    <w:p>
      <w:pPr>
        <w:spacing w:after="0" w:line="169" w:lineRule="exact"/>
        <w:rPr>
          <w:rFonts w:ascii="Arial" w:cs="Arial" w:eastAsia="Arial" w:hAnsi="Arial"/>
          <w:sz w:val="18"/>
          <w:szCs w:val="18"/>
          <w:color w:val="auto"/>
        </w:rPr>
      </w:pPr>
    </w:p>
    <w:p>
      <w:pPr>
        <w:jc w:val="both"/>
        <w:ind w:left="660" w:hanging="652"/>
        <w:spacing w:after="0" w:line="262" w:lineRule="auto"/>
        <w:tabs>
          <w:tab w:leader="none" w:pos="66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The toilet rooms, toilets, urinals, wash bowls and other apparatus shall not be used for any purpose other than that for which they were constructed and no foreign substance of any kind whatsoever shall be thrown therein and the expense of any breakage, stoppage or damage resulting from the violation of this rule shall be borne by the tenant who, or whose employees or invitees, shall have caused it.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The Premises shall not be used for lodging.</w:t>
      </w:r>
    </w:p>
    <w:p>
      <w:pPr>
        <w:sectPr>
          <w:pgSz w:w="11900" w:h="16838" w:orient="portrait"/>
          <w:cols w:equalWidth="0" w:num="1">
            <w:col w:w="11420"/>
          </w:cols>
          <w:pgMar w:left="240" w:top="583" w:right="23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t>Exhibit 10.27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214" w:lineRule="exact"/>
        <w:rPr>
          <w:sz w:val="20"/>
          <w:szCs w:val="20"/>
          <w:color w:val="auto"/>
        </w:rPr>
      </w:pPr>
    </w:p>
    <w:p>
      <w:pPr>
        <w:ind w:left="660" w:hanging="652"/>
        <w:spacing w:after="0"/>
        <w:tabs>
          <w:tab w:leader="none" w:pos="66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ASIC</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Date for Reference Purposes:</w:t>
            </w:r>
          </w:p>
        </w:tc>
        <w:tc>
          <w:tcPr>
            <w:tcW w:w="3900" w:type="dxa"/>
            <w:vAlign w:val="bottom"/>
          </w:tcPr>
          <w:p>
            <w:pPr>
              <w:ind w:left="780"/>
              <w:spacing w:after="0"/>
              <w:rPr>
                <w:sz w:val="20"/>
                <w:szCs w:val="20"/>
                <w:color w:val="auto"/>
              </w:rPr>
            </w:pPr>
            <w:r>
              <w:rPr>
                <w:rFonts w:ascii="Arial" w:cs="Arial" w:eastAsia="Arial" w:hAnsi="Arial"/>
                <w:sz w:val="18"/>
                <w:szCs w:val="18"/>
                <w:color w:val="auto"/>
              </w:rPr>
              <w:t>April 17, 2015</w:t>
            </w: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6"/>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1.2</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Landlord:</w:t>
            </w:r>
          </w:p>
        </w:tc>
        <w:tc>
          <w:tcPr>
            <w:tcW w:w="3900" w:type="dxa"/>
            <w:vAlign w:val="bottom"/>
          </w:tcPr>
          <w:p>
            <w:pPr>
              <w:ind w:left="780"/>
              <w:spacing w:after="0"/>
              <w:rPr>
                <w:sz w:val="20"/>
                <w:szCs w:val="20"/>
                <w:color w:val="auto"/>
              </w:rPr>
            </w:pPr>
            <w:r>
              <w:rPr>
                <w:rFonts w:ascii="Arial" w:cs="Arial" w:eastAsia="Arial" w:hAnsi="Arial"/>
                <w:sz w:val="18"/>
                <w:szCs w:val="18"/>
                <w:color w:val="auto"/>
              </w:rPr>
              <w:t>CRP Edgewater, L.L.C.,</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900" w:type="dxa"/>
            <w:vAlign w:val="bottom"/>
          </w:tcPr>
          <w:p>
            <w:pPr>
              <w:ind w:left="780"/>
              <w:spacing w:after="0"/>
              <w:rPr>
                <w:sz w:val="20"/>
                <w:szCs w:val="20"/>
                <w:color w:val="auto"/>
              </w:rPr>
            </w:pPr>
            <w:r>
              <w:rPr>
                <w:rFonts w:ascii="Arial" w:cs="Arial" w:eastAsia="Arial" w:hAnsi="Arial"/>
                <w:sz w:val="18"/>
                <w:szCs w:val="18"/>
                <w:color w:val="auto"/>
              </w:rPr>
              <w:t>a Delaware limited liability company</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1.3</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Tenant:</w:t>
            </w:r>
          </w:p>
        </w:tc>
        <w:tc>
          <w:tcPr>
            <w:tcW w:w="3900" w:type="dxa"/>
            <w:vAlign w:val="bottom"/>
          </w:tcPr>
          <w:p>
            <w:pPr>
              <w:ind w:left="780"/>
              <w:spacing w:after="0"/>
              <w:rPr>
                <w:sz w:val="20"/>
                <w:szCs w:val="20"/>
                <w:color w:val="auto"/>
              </w:rPr>
            </w:pPr>
            <w:r>
              <w:rPr>
                <w:rFonts w:ascii="Arial" w:cs="Arial" w:eastAsia="Arial" w:hAnsi="Arial"/>
                <w:sz w:val="18"/>
                <w:szCs w:val="18"/>
                <w:color w:val="auto"/>
              </w:rPr>
              <w:t>Vaxart, Inc., a Delaware corporation</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1.4</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Building Address:</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rPr>
              <w:t>290 Utah Avenue, South San Francisco, California</w:t>
            </w: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1.5</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Suite Number(s):</w:t>
            </w:r>
          </w:p>
        </w:tc>
        <w:tc>
          <w:tcPr>
            <w:tcW w:w="3900" w:type="dxa"/>
            <w:vAlign w:val="bottom"/>
          </w:tcPr>
          <w:p>
            <w:pPr>
              <w:ind w:left="780"/>
              <w:spacing w:after="0"/>
              <w:rPr>
                <w:sz w:val="20"/>
                <w:szCs w:val="20"/>
                <w:color w:val="auto"/>
              </w:rPr>
            </w:pPr>
            <w:r>
              <w:rPr>
                <w:rFonts w:ascii="Arial" w:cs="Arial" w:eastAsia="Arial" w:hAnsi="Arial"/>
                <w:sz w:val="18"/>
                <w:szCs w:val="18"/>
                <w:color w:val="auto"/>
              </w:rPr>
              <w:t>Suite 200</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1.6</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Rentable Area of Premises:</w:t>
            </w:r>
          </w:p>
        </w:tc>
        <w:tc>
          <w:tcPr>
            <w:tcW w:w="3900" w:type="dxa"/>
            <w:vAlign w:val="bottom"/>
          </w:tcPr>
          <w:p>
            <w:pPr>
              <w:ind w:left="780"/>
              <w:spacing w:after="0"/>
              <w:rPr>
                <w:sz w:val="20"/>
                <w:szCs w:val="20"/>
                <w:color w:val="auto"/>
              </w:rPr>
            </w:pPr>
            <w:r>
              <w:rPr>
                <w:rFonts w:ascii="Arial" w:cs="Arial" w:eastAsia="Arial" w:hAnsi="Arial"/>
                <w:sz w:val="18"/>
                <w:szCs w:val="18"/>
                <w:color w:val="auto"/>
                <w:w w:val="94"/>
              </w:rPr>
              <w:t>Approximately 5,188 rentable square feet</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1.7</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Intentionally Omitted:</w:t>
            </w:r>
          </w:p>
        </w:tc>
        <w:tc>
          <w:tcPr>
            <w:tcW w:w="3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16"/>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1.8</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Use:</w:t>
            </w:r>
          </w:p>
        </w:tc>
        <w:tc>
          <w:tcPr>
            <w:tcW w:w="6620" w:type="dxa"/>
            <w:vAlign w:val="bottom"/>
            <w:gridSpan w:val="3"/>
          </w:tcPr>
          <w:p>
            <w:pPr>
              <w:ind w:left="780"/>
              <w:spacing w:after="0"/>
              <w:rPr>
                <w:sz w:val="20"/>
                <w:szCs w:val="20"/>
                <w:color w:val="auto"/>
              </w:rPr>
            </w:pPr>
            <w:r>
              <w:rPr>
                <w:rFonts w:ascii="Arial" w:cs="Arial" w:eastAsia="Arial" w:hAnsi="Arial"/>
                <w:sz w:val="18"/>
                <w:szCs w:val="18"/>
                <w:color w:val="auto"/>
              </w:rPr>
              <w:t>General  office,  administrative,  general  laboratory  and  research  and</w:t>
            </w:r>
          </w:p>
        </w:tc>
      </w:tr>
      <w:tr>
        <w:trPr>
          <w:trHeight w:val="230"/>
        </w:trPr>
        <w:tc>
          <w:tcPr>
            <w:tcW w:w="1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900" w:type="dxa"/>
            <w:vAlign w:val="bottom"/>
          </w:tcPr>
          <w:p>
            <w:pPr>
              <w:ind w:left="780"/>
              <w:spacing w:after="0"/>
              <w:rPr>
                <w:sz w:val="20"/>
                <w:szCs w:val="20"/>
                <w:color w:val="auto"/>
              </w:rPr>
            </w:pPr>
            <w:r>
              <w:rPr>
                <w:rFonts w:ascii="Arial" w:cs="Arial" w:eastAsia="Arial" w:hAnsi="Arial"/>
                <w:sz w:val="18"/>
                <w:szCs w:val="18"/>
                <w:color w:val="auto"/>
              </w:rPr>
              <w:t>development</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1.9</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Term:</w:t>
            </w:r>
          </w:p>
        </w:tc>
        <w:tc>
          <w:tcPr>
            <w:tcW w:w="3900" w:type="dxa"/>
            <w:vAlign w:val="bottom"/>
          </w:tcPr>
          <w:p>
            <w:pPr>
              <w:ind w:left="780"/>
              <w:spacing w:after="0"/>
              <w:rPr>
                <w:sz w:val="20"/>
                <w:szCs w:val="20"/>
                <w:color w:val="auto"/>
              </w:rPr>
            </w:pPr>
            <w:r>
              <w:rPr>
                <w:rFonts w:ascii="Arial" w:cs="Arial" w:eastAsia="Arial" w:hAnsi="Arial"/>
                <w:sz w:val="18"/>
                <w:szCs w:val="18"/>
                <w:color w:val="auto"/>
              </w:rPr>
              <w:t>Sixty (60) months</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1.10</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Estimated Commencement Date:</w:t>
            </w:r>
          </w:p>
        </w:tc>
        <w:tc>
          <w:tcPr>
            <w:tcW w:w="3900" w:type="dxa"/>
            <w:vAlign w:val="bottom"/>
          </w:tcPr>
          <w:p>
            <w:pPr>
              <w:ind w:left="780"/>
              <w:spacing w:after="0"/>
              <w:rPr>
                <w:sz w:val="20"/>
                <w:szCs w:val="20"/>
                <w:color w:val="auto"/>
              </w:rPr>
            </w:pPr>
            <w:r>
              <w:rPr>
                <w:rFonts w:ascii="Arial" w:cs="Arial" w:eastAsia="Arial" w:hAnsi="Arial"/>
                <w:sz w:val="18"/>
                <w:szCs w:val="18"/>
                <w:color w:val="auto"/>
              </w:rPr>
              <w:t>May 1, 2015</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9"/>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1.11</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Monthly Base Rent:</w:t>
            </w:r>
          </w:p>
        </w:tc>
        <w:tc>
          <w:tcPr>
            <w:tcW w:w="3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jc w:val="right"/>
              <w:ind w:right="490"/>
              <w:spacing w:after="0"/>
              <w:rPr>
                <w:sz w:val="20"/>
                <w:szCs w:val="20"/>
                <w:color w:val="auto"/>
              </w:rPr>
            </w:pPr>
            <w:r>
              <w:rPr>
                <w:rFonts w:ascii="Arial" w:cs="Arial" w:eastAsia="Arial" w:hAnsi="Arial"/>
                <w:sz w:val="18"/>
                <w:szCs w:val="18"/>
                <w:b w:val="1"/>
                <w:bCs w:val="1"/>
                <w:color w:val="auto"/>
              </w:rPr>
              <w:t>Monthly</w:t>
            </w:r>
          </w:p>
        </w:tc>
      </w:tr>
      <w:tr>
        <w:trPr>
          <w:trHeight w:val="234"/>
        </w:trPr>
        <w:tc>
          <w:tcPr>
            <w:tcW w:w="1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900" w:type="dxa"/>
            <w:vAlign w:val="bottom"/>
          </w:tcPr>
          <w:p>
            <w:pPr>
              <w:ind w:left="800"/>
              <w:spacing w:after="0"/>
              <w:rPr>
                <w:sz w:val="20"/>
                <w:szCs w:val="20"/>
                <w:color w:val="auto"/>
              </w:rPr>
            </w:pPr>
            <w:r>
              <w:rPr>
                <w:rFonts w:ascii="Arial" w:cs="Arial" w:eastAsia="Arial" w:hAnsi="Arial"/>
                <w:sz w:val="18"/>
                <w:szCs w:val="18"/>
                <w:b w:val="1"/>
                <w:bCs w:val="1"/>
                <w:color w:val="auto"/>
              </w:rPr>
              <w:t>Period:</w:t>
            </w: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Per rsf</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Base Rent:</w:t>
            </w:r>
          </w:p>
        </w:tc>
      </w:tr>
      <w:tr>
        <w:trPr>
          <w:trHeight w:val="416"/>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Months 1 through 12</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$18,676.00</w:t>
            </w:r>
          </w:p>
        </w:tc>
      </w:tr>
      <w:tr>
        <w:trPr>
          <w:trHeight w:val="215"/>
        </w:trPr>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Subject to abatement during Month 1</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Months 13 through 24</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$19,237.10</w:t>
            </w:r>
          </w:p>
        </w:tc>
      </w:tr>
      <w:tr>
        <w:trPr>
          <w:trHeight w:val="215"/>
        </w:trPr>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Months 25 through 36</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~$3.82</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$19,814.22</w:t>
            </w:r>
          </w:p>
        </w:tc>
      </w:tr>
      <w:tr>
        <w:trPr>
          <w:trHeight w:val="215"/>
        </w:trPr>
        <w:tc>
          <w:tcPr>
            <w:tcW w:w="1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Months 37 through 48</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$20,408.64</w:t>
            </w:r>
          </w:p>
        </w:tc>
      </w:tr>
      <w:tr>
        <w:trPr>
          <w:trHeight w:val="230"/>
        </w:trPr>
        <w:tc>
          <w:tcPr>
            <w:tcW w:w="1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900" w:type="dxa"/>
            <w:vAlign w:val="bottom"/>
          </w:tcPr>
          <w:p>
            <w:pPr>
              <w:ind w:left="800"/>
              <w:spacing w:after="0"/>
              <w:rPr>
                <w:sz w:val="20"/>
                <w:szCs w:val="20"/>
                <w:color w:val="auto"/>
              </w:rPr>
            </w:pPr>
            <w:r>
              <w:rPr>
                <w:rFonts w:ascii="Arial" w:cs="Arial" w:eastAsia="Arial" w:hAnsi="Arial"/>
                <w:sz w:val="18"/>
                <w:szCs w:val="18"/>
                <w:color w:val="auto"/>
              </w:rPr>
              <w:t>Months 49 through 60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~$4.05</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$21,020.90</w:t>
            </w: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1.12</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Base Rent Paid Upon Execution:</w:t>
            </w:r>
          </w:p>
        </w:tc>
        <w:tc>
          <w:tcPr>
            <w:tcW w:w="3900" w:type="dxa"/>
            <w:vAlign w:val="bottom"/>
          </w:tcPr>
          <w:p>
            <w:pPr>
              <w:ind w:left="800"/>
              <w:spacing w:after="0"/>
              <w:rPr>
                <w:sz w:val="20"/>
                <w:szCs w:val="20"/>
                <w:color w:val="auto"/>
              </w:rPr>
            </w:pPr>
            <w:r>
              <w:rPr>
                <w:rFonts w:ascii="Arial" w:cs="Arial" w:eastAsia="Arial" w:hAnsi="Arial"/>
                <w:sz w:val="18"/>
                <w:szCs w:val="18"/>
                <w:color w:val="auto"/>
              </w:rPr>
              <w:t>$18,676.80</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spacing w:after="0"/>
              <w:rPr>
                <w:sz w:val="24"/>
                <w:szCs w:val="24"/>
                <w:color w:val="auto"/>
              </w:rPr>
            </w:pPr>
          </w:p>
        </w:tc>
        <w:tc>
          <w:tcPr>
            <w:tcW w:w="3420" w:type="dxa"/>
            <w:vAlign w:val="bottom"/>
          </w:tcPr>
          <w:p>
            <w:pPr>
              <w:ind w:left="740"/>
              <w:spacing w:after="0"/>
              <w:rPr>
                <w:sz w:val="20"/>
                <w:szCs w:val="20"/>
                <w:color w:val="auto"/>
              </w:rPr>
            </w:pPr>
            <w:r>
              <w:rPr>
                <w:rFonts w:ascii="Arial" w:cs="Arial" w:eastAsia="Arial" w:hAnsi="Arial"/>
                <w:sz w:val="18"/>
                <w:szCs w:val="18"/>
                <w:b w:val="1"/>
                <w:bCs w:val="1"/>
                <w:color w:val="auto"/>
              </w:rPr>
              <w:t>Applied To:</w:t>
            </w:r>
          </w:p>
        </w:tc>
        <w:tc>
          <w:tcPr>
            <w:tcW w:w="3900" w:type="dxa"/>
            <w:vAlign w:val="bottom"/>
          </w:tcPr>
          <w:p>
            <w:pPr>
              <w:ind w:left="800"/>
              <w:spacing w:after="0"/>
              <w:rPr>
                <w:sz w:val="20"/>
                <w:szCs w:val="20"/>
                <w:color w:val="auto"/>
              </w:rPr>
            </w:pPr>
            <w:r>
              <w:rPr>
                <w:rFonts w:ascii="Arial" w:cs="Arial" w:eastAsia="Arial" w:hAnsi="Arial"/>
                <w:sz w:val="18"/>
                <w:szCs w:val="18"/>
                <w:color w:val="auto"/>
              </w:rPr>
              <w:t>Month two</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1.13</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Security Deposit:</w:t>
            </w:r>
          </w:p>
        </w:tc>
        <w:tc>
          <w:tcPr>
            <w:tcW w:w="3900" w:type="dxa"/>
            <w:vAlign w:val="bottom"/>
          </w:tcPr>
          <w:p>
            <w:pPr>
              <w:ind w:left="800"/>
              <w:spacing w:after="0"/>
              <w:rPr>
                <w:sz w:val="20"/>
                <w:szCs w:val="20"/>
                <w:color w:val="auto"/>
              </w:rPr>
            </w:pPr>
            <w:r>
              <w:rPr>
                <w:rFonts w:ascii="Arial" w:cs="Arial" w:eastAsia="Arial" w:hAnsi="Arial"/>
                <w:sz w:val="18"/>
                <w:szCs w:val="18"/>
                <w:color w:val="auto"/>
              </w:rPr>
              <w:t>$42,139.04</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1.14</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Tenant’s Share:</w:t>
            </w:r>
          </w:p>
        </w:tc>
        <w:tc>
          <w:tcPr>
            <w:tcW w:w="3900" w:type="dxa"/>
            <w:vAlign w:val="bottom"/>
          </w:tcPr>
          <w:p>
            <w:pPr>
              <w:ind w:left="800"/>
              <w:spacing w:after="0"/>
              <w:rPr>
                <w:sz w:val="20"/>
                <w:szCs w:val="20"/>
                <w:color w:val="auto"/>
              </w:rPr>
            </w:pPr>
            <w:r>
              <w:rPr>
                <w:rFonts w:ascii="Arial" w:cs="Arial" w:eastAsia="Arial" w:hAnsi="Arial"/>
                <w:sz w:val="18"/>
                <w:szCs w:val="18"/>
                <w:color w:val="auto"/>
              </w:rPr>
              <w:t>See Section 6.4</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1.15</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Intentionally Omitted:</w:t>
            </w:r>
          </w:p>
        </w:tc>
        <w:tc>
          <w:tcPr>
            <w:tcW w:w="3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1"/>
        </w:trPr>
        <w:tc>
          <w:tcPr>
            <w:tcW w:w="1380" w:type="dxa"/>
            <w:vAlign w:val="bottom"/>
          </w:tcPr>
          <w:p>
            <w:pPr>
              <w:ind w:left="960"/>
              <w:spacing w:after="0"/>
              <w:rPr>
                <w:sz w:val="20"/>
                <w:szCs w:val="20"/>
                <w:color w:val="auto"/>
              </w:rPr>
            </w:pPr>
            <w:r>
              <w:rPr>
                <w:rFonts w:ascii="Arial" w:cs="Arial" w:eastAsia="Arial" w:hAnsi="Arial"/>
                <w:sz w:val="18"/>
                <w:szCs w:val="18"/>
                <w:b w:val="1"/>
                <w:bCs w:val="1"/>
                <w:color w:val="auto"/>
              </w:rPr>
              <w:t>1.16</w:t>
            </w:r>
          </w:p>
        </w:tc>
        <w:tc>
          <w:tcPr>
            <w:tcW w:w="3420" w:type="dxa"/>
            <w:vAlign w:val="bottom"/>
          </w:tcPr>
          <w:p>
            <w:pPr>
              <w:ind w:left="100"/>
              <w:spacing w:after="0"/>
              <w:rPr>
                <w:sz w:val="20"/>
                <w:szCs w:val="20"/>
                <w:color w:val="auto"/>
              </w:rPr>
            </w:pPr>
            <w:r>
              <w:rPr>
                <w:rFonts w:ascii="Arial" w:cs="Arial" w:eastAsia="Arial" w:hAnsi="Arial"/>
                <w:sz w:val="18"/>
                <w:szCs w:val="18"/>
                <w:b w:val="1"/>
                <w:bCs w:val="1"/>
                <w:color w:val="auto"/>
              </w:rPr>
              <w:t>Business Hours:</w:t>
            </w:r>
          </w:p>
        </w:tc>
        <w:tc>
          <w:tcPr>
            <w:tcW w:w="6620" w:type="dxa"/>
            <w:vAlign w:val="bottom"/>
            <w:gridSpan w:val="3"/>
          </w:tcPr>
          <w:p>
            <w:pPr>
              <w:ind w:left="800"/>
              <w:spacing w:after="0"/>
              <w:rPr>
                <w:sz w:val="20"/>
                <w:szCs w:val="20"/>
                <w:color w:val="auto"/>
              </w:rPr>
            </w:pPr>
            <w:r>
              <w:rPr>
                <w:rFonts w:ascii="Arial" w:cs="Arial" w:eastAsia="Arial" w:hAnsi="Arial"/>
                <w:sz w:val="18"/>
                <w:szCs w:val="18"/>
                <w:color w:val="auto"/>
              </w:rPr>
              <w:t>8:00 a.m. through 6:00 p.m. Monday through Friday, excluding Holidays</w:t>
            </w:r>
          </w:p>
        </w:tc>
      </w:tr>
      <w:tr>
        <w:trPr>
          <w:trHeight w:val="458"/>
        </w:trPr>
        <w:tc>
          <w:tcPr>
            <w:tcW w:w="1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00" w:type="dxa"/>
            <w:vAlign w:val="bottom"/>
          </w:tcPr>
          <w:p>
            <w:pPr>
              <w:ind w:left="840"/>
              <w:spacing w:after="0"/>
              <w:rPr>
                <w:sz w:val="20"/>
                <w:szCs w:val="20"/>
                <w:color w:val="auto"/>
              </w:rPr>
            </w:pPr>
            <w:r>
              <w:rPr>
                <w:rFonts w:ascii="Arial" w:cs="Arial" w:eastAsia="Arial" w:hAnsi="Arial"/>
                <w:sz w:val="18"/>
                <w:szCs w:val="18"/>
                <w:color w:val="auto"/>
              </w:rPr>
              <w:t>1.</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4"/>
        </w:trPr>
        <w:tc>
          <w:tcPr>
            <w:tcW w:w="138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1" w:right="239" w:bottom="1440" w:gutter="0" w:footer="0" w:header="0"/>
        </w:sectPr>
      </w:pPr>
    </w:p>
    <w:bookmarkStart w:id="552" w:name="page553"/>
    <w:bookmarkEnd w:id="552"/>
    <w:p>
      <w:pPr>
        <w:spacing w:after="0"/>
        <w:tabs>
          <w:tab w:leader="none" w:pos="50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Intentionally Omitted:</w:t>
      </w:r>
    </w:p>
    <w:p>
      <w:pPr>
        <w:spacing w:after="0" w:line="22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Number of Parking Spaces:</w:t>
      </w:r>
    </w:p>
    <w:p>
      <w:pPr>
        <w:spacing w:after="0" w:line="22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Monthly Parking</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Rates Per Vehicle:</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6"/>
          <w:szCs w:val="16"/>
          <w:b w:val="1"/>
          <w:bCs w:val="1"/>
          <w:color w:val="auto"/>
        </w:rPr>
        <w:t>Real Estate Broker: /</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Landlord:</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Tenant:</w:t>
      </w:r>
    </w:p>
    <w:p>
      <w:pPr>
        <w:spacing w:after="0" w:line="22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Exhibits Attached to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Addresses For Notices:</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Thirteen (13) unreserved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Chris Jacobs of CBRE,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Janice Hennessey of Kidder Mathews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 “</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w:t>
      </w:r>
    </w:p>
    <w:p>
      <w:pPr>
        <w:spacing w:after="0" w:line="27" w:lineRule="exact"/>
        <w:rPr>
          <w:sz w:val="20"/>
          <w:szCs w:val="20"/>
          <w:color w:val="auto"/>
        </w:rPr>
      </w:pPr>
    </w:p>
    <w:p>
      <w:pPr>
        <w:ind w:right="1259"/>
        <w:spacing w:after="0" w:line="249" w:lineRule="auto"/>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 “</w:t>
      </w:r>
      <w:r>
        <w:rPr>
          <w:rFonts w:ascii="Arial" w:cs="Arial" w:eastAsia="Arial" w:hAnsi="Arial"/>
          <w:sz w:val="18"/>
          <w:szCs w:val="18"/>
          <w:b w:val="1"/>
          <w:bCs w:val="1"/>
          <w:i w:val="1"/>
          <w:iCs w:val="1"/>
          <w:color w:val="auto"/>
        </w:rPr>
        <w:t>Verification Letter</w:t>
      </w:r>
      <w:r>
        <w:rPr>
          <w:rFonts w:ascii="Arial" w:cs="Arial" w:eastAsia="Arial" w:hAnsi="Arial"/>
          <w:sz w:val="18"/>
          <w:szCs w:val="18"/>
          <w:color w:val="auto"/>
        </w:rPr>
        <w:t>”;</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w:t>
      </w:r>
      <w:r>
        <w:rPr>
          <w:rFonts w:ascii="Arial" w:cs="Arial" w:eastAsia="Arial" w:hAnsi="Arial"/>
          <w:sz w:val="18"/>
          <w:szCs w:val="18"/>
          <w:b w:val="1"/>
          <w:bCs w:val="1"/>
          <w:i w:val="1"/>
          <w:iCs w:val="1"/>
          <w:color w:val="auto"/>
        </w:rPr>
        <w:t>Rules and Regulations</w:t>
      </w:r>
      <w:r>
        <w:rPr>
          <w:rFonts w:ascii="Arial" w:cs="Arial" w:eastAsia="Arial" w:hAnsi="Arial"/>
          <w:sz w:val="18"/>
          <w:szCs w:val="18"/>
          <w:color w:val="auto"/>
        </w:rPr>
        <w:t>”;</w:t>
      </w:r>
      <w:r>
        <w:rPr>
          <w:rFonts w:ascii="Arial" w:cs="Arial" w:eastAsia="Arial" w:hAnsi="Arial"/>
          <w:sz w:val="18"/>
          <w:szCs w:val="18"/>
          <w:b w:val="1"/>
          <w:bCs w:val="1"/>
          <w:color w:val="auto"/>
        </w:rPr>
        <w:t xml:space="preserve"> Exhibit D </w:t>
      </w:r>
      <w:r>
        <w:rPr>
          <w:rFonts w:ascii="Arial" w:cs="Arial" w:eastAsia="Arial" w:hAnsi="Arial"/>
          <w:sz w:val="18"/>
          <w:szCs w:val="18"/>
          <w:color w:val="auto"/>
        </w:rPr>
        <w:t>- “</w:t>
      </w:r>
      <w:r>
        <w:rPr>
          <w:rFonts w:ascii="Arial" w:cs="Arial" w:eastAsia="Arial" w:hAnsi="Arial"/>
          <w:sz w:val="18"/>
          <w:szCs w:val="18"/>
          <w:b w:val="1"/>
          <w:bCs w:val="1"/>
          <w:i w:val="1"/>
          <w:iCs w:val="1"/>
          <w:color w:val="auto"/>
        </w:rPr>
        <w:t>Addendum to Lease Agreement</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 – “Landlord's Work”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 David A. Kingery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US Real Estate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Carlyle Group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3675 Mt. Diablo Boulevard, Suite 310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Lafayette, California 94549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David Koch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Hines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101 California Street, Suite 919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Prior to Commencement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385 Oyster Point Blvd., Suite 9A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94105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Cornwell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From and after Commencement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385 Oyster Point Blvd., Suite 9A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94105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Cornwell</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82550</wp:posOffset>
            </wp:positionV>
            <wp:extent cx="7247255"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2">
            <w:col w:w="3900" w:space="720"/>
            <w:col w:w="4639"/>
          </w:cols>
          <w:pgMar w:left="1200" w:top="579" w:right="1440" w:bottom="1440" w:gutter="0" w:footer="0" w:header="0"/>
        </w:sectPr>
      </w:pPr>
    </w:p>
    <w:bookmarkStart w:id="553" w:name="page554"/>
    <w:bookmarkEnd w:id="553"/>
    <w:p>
      <w:pPr>
        <w:jc w:val="both"/>
        <w:ind w:firstLine="646"/>
        <w:spacing w:after="0" w:line="265" w:lineRule="auto"/>
        <w:rPr>
          <w:sz w:val="20"/>
          <w:szCs w:val="20"/>
          <w:color w:val="auto"/>
        </w:rPr>
      </w:pPr>
      <w:r>
        <w:rPr>
          <w:rFonts w:ascii="Arial" w:cs="Arial" w:eastAsia="Arial" w:hAnsi="Arial"/>
          <w:sz w:val="18"/>
          <w:szCs w:val="18"/>
          <w:b w:val="1"/>
          <w:bCs w:val="1"/>
          <w:color w:val="auto"/>
        </w:rPr>
        <w:t>1.23 Interpretation</w:t>
      </w:r>
      <w:r>
        <w:rPr>
          <w:rFonts w:ascii="Arial" w:cs="Arial" w:eastAsia="Arial" w:hAnsi="Arial"/>
          <w:sz w:val="18"/>
          <w:szCs w:val="18"/>
          <w:color w:val="auto"/>
        </w:rPr>
        <w:t>. The Basic Lease Provisions shall be interpreted in conjunction with all of the other terms and conditions of this Lease.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Lease modify and expand on the Basic Lease Provisions. If there is a conflict between the Basic Lease Provisions and the other terms and conditions of this Lease, the other terms and conditions shall control.</w:t>
      </w:r>
    </w:p>
    <w:p>
      <w:pPr>
        <w:spacing w:after="0" w:line="176" w:lineRule="exact"/>
        <w:rPr>
          <w:sz w:val="20"/>
          <w:szCs w:val="20"/>
          <w:color w:val="auto"/>
        </w:rPr>
      </w:pPr>
    </w:p>
    <w:p>
      <w:pPr>
        <w:ind w:left="660" w:hanging="652"/>
        <w:spacing w:after="0"/>
        <w:tabs>
          <w:tab w:leader="none" w:pos="66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REMISES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 xml:space="preserve">2.1 Acceptance. </w:t>
      </w:r>
      <w:r>
        <w:rPr>
          <w:rFonts w:ascii="Arial" w:cs="Arial" w:eastAsia="Arial" w:hAnsi="Arial"/>
          <w:sz w:val="16"/>
          <w:szCs w:val="16"/>
          <w:color w:val="auto"/>
        </w:rPr>
        <w:t>Landlord leases to Tenant, and Tenant leases from Landlord, the Premises, to have and to hold for the term of this Lease,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terms, covenants and conditions of this Lease. Tenant shall have access 24 hours a day, 365 days a year. The Premises is depicted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hereto. The Premises depicted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is all or a part of the building located at the address shown in Section 1.4 (the “</w:t>
      </w:r>
      <w:r>
        <w:rPr>
          <w:rFonts w:ascii="Arial" w:cs="Arial" w:eastAsia="Arial" w:hAnsi="Arial"/>
          <w:sz w:val="16"/>
          <w:szCs w:val="16"/>
          <w:b w:val="1"/>
          <w:bCs w:val="1"/>
          <w:i w:val="1"/>
          <w:iCs w:val="1"/>
          <w:color w:val="auto"/>
        </w:rPr>
        <w:t>Building</w:t>
      </w:r>
      <w:r>
        <w:rPr>
          <w:rFonts w:ascii="Arial" w:cs="Arial" w:eastAsia="Arial" w:hAnsi="Arial"/>
          <w:sz w:val="16"/>
          <w:szCs w:val="16"/>
          <w:color w:val="auto"/>
        </w:rPr>
        <w:t xml:space="preserve">”) and may contain areas outside of the Building to the extent such areas are specifically identified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as being a part of the Premises. Tenant shall accept the Premises in its condition as of the Commencement Date, subject to all applicable laws, ordinances, rules, regulations, orders, certificates of occupancy, conditional use or other permits, variances, covenants, conditions, restrictions, easements (collectively, “</w:t>
      </w:r>
      <w:r>
        <w:rPr>
          <w:rFonts w:ascii="Arial" w:cs="Arial" w:eastAsia="Arial" w:hAnsi="Arial"/>
          <w:sz w:val="16"/>
          <w:szCs w:val="16"/>
          <w:b w:val="1"/>
          <w:bCs w:val="1"/>
          <w:i w:val="1"/>
          <w:iCs w:val="1"/>
          <w:color w:val="auto"/>
        </w:rPr>
        <w:t>Legal Requirements</w:t>
      </w:r>
      <w:r>
        <w:rPr>
          <w:rFonts w:ascii="Arial" w:cs="Arial" w:eastAsia="Arial" w:hAnsi="Arial"/>
          <w:sz w:val="16"/>
          <w:szCs w:val="16"/>
          <w:color w:val="auto"/>
        </w:rPr>
        <w:t>”) and subject to Landlord’s obligation, as more expressly set forth herein, to deliver the Premises to Tenant in the condition expressly set forth in this Lease, and except as may be otherwise expressly provided herein, Landlord shall not be obligated to make any repairs or alterations to the Premises. Tenant acknowledges that Landlord has made no representation or warranty as to the suitability of the Premises for the conduct of Tenant’s business, and Tenant waives any implied warranty that the Premises are suitable for Tenant’s intended purposes. The number of square feet set forth in Section 1.6 is an approximation, and the Base Rent and Tenant’s Share shall not be changed if the actual number of square feet in the Premises is different than the number of square feet set forth in Section 1.6.</w:t>
      </w:r>
    </w:p>
    <w:p>
      <w:pPr>
        <w:spacing w:after="0" w:line="164" w:lineRule="exact"/>
        <w:rPr>
          <w:sz w:val="20"/>
          <w:szCs w:val="20"/>
          <w:color w:val="auto"/>
        </w:rPr>
      </w:pPr>
    </w:p>
    <w:p>
      <w:pPr>
        <w:jc w:val="both"/>
        <w:ind w:firstLine="646"/>
        <w:spacing w:after="0" w:line="266" w:lineRule="auto"/>
        <w:rPr>
          <w:sz w:val="20"/>
          <w:szCs w:val="20"/>
          <w:color w:val="auto"/>
        </w:rPr>
      </w:pPr>
      <w:r>
        <w:rPr>
          <w:rFonts w:ascii="Arial" w:cs="Arial" w:eastAsia="Arial" w:hAnsi="Arial"/>
          <w:sz w:val="17"/>
          <w:szCs w:val="17"/>
          <w:b w:val="1"/>
          <w:bCs w:val="1"/>
          <w:color w:val="auto"/>
        </w:rPr>
        <w:t>2.2 Common Areas</w:t>
      </w:r>
      <w:r>
        <w:rPr>
          <w:rFonts w:ascii="Arial" w:cs="Arial" w:eastAsia="Arial" w:hAnsi="Arial"/>
          <w:sz w:val="17"/>
          <w:szCs w:val="17"/>
          <w:color w:val="auto"/>
        </w:rPr>
        <w:t>. Landlord hereby grants to Tenant for the benefit of Tenant and its employees, suppliers, shippers, customers and invitees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Lease, the nonexclusive right to use, in common with others entitled to such use (including Landlord), the Common Areas (as hereinafter defined) as they exist from time to time, subject to all rights reserved by Landlord hereunder and under the terms of all rules and regulations promulgated by Landlord from time to time with respect thereto. Landlord reserves the right from time to time to (a) make changes in the Common Areas, including, without limitation, changes in location, size, shape and number of driveways, entrances, parking spaces, parking areas, loading and unloading areas, ingress, egress, direction of traffic, landscaped areas and walkways; (b) close temporarily any of the Common Areas for maintenance purposes so long as reasonable access to the Premises remains available; (c) construct additional buildings, parking areas, loading dock facilities and other improvements within the Common Areas; and (d) do and perform such other acts and make such other changes in, to or with respect to the Common Areas as Landlord may deem appropriate. As used herein, the term “</w:t>
      </w:r>
      <w:r>
        <w:rPr>
          <w:rFonts w:ascii="Arial" w:cs="Arial" w:eastAsia="Arial" w:hAnsi="Arial"/>
          <w:sz w:val="17"/>
          <w:szCs w:val="17"/>
          <w:b w:val="1"/>
          <w:bCs w:val="1"/>
          <w:i w:val="1"/>
          <w:iCs w:val="1"/>
          <w:color w:val="auto"/>
        </w:rPr>
        <w:t>Common Areas</w:t>
      </w:r>
      <w:r>
        <w:rPr>
          <w:rFonts w:ascii="Arial" w:cs="Arial" w:eastAsia="Arial" w:hAnsi="Arial"/>
          <w:sz w:val="17"/>
          <w:szCs w:val="17"/>
          <w:color w:val="auto"/>
        </w:rPr>
        <w:t>” means all areas and facilities outside the Premises and within the exterior boundary lines of the land owned by Landlord that are provided and designated by Landlord as such from time to time for general nonexclusive use of Tenant and others, including, if designated by Landlord as Common Areas, parking areas, loading and unloading areas, trash areas, roadways, sidewalks, walkways, parkways and landscaped areas, and Tenant shall have no leasehold interest in the Common Areas. The Building is part of a multi-building office and life science project currently owned by Landlord and known as “</w:t>
      </w:r>
      <w:r>
        <w:rPr>
          <w:rFonts w:ascii="Arial" w:cs="Arial" w:eastAsia="Arial" w:hAnsi="Arial"/>
          <w:sz w:val="17"/>
          <w:szCs w:val="17"/>
          <w:b w:val="1"/>
          <w:bCs w:val="1"/>
          <w:i w:val="1"/>
          <w:iCs w:val="1"/>
          <w:color w:val="auto"/>
        </w:rPr>
        <w:t>Edgewater Business Park</w:t>
      </w:r>
      <w:r>
        <w:rPr>
          <w:rFonts w:ascii="Arial" w:cs="Arial" w:eastAsia="Arial" w:hAnsi="Arial"/>
          <w:sz w:val="17"/>
          <w:szCs w:val="17"/>
          <w:color w:val="auto"/>
        </w:rPr>
        <w:t>”, which project (herein collectively referred to as the “</w:t>
      </w:r>
      <w:r>
        <w:rPr>
          <w:rFonts w:ascii="Arial" w:cs="Arial" w:eastAsia="Arial" w:hAnsi="Arial"/>
          <w:sz w:val="17"/>
          <w:szCs w:val="17"/>
          <w:b w:val="1"/>
          <w:bCs w:val="1"/>
          <w:i w:val="1"/>
          <w:iCs w:val="1"/>
          <w:color w:val="auto"/>
        </w:rPr>
        <w:t>Project</w:t>
      </w:r>
      <w:r>
        <w:rPr>
          <w:rFonts w:ascii="Arial" w:cs="Arial" w:eastAsia="Arial" w:hAnsi="Arial"/>
          <w:sz w:val="17"/>
          <w:szCs w:val="17"/>
          <w:color w:val="auto"/>
        </w:rPr>
        <w:t>”): is currently comprised of (A) the Building, (B) five (5) other buildings located within Edgewater Business Park (collectively, the “</w:t>
      </w:r>
      <w:r>
        <w:rPr>
          <w:rFonts w:ascii="Arial" w:cs="Arial" w:eastAsia="Arial" w:hAnsi="Arial"/>
          <w:sz w:val="17"/>
          <w:szCs w:val="17"/>
          <w:b w:val="1"/>
          <w:bCs w:val="1"/>
          <w:i w:val="1"/>
          <w:iCs w:val="1"/>
          <w:color w:val="auto"/>
        </w:rPr>
        <w:t>Additional Buildings</w:t>
      </w:r>
      <w:r>
        <w:rPr>
          <w:rFonts w:ascii="Arial" w:cs="Arial" w:eastAsia="Arial" w:hAnsi="Arial"/>
          <w:sz w:val="17"/>
          <w:szCs w:val="17"/>
          <w:color w:val="auto"/>
        </w:rPr>
        <w:t>”), (C) the Common Areas; and (D) the land upon which the Building, the Additional Buildings and such parking areas and other facilities are located. Under no circumstances shall the right herein granted to use the Common Areas be deemed to include the right to store any property, temporarily or permanently, in the Common Areas, including, without limitation, the storage of trucks or other vehicles. Any such storage shall be permitted only with the prior written consent of Landlord, which consent may be revoked at any time.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4" w:name="page555"/>
    <w:bookmarkEnd w:id="554"/>
    <w:p>
      <w:pPr>
        <w:ind w:left="660" w:hanging="652"/>
        <w:spacing w:after="0"/>
        <w:tabs>
          <w:tab w:leader="none" w:pos="660" w:val="left"/>
        </w:tabs>
        <w:numPr>
          <w:ilvl w:val="0"/>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b w:val="1"/>
          <w:bCs w:val="1"/>
          <w:color w:val="auto"/>
        </w:rPr>
        <w:t>3.1 Term and Commencement Date</w:t>
      </w:r>
      <w:r>
        <w:rPr>
          <w:rFonts w:ascii="Arial" w:cs="Arial" w:eastAsia="Arial" w:hAnsi="Arial"/>
          <w:sz w:val="16"/>
          <w:szCs w:val="16"/>
          <w:color w:val="auto"/>
        </w:rPr>
        <w:t>. The term and Commencement Date of this Lease are as specified in Sections 1.9 and 1.10.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Commencement Date set forth in Section 1.10 is an estimated Commencement Date. Subject to the limitations contained in Section 3.3 below, the actual Commencement Date shall be the date possession of the Premises is tendered to Tenant in accordance with Section 3.4 below and the Addendum to Lease which is attached to and incorporated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Commencement Date shall not occur prior to the date set forth in Section 1.10. If the actual Commencement Date does not occur on the first day of a calendar month, the term of this Lease shall be extended by the number of days between the actual Commencement Date and the first day of the next calendar month, it being the intention of Landlord and Tenant that the Term of the Lease end on the last day of a calendar month. When the actual Commencement Date is established by Landlord, Landlord shall complete the letter attached hereto as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 </w:t>
      </w:r>
      <w:r>
        <w:rPr>
          <w:rFonts w:ascii="Arial" w:cs="Arial" w:eastAsia="Arial" w:hAnsi="Arial"/>
          <w:sz w:val="16"/>
          <w:szCs w:val="16"/>
          <w:color w:val="auto"/>
        </w:rPr>
        <w:t>and Tenant shall, within five (5) days after Landlord’s request, execute the letter and deliver it to Landlord. Tenant’s failure to execute the letter within five</w:t>
      </w:r>
    </w:p>
    <w:p>
      <w:pPr>
        <w:spacing w:after="0" w:line="6" w:lineRule="exact"/>
        <w:rPr>
          <w:sz w:val="20"/>
          <w:szCs w:val="20"/>
          <w:color w:val="auto"/>
        </w:rPr>
      </w:pPr>
    </w:p>
    <w:p>
      <w:pPr>
        <w:ind w:firstLine="8"/>
        <w:spacing w:after="0" w:line="259" w:lineRule="auto"/>
        <w:tabs>
          <w:tab w:leader="none" w:pos="27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days after Landlord’s second request shall constitute Tenant’s acknowledgment of the truth of the facts contained in the letter delivered by Landlord to Tenant.</w:t>
      </w:r>
    </w:p>
    <w:p>
      <w:pPr>
        <w:spacing w:after="0" w:line="181"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3.2 Delay in Possession</w:t>
      </w:r>
      <w:r>
        <w:rPr>
          <w:rFonts w:ascii="Arial" w:cs="Arial" w:eastAsia="Arial" w:hAnsi="Arial"/>
          <w:sz w:val="17"/>
          <w:szCs w:val="17"/>
          <w:color w:val="auto"/>
        </w:rPr>
        <w:t>. Notwithstanding the Estimated Commencement Date specified in Section 1.10, if for any reason Landlord cannot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possession of the Premises to Tenant on said date or any other date with the Landlord’s Work complete as required in the Addendum, Landlord shall not be subject to any liability therefor, nor shall such failure affect the validity of this Lease or the obligations of Tenant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in such a case, Tenant shall not be obligated to pay rent or perform any other obligation of Tenant under this Lease, except as may be otherwise provided in this Lease, until possession of the Premises is tendered to Tenant, as defined in Section 3.4. If Landlord shall not have tendered possession of the Premises to Tenant within sixty (60) days following the Estimated Commencement Date specified in Section 1.10, as the same may be adjusted in accordance with this Section 3.2 or Section 3.3 in the condition required by the Addendum, Tenant may, at Tenant’s option, by notice in writing to Landlord within ten (10) days after the expiration of the sixty (60) day period, terminate this Lease. If Tenant terminates this Lease as provided in the preceding sentence, the parties shall be discharged from all obligations hereunder, except that Landlord shall return any money previously deposited with Landlord by Tenant;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such written notice by Tenant is not received by Landlord within said ten (10) day period, Tenant shall not have the right to terminate this Lease as provided above unless Landlord fails to tender possession of the Premises to Tenant within one hundred twenty (120) days following the Estimated Commencement Date specified in Section 1.10, as the same may be adjusted in accordance with this Section 3.2 or Section 3.3 or in accordance with the Addendum attached to this Lease. If Landlord is unable to deliver possession of the Premises to Tenant on the Estimated Commencement Date specified in Section 1.10, as the same may be adjusted in accordance with this Section 3.2 or Section 3.3 or in accordance with the Addendum, due to a Force Majeure Event (as defined below), such estimated Commencement Date shall be extended by the period of the delay caused by the Force Majeure Event, not to exceed an additional thirty (30) days. A “</w:t>
      </w:r>
      <w:r>
        <w:rPr>
          <w:rFonts w:ascii="Arial" w:cs="Arial" w:eastAsia="Arial" w:hAnsi="Arial"/>
          <w:sz w:val="17"/>
          <w:szCs w:val="17"/>
          <w:b w:val="1"/>
          <w:bCs w:val="1"/>
          <w:i w:val="1"/>
          <w:iCs w:val="1"/>
          <w:color w:val="auto"/>
        </w:rPr>
        <w:t>Force Majeure Event</w:t>
      </w:r>
      <w:r>
        <w:rPr>
          <w:rFonts w:ascii="Arial" w:cs="Arial" w:eastAsia="Arial" w:hAnsi="Arial"/>
          <w:sz w:val="17"/>
          <w:szCs w:val="17"/>
          <w:color w:val="auto"/>
        </w:rPr>
        <w:t>” shall mean fire, earthquake, weather delays or other acts of God, strikes, boycotts, war, riot, insurrection, embargoes, shortages of equipment, labor or materials, delays in issuance of governmental permits or approvals, or any other cause beyond the reasonable control of Landlord.</w:t>
      </w:r>
    </w:p>
    <w:p>
      <w:pPr>
        <w:spacing w:after="0" w:line="177"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3.3 Delays Caused by Tenant</w:t>
      </w:r>
      <w:r>
        <w:rPr>
          <w:rFonts w:ascii="Arial" w:cs="Arial" w:eastAsia="Arial" w:hAnsi="Arial"/>
          <w:sz w:val="18"/>
          <w:szCs w:val="18"/>
          <w:color w:val="auto"/>
        </w:rPr>
        <w:t>. If a delay in Landlord’s delivery of possession of the Premises with the Landlord’s Work complete is caused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delays caused by acts or omissions of Tenant, Tenant’s agents, employees and contractors (hereinafter “</w:t>
      </w:r>
      <w:r>
        <w:rPr>
          <w:rFonts w:ascii="Arial" w:cs="Arial" w:eastAsia="Arial" w:hAnsi="Arial"/>
          <w:sz w:val="18"/>
          <w:szCs w:val="18"/>
          <w:b w:val="1"/>
          <w:bCs w:val="1"/>
          <w:i w:val="1"/>
          <w:iCs w:val="1"/>
          <w:color w:val="auto"/>
        </w:rPr>
        <w:t>Tenant Delays</w:t>
      </w:r>
      <w:r>
        <w:rPr>
          <w:rFonts w:ascii="Arial" w:cs="Arial" w:eastAsia="Arial" w:hAnsi="Arial"/>
          <w:sz w:val="18"/>
          <w:szCs w:val="18"/>
          <w:color w:val="auto"/>
        </w:rPr>
        <w:t>”), then the Commencement Date shall be deemed to be the date upon which the Landlord’s Work would have been completed but for the Tenant Delays. Within thirty (30) days after Landlord tenders possession of the Premises to Tenant, Landlord shall notify Tenant of Landlord’s reasonable estimate of the date Landlord could have delivered possession of the Premises to Tenant but for the Tenant Delays.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5" w:name="page556"/>
    <w:bookmarkEnd w:id="555"/>
    <w:p>
      <w:pPr>
        <w:ind w:left="660"/>
        <w:spacing w:after="0"/>
        <w:tabs>
          <w:tab w:leader="none" w:pos="11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Tender of Possession</w:t>
      </w:r>
      <w:r>
        <w:rPr>
          <w:rFonts w:ascii="Arial" w:cs="Arial" w:eastAsia="Arial" w:hAnsi="Arial"/>
          <w:sz w:val="16"/>
          <w:szCs w:val="16"/>
          <w:color w:val="auto"/>
        </w:rPr>
        <w:t>. Possession of the Premises shall be deemed tendered to Tenant when Landlord’s architect or agent has determined that</w:t>
      </w:r>
    </w:p>
    <w:p>
      <w:pPr>
        <w:spacing w:after="0" w:line="27" w:lineRule="exact"/>
        <w:rPr>
          <w:sz w:val="20"/>
          <w:szCs w:val="20"/>
          <w:color w:val="auto"/>
        </w:rPr>
      </w:pPr>
    </w:p>
    <w:p>
      <w:pPr>
        <w:jc w:val="both"/>
        <w:ind w:firstLine="8"/>
        <w:spacing w:after="0" w:line="272" w:lineRule="auto"/>
        <w:tabs>
          <w:tab w:leader="none" w:pos="261" w:val="left"/>
        </w:tabs>
        <w:numPr>
          <w:ilvl w:val="0"/>
          <w:numId w:val="521"/>
        </w:numPr>
        <w:rPr>
          <w:rFonts w:ascii="Arial" w:cs="Arial" w:eastAsia="Arial" w:hAnsi="Arial"/>
          <w:sz w:val="17"/>
          <w:szCs w:val="17"/>
          <w:color w:val="auto"/>
        </w:rPr>
      </w:pPr>
      <w:r>
        <w:rPr>
          <w:rFonts w:ascii="Arial" w:cs="Arial" w:eastAsia="Arial" w:hAnsi="Arial"/>
          <w:sz w:val="17"/>
          <w:szCs w:val="17"/>
          <w:color w:val="auto"/>
        </w:rPr>
        <w:t>the Landlord’s Work to be provided by Landlord pursuant to the Addendum is substantially completed, (b) the Project utilities are ready for use in the Premises, (c) Tenant has reasonable access to the Premises, and (d) Landlord has offered Tenant possession of the Premises. The Landlord’s Work shall be deemed “</w:t>
      </w:r>
      <w:r>
        <w:rPr>
          <w:rFonts w:ascii="Arial" w:cs="Arial" w:eastAsia="Arial" w:hAnsi="Arial"/>
          <w:sz w:val="17"/>
          <w:szCs w:val="17"/>
          <w:b w:val="1"/>
          <w:bCs w:val="1"/>
          <w:i w:val="1"/>
          <w:iCs w:val="1"/>
          <w:color w:val="auto"/>
        </w:rPr>
        <w:t>substantially</w:t>
      </w:r>
      <w:r>
        <w:rPr>
          <w:rFonts w:ascii="Arial" w:cs="Arial" w:eastAsia="Arial" w:hAnsi="Arial"/>
          <w:sz w:val="17"/>
          <w:szCs w:val="17"/>
          <w:color w:val="auto"/>
        </w:rPr>
        <w:t>” completed when such improvements have been completed except for minor items or defects which can be completed or remedied after Tenant occupies the Premises without causing substantial interference with Tenant’s use of the Premises.</w:t>
      </w:r>
    </w:p>
    <w:p>
      <w:pPr>
        <w:spacing w:after="0" w:line="172"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b w:val="1"/>
          <w:bCs w:val="1"/>
          <w:color w:val="auto"/>
        </w:rPr>
        <w:t>3.5 Early Possession</w:t>
      </w:r>
      <w:r>
        <w:rPr>
          <w:rFonts w:ascii="Arial" w:cs="Arial" w:eastAsia="Arial" w:hAnsi="Arial"/>
          <w:sz w:val="16"/>
          <w:szCs w:val="16"/>
          <w:color w:val="auto"/>
        </w:rPr>
        <w:t>. Provided that Tenant does not interfere with or delay the completion by Landlord or its agents or contractors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of any Landlord’s Work, Tenant shall have the right to enter the Premises promptly after landlord determines that providing such early access is feasible given the preformance of Landlord’s Work (as defined in the Addendum attached to this Lease) for the purpose of installing furniture, trade fixtures, equipment, and similar items, and Tenant shall have no obligation to begin paying Base Rent or other charges based solely on its installation of these items. . Landlord makes no guarantee regarding any early possession or, if provided, the amount of time provided for such early possession. Tenant shall be liable for any damages or delays caused by Tenant’s activities at the Premises. Prior to entering the Premises, Tenant shall obtain all insurance it is required to obtain by the Lease and shall provide certificates of said insurance to Landlord. Tenant shall coordinate such entry with Landlord’s manager, and such entry shall be made in compliance with all terms and conditions of this Lease and the Rules and Regulations attached hereto.</w:t>
      </w:r>
    </w:p>
    <w:p>
      <w:pPr>
        <w:spacing w:after="0" w:line="159" w:lineRule="exact"/>
        <w:rPr>
          <w:sz w:val="20"/>
          <w:szCs w:val="20"/>
          <w:color w:val="auto"/>
        </w:rPr>
      </w:pPr>
    </w:p>
    <w:p>
      <w:pPr>
        <w:ind w:left="660" w:hanging="652"/>
        <w:spacing w:after="0"/>
        <w:tabs>
          <w:tab w:leader="none" w:pos="660"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SE</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b w:val="1"/>
          <w:bCs w:val="1"/>
          <w:color w:val="auto"/>
        </w:rPr>
        <w:t>4.1 Permitted Use</w:t>
      </w:r>
      <w:r>
        <w:rPr>
          <w:rFonts w:ascii="Arial" w:cs="Arial" w:eastAsia="Arial" w:hAnsi="Arial"/>
          <w:sz w:val="16"/>
          <w:szCs w:val="16"/>
          <w:color w:val="auto"/>
        </w:rPr>
        <w:t>. The Premises shall be used only for the purpose described in Section 1.8 and for no other purpose. In no event shall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Premises be used for retail sales. Tenant shall not initiate, submit an application for, or otherwise request, any land use approvals or entitlements with respect to the Premises or any other portion of the Project, including, without limitation, any variance, conditional use permit or rezoning, without first obtaining Landlord’s prior written consent, which may be given or withheld in Landlord’s sole discretion. Tenant shall not (a) permit any animals or pets to be brought to or kept in the Premises, (b) install any antenna, dish or other device on the roof of the Building or outside of the Premises, (c) make any penetrations into the roof of the Building, (d) place loads upon floors, walls or ceilings in excess of the load such items were designed to carry, (e) place or store, nor permit any other person or entity to place or store, any property, equipment, materials, supplies or other items outside of the Building in which the Premises is located or (f) change the exterior of the Premises or the Building in which the Premises is located. In no event shall Tenant use the Premises for the sale of medical marijuana or any use associated with the sale of medical marijuana. Tenant acknowledges that it has satisfied itself by its own independent investigation that the Premises and the Project are suitable for its intended use and that its use is permitted by applicable Legal Requirements, and that neither Landlord nor Landlord’s agents have made any representation or warranty as to the present or future suitability of the Premises, or the Project for the conduct of Tenant’s business. Landlord shall have the right to prescribe the weight, size and position of all safes and other heavy property brought into the Building. Heavy equipment, machinery and other heavy objects shall, if considered necessary by Landlord, stand on supports of such thickness as is necessary to properly distribute the weight. Landlord will not be responsible for loss of or damage to any such safe or property in any case. All damage done to any part of the Building and/or Project, its contents, occupants or visitors by moving or maintaining any such safe or other property shall be the sole responsibility of Tenant and any expense of said damage or injury shall be borne by Tenant. Tenant’s use of the Premises, machines and equipment which affect air quality or cause dust, debris or odor which may be transmitted to or through the structure of the Building, anywhere in the Project, or to any space therein, which is objectionable to Landlord in its commercially reasonable discretion, or to any tenants in the Building, shall, at Tenant’s expense, be contained by Tenant so as not to affect any area of the Project, other tenants, Landlord, other than the interior of the Premises. Tenant’s use of the Premises, machines and equipment which cause noise and vibration which may be transmitted to the structure of the Building anywhere in the Project, or to any space therein, and which is objectionable to Landlord or to any tenants in the Building, shall, at Tenant’s expense, be contained by Tenant and placed and maintained by Tenant on vibration eliminators or other devices sufficient, in Landlord’s commercially reasonable determination, to minimize noise or vibration.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6" w:name="page557"/>
    <w:bookmarkEnd w:id="556"/>
    <w:p>
      <w:pPr>
        <w:jc w:val="both"/>
        <w:ind w:firstLine="646"/>
        <w:spacing w:after="0" w:line="284" w:lineRule="auto"/>
        <w:rPr>
          <w:sz w:val="20"/>
          <w:szCs w:val="20"/>
          <w:color w:val="auto"/>
        </w:rPr>
      </w:pPr>
      <w:r>
        <w:rPr>
          <w:rFonts w:ascii="Arial" w:cs="Arial" w:eastAsia="Arial" w:hAnsi="Arial"/>
          <w:sz w:val="16"/>
          <w:szCs w:val="16"/>
          <w:b w:val="1"/>
          <w:bCs w:val="1"/>
          <w:color w:val="auto"/>
        </w:rPr>
        <w:t>4.2 Compliance With Laws</w:t>
      </w:r>
      <w:r>
        <w:rPr>
          <w:rFonts w:ascii="Arial" w:cs="Arial" w:eastAsia="Arial" w:hAnsi="Arial"/>
          <w:sz w:val="16"/>
          <w:szCs w:val="16"/>
          <w:color w:val="auto"/>
        </w:rPr>
        <w:t>. Tenant shall, at Tenant’s sole expense (except as otherwise expressly set forth in this Lease), promptly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Legal Requirements, the recommendations of Landlord’s engineers or other consultants, and requirements of any fire insurance underwriters, rating bureaus or government agencies, now in effect or which may hereafter come into effect, whether or not they reflect a change in policy from that now existing, during the term or any part of the term hereof, relating in any manner to the Premises or the occupation and use by Tenant of the Premises. Tenant shall, at Tenant’s sole expense, comply with all accessibility requirements of State and Federal law that apply to the Premises, Common Areas, Building or Project and all federal, state and local laws and regulations governing occupational safety and health where such compliance is required as a result of Tenant’s specific use of the Premises and/or any Alterations made by, for or at the request of Tenant. Tenant acknowledges that it will be responsible for complying with current and future laws and regulations, including, but not limited to, the Americans with Disabilities Act and Title 24 of the California Code of Regulations (including without limitation the 2013 Building Energy Efficiency Standards) even though such compliance requires Tenant to make substantial repairs or modifications (including structural modifications) to the Premises, Common Areas, Building or Project but only if the application of the law or regulation is related to Tenant’s specific use of the Premises or any Alterations made by, for or at the request of Tenant. Tenant shall not permit any objectionable or unpleasant odors, smoke, dust, gas, noise or vibrations to emanate from the Premises, or take any other action that would constitute a nuisance, create a dangerous situation, or would disturb, unreasonably interfere with or endanger Landlord or any other tenants of the Project. Tenant shall obtain, at its sole expense, any permit or other governmental authorization required to operate its business from the Premises. Landlord shall not be liable for the failure of any other tenant or person to abide by the requirements of this section or to otherwise comply with applicable Legal Requirements, and Tenant shall not be excused from the performance of its obligations under this Lease due to such a failure. To Landlord’s actual knowledge, the Premises has not undergone an inspection by a certified access specialist. Landlord’s actual knowledge shall mean and be limited to the actual knowledge of the person who is the Building owner’s asset manager (not the Building’s property manager) on the date set forth in Section 1.1, without any duty of inquiry or investigation, and such asset manager shall have no personal liability if such representation or warranty is untrue.</w:t>
      </w:r>
    </w:p>
    <w:p>
      <w:pPr>
        <w:spacing w:after="0" w:line="170"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b w:val="1"/>
          <w:bCs w:val="1"/>
          <w:color w:val="auto"/>
        </w:rPr>
        <w:t>4.3 Occupant Density</w:t>
      </w:r>
      <w:r>
        <w:rPr>
          <w:rFonts w:ascii="Arial" w:cs="Arial" w:eastAsia="Arial" w:hAnsi="Arial"/>
          <w:sz w:val="17"/>
          <w:szCs w:val="17"/>
          <w:color w:val="auto"/>
        </w:rPr>
        <w:t>. Tenant shall maintain a ratio of not more than three and one half Occupants (as defined below) for each one thousand</w:t>
      </w:r>
      <w:r>
        <w:rPr>
          <w:rFonts w:ascii="Arial" w:cs="Arial" w:eastAsia="Arial" w:hAnsi="Arial"/>
          <w:sz w:val="17"/>
          <w:szCs w:val="17"/>
          <w:b w:val="1"/>
          <w:bCs w:val="1"/>
          <w:color w:val="auto"/>
        </w:rPr>
        <w:t xml:space="preserve"> </w:t>
      </w:r>
      <w:r>
        <w:rPr>
          <w:rFonts w:ascii="Arial" w:cs="Arial" w:eastAsia="Arial" w:hAnsi="Arial"/>
          <w:sz w:val="17"/>
          <w:szCs w:val="17"/>
          <w:color w:val="auto"/>
        </w:rPr>
        <w:t>(1000) square feet of leasable area in the Premises (hereinafter, the “</w:t>
      </w:r>
      <w:r>
        <w:rPr>
          <w:rFonts w:ascii="Arial" w:cs="Arial" w:eastAsia="Arial" w:hAnsi="Arial"/>
          <w:sz w:val="17"/>
          <w:szCs w:val="17"/>
          <w:b w:val="1"/>
          <w:bCs w:val="1"/>
          <w:i w:val="1"/>
          <w:iCs w:val="1"/>
          <w:color w:val="auto"/>
        </w:rPr>
        <w:t>Occupant Density</w:t>
      </w:r>
      <w:r>
        <w:rPr>
          <w:rFonts w:ascii="Arial" w:cs="Arial" w:eastAsia="Arial" w:hAnsi="Arial"/>
          <w:sz w:val="17"/>
          <w:szCs w:val="17"/>
          <w:color w:val="auto"/>
        </w:rPr>
        <w:t>”). If Landlord has a reasonable basis to believe that Tenant is exceeding the Occupant Density, upon request by Landlord, Tenant shall maintain on a daily basis an accurate record of the number of employees, visitors, contractors and other people that visit the Premises (collectively “</w:t>
      </w:r>
      <w:r>
        <w:rPr>
          <w:rFonts w:ascii="Arial" w:cs="Arial" w:eastAsia="Arial" w:hAnsi="Arial"/>
          <w:sz w:val="17"/>
          <w:szCs w:val="17"/>
          <w:b w:val="1"/>
          <w:bCs w:val="1"/>
          <w:i w:val="1"/>
          <w:iCs w:val="1"/>
          <w:color w:val="auto"/>
        </w:rPr>
        <w:t>Occupants</w:t>
      </w:r>
      <w:r>
        <w:rPr>
          <w:rFonts w:ascii="Arial" w:cs="Arial" w:eastAsia="Arial" w:hAnsi="Arial"/>
          <w:sz w:val="17"/>
          <w:szCs w:val="17"/>
          <w:color w:val="auto"/>
        </w:rPr>
        <w:t>”). Landlord shall have the right to audit Tenant’s Occupant record and, at Landlord’s option, Landlord shall have the right to periodically visit the Premises without advance notice to Tenant in order to track the number of Occupants working at the Premises. For purposes of this section, “</w:t>
      </w:r>
      <w:r>
        <w:rPr>
          <w:rFonts w:ascii="Arial" w:cs="Arial" w:eastAsia="Arial" w:hAnsi="Arial"/>
          <w:sz w:val="17"/>
          <w:szCs w:val="17"/>
          <w:b w:val="1"/>
          <w:bCs w:val="1"/>
          <w:i w:val="1"/>
          <w:iCs w:val="1"/>
          <w:color w:val="auto"/>
        </w:rPr>
        <w:t>Occupants</w:t>
      </w:r>
      <w:r>
        <w:rPr>
          <w:rFonts w:ascii="Arial" w:cs="Arial" w:eastAsia="Arial" w:hAnsi="Arial"/>
          <w:sz w:val="17"/>
          <w:szCs w:val="17"/>
          <w:color w:val="auto"/>
        </w:rPr>
        <w:t>” shall not include people not employed by Tenant that deliver or pick up mail or other packages at the Premises, employees of Landlord or employees of Landlord’s agents or contractors. Tenant’s failure to comply with the requirements of this section shall constitute a default under Section 17.1 and Landlord shall have the right, in addition to any other remedies it may have at law or equity, to specifically enforce Tenant’s obligations under this section. Nothing contained in this section shall be interpreted to entitle Tenant to use more parking spaces than the number permitted by Section 1.15.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7" w:name="page558"/>
    <w:bookmarkEnd w:id="557"/>
    <w:p>
      <w:pPr>
        <w:jc w:val="both"/>
        <w:ind w:firstLine="8"/>
        <w:spacing w:after="0" w:line="273" w:lineRule="auto"/>
        <w:tabs>
          <w:tab w:leader="none" w:pos="426" w:val="left"/>
        </w:tabs>
        <w:numPr>
          <w:ilvl w:val="0"/>
          <w:numId w:val="523"/>
        </w:numPr>
        <w:rPr>
          <w:rFonts w:ascii="Arial" w:cs="Arial" w:eastAsia="Arial" w:hAnsi="Arial"/>
          <w:sz w:val="17"/>
          <w:szCs w:val="17"/>
          <w:b w:val="1"/>
          <w:bCs w:val="1"/>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ASE</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ENT</w:t>
      </w:r>
      <w:r>
        <w:rPr>
          <w:rFonts w:ascii="Arial" w:cs="Arial" w:eastAsia="Arial" w:hAnsi="Arial"/>
          <w:sz w:val="17"/>
          <w:szCs w:val="17"/>
          <w:color w:val="auto"/>
        </w:rPr>
        <w:t>. Tenant shall pay Base Rent in the amount set forth on the first page of this Lease. At the time Tenant executes this Lease it shall pay to</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the amounts set forth in Sections 1.12 and 1.13. Tenant promises to pay to Landlord in advance, without demand, deduction or set-off, monthly installments of Base Rent and Operating Expenses on or before the first day of each calendar month succeeding the Commencement Date. Payments of Base Rent and Operating Expenses for any fractional calendar month shall be prorated. All payments required to be made by Tenant to Landlord hereunder shall be payable at such address as Landlord may specify from time to time by written notice delivered in accordance herewith. Tenant shall have no right at any time to abate, reduce, or set off any rent due hereunder except where expressly provided in this Lease.</w:t>
      </w:r>
    </w:p>
    <w:p>
      <w:pPr>
        <w:spacing w:after="0" w:line="173" w:lineRule="exact"/>
        <w:rPr>
          <w:rFonts w:ascii="Arial" w:cs="Arial" w:eastAsia="Arial" w:hAnsi="Arial"/>
          <w:sz w:val="17"/>
          <w:szCs w:val="17"/>
          <w:b w:val="1"/>
          <w:bCs w:val="1"/>
          <w:color w:val="auto"/>
        </w:rPr>
      </w:pPr>
    </w:p>
    <w:p>
      <w:pPr>
        <w:ind w:left="660" w:hanging="652"/>
        <w:spacing w:after="0"/>
        <w:tabs>
          <w:tab w:leader="none" w:pos="66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PERATING</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8" w:lineRule="auto"/>
        <w:rPr>
          <w:sz w:val="20"/>
          <w:szCs w:val="20"/>
          <w:color w:val="auto"/>
        </w:rPr>
      </w:pPr>
      <w:r>
        <w:rPr>
          <w:rFonts w:ascii="Arial" w:cs="Arial" w:eastAsia="Arial" w:hAnsi="Arial"/>
          <w:sz w:val="16"/>
          <w:szCs w:val="16"/>
          <w:b w:val="1"/>
          <w:bCs w:val="1"/>
          <w:color w:val="auto"/>
        </w:rPr>
        <w:t>6.1 Operating Expenses</w:t>
      </w:r>
      <w:r>
        <w:rPr>
          <w:rFonts w:ascii="Arial" w:cs="Arial" w:eastAsia="Arial" w:hAnsi="Arial"/>
          <w:sz w:val="16"/>
          <w:szCs w:val="16"/>
          <w:color w:val="auto"/>
        </w:rPr>
        <w:t>. Tenant shall pay to Landlord during the term hereof, in addition to the Base Rent, Tenant’s Percentage Share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of the Operating Expenses for the Project. If less than 100% of the leasable square feet in the Project is occupied by tenants or Landlord is not supplying services to 100% of the leasable square feet of the Project at any time during any calendar year, Operating Expenses for such calendar year shall be an amount equal to the Operating Expenses which would normally be expected to be incurred had 100% of the Project’s leasable square feet been occupied and had Landlord been supplying services to 100% of the Project’s leasable square feet throughout such calendar year (hereinafter the “</w:t>
      </w:r>
      <w:r>
        <w:rPr>
          <w:rFonts w:ascii="Arial" w:cs="Arial" w:eastAsia="Arial" w:hAnsi="Arial"/>
          <w:sz w:val="16"/>
          <w:szCs w:val="16"/>
          <w:b w:val="1"/>
          <w:bCs w:val="1"/>
          <w:i w:val="1"/>
          <w:iCs w:val="1"/>
          <w:color w:val="auto"/>
        </w:rPr>
        <w:t>Grossed Up Operating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Landlord’s good faith estimate of Grossed Up Operating Expenses shall not be subject to challenge or recalculation by Tenant. Tenant’s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Share of Operating Expense increases for the last calendar year of the Lease Term shall be prorated according to that portion of such calendar year as to which Tenant is responsible for a share of Operating Expenses. For the purposes of this Lease, the term “</w:t>
      </w:r>
      <w:r>
        <w:rPr>
          <w:rFonts w:ascii="Arial" w:cs="Arial" w:eastAsia="Arial" w:hAnsi="Arial"/>
          <w:sz w:val="16"/>
          <w:szCs w:val="16"/>
          <w:b w:val="1"/>
          <w:bCs w:val="1"/>
          <w:i w:val="1"/>
          <w:iCs w:val="1"/>
          <w:color w:val="auto"/>
        </w:rPr>
        <w:t>Operating Expenses</w:t>
      </w:r>
      <w:r>
        <w:rPr>
          <w:rFonts w:ascii="Arial" w:cs="Arial" w:eastAsia="Arial" w:hAnsi="Arial"/>
          <w:sz w:val="16"/>
          <w:szCs w:val="16"/>
          <w:color w:val="auto"/>
        </w:rPr>
        <w:t>” shall mean all expenses and disbursements of every kind (subject to the limitations set forth below) which Landlord incurs, pays or becomes obligated to pay in connection with the ownership, operation, and maintenance of the Project (including the associated Common Areas), including, but not limited to, the following:</w:t>
      </w:r>
    </w:p>
    <w:p>
      <w:pPr>
        <w:spacing w:after="0" w:line="165" w:lineRule="exact"/>
        <w:rPr>
          <w:sz w:val="20"/>
          <w:szCs w:val="20"/>
          <w:color w:val="auto"/>
        </w:rPr>
      </w:pPr>
    </w:p>
    <w:p>
      <w:pPr>
        <w:jc w:val="both"/>
        <w:ind w:firstLine="1138"/>
        <w:spacing w:after="0" w:line="262" w:lineRule="auto"/>
        <w:tabs>
          <w:tab w:leader="none" w:pos="1631" w:val="left"/>
        </w:tabs>
        <w:numPr>
          <w:ilvl w:val="0"/>
          <w:numId w:val="524"/>
        </w:numPr>
        <w:rPr>
          <w:rFonts w:ascii="Arial" w:cs="Arial" w:eastAsia="Arial" w:hAnsi="Arial"/>
          <w:sz w:val="18"/>
          <w:szCs w:val="18"/>
          <w:b w:val="1"/>
          <w:bCs w:val="1"/>
          <w:color w:val="auto"/>
        </w:rPr>
      </w:pPr>
      <w:r>
        <w:rPr>
          <w:rFonts w:ascii="Arial" w:cs="Arial" w:eastAsia="Arial" w:hAnsi="Arial"/>
          <w:sz w:val="18"/>
          <w:szCs w:val="18"/>
          <w:color w:val="auto"/>
        </w:rPr>
        <w:t>wages and salaries (including management fees not in excess of those typically charged by landlords of comparable properties in the South San Francisco market) of all employees, agents, consultants and other individuals or entities engaged in the operation, repair, replacement, maintenance, and security of the Project, including taxes, insurance and benefits relating thereto;</w:t>
      </w:r>
    </w:p>
    <w:p>
      <w:pPr>
        <w:spacing w:after="0" w:line="183" w:lineRule="exact"/>
        <w:rPr>
          <w:rFonts w:ascii="Arial" w:cs="Arial" w:eastAsia="Arial" w:hAnsi="Arial"/>
          <w:sz w:val="18"/>
          <w:szCs w:val="18"/>
          <w:b w:val="1"/>
          <w:bCs w:val="1"/>
          <w:color w:val="auto"/>
        </w:rPr>
      </w:pPr>
    </w:p>
    <w:p>
      <w:pPr>
        <w:ind w:left="1580" w:hanging="442"/>
        <w:spacing w:after="0"/>
        <w:tabs>
          <w:tab w:leader="none" w:pos="1580" w:val="left"/>
        </w:tabs>
        <w:numPr>
          <w:ilvl w:val="0"/>
          <w:numId w:val="524"/>
        </w:numPr>
        <w:rPr>
          <w:rFonts w:ascii="Arial" w:cs="Arial" w:eastAsia="Arial" w:hAnsi="Arial"/>
          <w:sz w:val="18"/>
          <w:szCs w:val="18"/>
          <w:b w:val="1"/>
          <w:bCs w:val="1"/>
          <w:color w:val="auto"/>
        </w:rPr>
      </w:pPr>
      <w:r>
        <w:rPr>
          <w:rFonts w:ascii="Arial" w:cs="Arial" w:eastAsia="Arial" w:hAnsi="Arial"/>
          <w:sz w:val="18"/>
          <w:szCs w:val="18"/>
          <w:color w:val="auto"/>
        </w:rPr>
        <w:t>all supplies and materials used in the operation, maintenance, repair, replacement, and security of the Project;</w:t>
      </w:r>
    </w:p>
    <w:p>
      <w:pPr>
        <w:spacing w:after="0" w:line="223" w:lineRule="exact"/>
        <w:rPr>
          <w:rFonts w:ascii="Arial" w:cs="Arial" w:eastAsia="Arial" w:hAnsi="Arial"/>
          <w:sz w:val="18"/>
          <w:szCs w:val="18"/>
          <w:b w:val="1"/>
          <w:bCs w:val="1"/>
          <w:color w:val="auto"/>
        </w:rPr>
      </w:pPr>
    </w:p>
    <w:p>
      <w:pPr>
        <w:jc w:val="both"/>
        <w:ind w:firstLine="1138"/>
        <w:spacing w:after="0" w:line="254" w:lineRule="auto"/>
        <w:tabs>
          <w:tab w:leader="none" w:pos="1651" w:val="left"/>
        </w:tabs>
        <w:numPr>
          <w:ilvl w:val="0"/>
          <w:numId w:val="524"/>
        </w:numPr>
        <w:rPr>
          <w:rFonts w:ascii="Arial" w:cs="Arial" w:eastAsia="Arial" w:hAnsi="Arial"/>
          <w:sz w:val="18"/>
          <w:szCs w:val="18"/>
          <w:b w:val="1"/>
          <w:bCs w:val="1"/>
          <w:color w:val="auto"/>
        </w:rPr>
      </w:pPr>
      <w:r>
        <w:rPr>
          <w:rFonts w:ascii="Arial" w:cs="Arial" w:eastAsia="Arial" w:hAnsi="Arial"/>
          <w:sz w:val="18"/>
          <w:szCs w:val="18"/>
          <w:color w:val="auto"/>
        </w:rPr>
        <w:t>annual cost of all Capital Improvements (as defined below) made to the Project which although capital in nature can reasonably be expected to reduce the normal operating costs of the Project, as well as all Capital Improvements made in order to comply with any law now or hereafter promulgated by any governmental authority, all as amortized over the useful economic life of such improvements as determined by Landlord in its reasonable discretion (without regarding to the period over which such improvements may be depreciated or amortized for federal income tax purposes) together with an interest factor on the unamortized cost of such item equal to the lesser of eight percent (8%) per annum or the maximum rate of interest permitted by applicable Legal Requirements;</w:t>
      </w:r>
    </w:p>
    <w:p>
      <w:pPr>
        <w:spacing w:after="0" w:line="192" w:lineRule="exact"/>
        <w:rPr>
          <w:rFonts w:ascii="Arial" w:cs="Arial" w:eastAsia="Arial" w:hAnsi="Arial"/>
          <w:sz w:val="18"/>
          <w:szCs w:val="18"/>
          <w:b w:val="1"/>
          <w:bCs w:val="1"/>
          <w:color w:val="auto"/>
        </w:rPr>
      </w:pPr>
    </w:p>
    <w:p>
      <w:pPr>
        <w:ind w:left="1580" w:hanging="442"/>
        <w:spacing w:after="0"/>
        <w:tabs>
          <w:tab w:leader="none" w:pos="1580" w:val="left"/>
        </w:tabs>
        <w:numPr>
          <w:ilvl w:val="0"/>
          <w:numId w:val="524"/>
        </w:numPr>
        <w:rPr>
          <w:rFonts w:ascii="Arial" w:cs="Arial" w:eastAsia="Arial" w:hAnsi="Arial"/>
          <w:sz w:val="18"/>
          <w:szCs w:val="18"/>
          <w:b w:val="1"/>
          <w:bCs w:val="1"/>
          <w:color w:val="auto"/>
        </w:rPr>
      </w:pPr>
      <w:r>
        <w:rPr>
          <w:rFonts w:ascii="Arial" w:cs="Arial" w:eastAsia="Arial" w:hAnsi="Arial"/>
          <w:sz w:val="18"/>
          <w:szCs w:val="18"/>
          <w:color w:val="auto"/>
        </w:rPr>
        <w:t>cost of all utilities paid by Landlord;</w:t>
      </w:r>
    </w:p>
    <w:p>
      <w:pPr>
        <w:spacing w:after="0" w:line="223" w:lineRule="exact"/>
        <w:rPr>
          <w:rFonts w:ascii="Arial" w:cs="Arial" w:eastAsia="Arial" w:hAnsi="Arial"/>
          <w:sz w:val="18"/>
          <w:szCs w:val="18"/>
          <w:b w:val="1"/>
          <w:bCs w:val="1"/>
          <w:color w:val="auto"/>
        </w:rPr>
      </w:pPr>
    </w:p>
    <w:p>
      <w:pPr>
        <w:ind w:left="1560" w:hanging="422"/>
        <w:spacing w:after="0"/>
        <w:tabs>
          <w:tab w:leader="none" w:pos="1560" w:val="left"/>
        </w:tabs>
        <w:numPr>
          <w:ilvl w:val="0"/>
          <w:numId w:val="524"/>
        </w:numPr>
        <w:rPr>
          <w:rFonts w:ascii="Arial" w:cs="Arial" w:eastAsia="Arial" w:hAnsi="Arial"/>
          <w:sz w:val="18"/>
          <w:szCs w:val="18"/>
          <w:b w:val="1"/>
          <w:bCs w:val="1"/>
          <w:color w:val="auto"/>
        </w:rPr>
      </w:pPr>
      <w:r>
        <w:rPr>
          <w:rFonts w:ascii="Arial" w:cs="Arial" w:eastAsia="Arial" w:hAnsi="Arial"/>
          <w:sz w:val="18"/>
          <w:szCs w:val="18"/>
          <w:color w:val="auto"/>
        </w:rPr>
        <w:t>cost of Landlord’s personal property used in connection with the operation of the Project;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58" w:name="page559"/>
    <w:bookmarkEnd w:id="558"/>
    <w:p>
      <w:pPr>
        <w:jc w:val="both"/>
        <w:ind w:firstLine="1138"/>
        <w:spacing w:after="0" w:line="262" w:lineRule="auto"/>
        <w:tabs>
          <w:tab w:leader="none" w:pos="1609"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cost of repairs, replacements (subject to amortization if capital in nature) and general maintenance of the Project (including all truck court areas, paving and parking areas, Common Area lighting facilities, fences, gates, water lines, sewer lines, rail spur areas and any other item Landlord is obligated to repair or maintain), including costs incurred pursuant to Section 11;</w:t>
      </w:r>
    </w:p>
    <w:p>
      <w:pPr>
        <w:spacing w:after="0" w:line="183" w:lineRule="exact"/>
        <w:rPr>
          <w:rFonts w:ascii="Arial" w:cs="Arial" w:eastAsia="Arial" w:hAnsi="Arial"/>
          <w:sz w:val="18"/>
          <w:szCs w:val="18"/>
          <w:b w:val="1"/>
          <w:bCs w:val="1"/>
          <w:color w:val="auto"/>
        </w:rPr>
      </w:pPr>
    </w:p>
    <w:p>
      <w:pPr>
        <w:ind w:firstLine="1138"/>
        <w:spacing w:after="0" w:line="340" w:lineRule="auto"/>
        <w:tabs>
          <w:tab w:leader="none" w:pos="1589" w:val="left"/>
        </w:tabs>
        <w:numPr>
          <w:ilvl w:val="0"/>
          <w:numId w:val="525"/>
        </w:numPr>
        <w:rPr>
          <w:rFonts w:ascii="Arial" w:cs="Arial" w:eastAsia="Arial" w:hAnsi="Arial"/>
          <w:sz w:val="16"/>
          <w:szCs w:val="16"/>
          <w:b w:val="1"/>
          <w:bCs w:val="1"/>
          <w:color w:val="auto"/>
        </w:rPr>
      </w:pPr>
      <w:r>
        <w:rPr>
          <w:rFonts w:ascii="Arial" w:cs="Arial" w:eastAsia="Arial" w:hAnsi="Arial"/>
          <w:sz w:val="16"/>
          <w:szCs w:val="16"/>
          <w:color w:val="auto"/>
        </w:rPr>
        <w:t>cost of service or maintenance contracts with independent contractors for the operation, maintenance, repair, replacement or security of the Project (including, without limitation, alarm service, exterior painting, trash collection, snow, ice, debris and waste removal and landscape maintenance);</w:t>
      </w:r>
    </w:p>
    <w:p>
      <w:pPr>
        <w:spacing w:after="0" w:line="124" w:lineRule="exact"/>
        <w:rPr>
          <w:rFonts w:ascii="Arial" w:cs="Arial" w:eastAsia="Arial" w:hAnsi="Arial"/>
          <w:sz w:val="16"/>
          <w:szCs w:val="16"/>
          <w:b w:val="1"/>
          <w:bCs w:val="1"/>
          <w:color w:val="auto"/>
        </w:rPr>
      </w:pPr>
    </w:p>
    <w:p>
      <w:pPr>
        <w:ind w:firstLine="1138"/>
        <w:spacing w:after="0" w:line="276" w:lineRule="auto"/>
        <w:tabs>
          <w:tab w:leader="none" w:pos="1664"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the cost of all reasonable accounting fees, management fees, legal fees and consulting fees attributable to the operation, ownership, management, maintenance or repair of the Project;</w:t>
      </w:r>
    </w:p>
    <w:p>
      <w:pPr>
        <w:spacing w:after="0" w:line="169" w:lineRule="exact"/>
        <w:rPr>
          <w:rFonts w:ascii="Arial" w:cs="Arial" w:eastAsia="Arial" w:hAnsi="Arial"/>
          <w:sz w:val="18"/>
          <w:szCs w:val="18"/>
          <w:b w:val="1"/>
          <w:bCs w:val="1"/>
          <w:color w:val="auto"/>
        </w:rPr>
      </w:pPr>
    </w:p>
    <w:p>
      <w:pPr>
        <w:ind w:firstLine="1138"/>
        <w:spacing w:after="0" w:line="276" w:lineRule="auto"/>
        <w:tabs>
          <w:tab w:leader="none" w:pos="1632"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payments made by Landlord under any easement, license, operating agreement, declaration, restrictive covenant or other agreement relating to the sharing of costs among property owners;</w:t>
      </w:r>
    </w:p>
    <w:p>
      <w:pPr>
        <w:spacing w:after="0" w:line="169" w:lineRule="exact"/>
        <w:rPr>
          <w:rFonts w:ascii="Arial" w:cs="Arial" w:eastAsia="Arial" w:hAnsi="Arial"/>
          <w:sz w:val="18"/>
          <w:szCs w:val="18"/>
          <w:b w:val="1"/>
          <w:bCs w:val="1"/>
          <w:color w:val="auto"/>
        </w:rPr>
      </w:pPr>
    </w:p>
    <w:p>
      <w:pPr>
        <w:ind w:left="1540" w:hanging="402"/>
        <w:spacing w:after="0"/>
        <w:tabs>
          <w:tab w:leader="none" w:pos="1540" w:val="left"/>
        </w:tabs>
        <w:numPr>
          <w:ilvl w:val="0"/>
          <w:numId w:val="525"/>
        </w:numPr>
        <w:rPr>
          <w:rFonts w:ascii="Arial" w:cs="Arial" w:eastAsia="Arial" w:hAnsi="Arial"/>
          <w:sz w:val="17"/>
          <w:szCs w:val="17"/>
          <w:b w:val="1"/>
          <w:bCs w:val="1"/>
          <w:color w:val="auto"/>
        </w:rPr>
      </w:pPr>
      <w:r>
        <w:rPr>
          <w:rFonts w:ascii="Arial" w:cs="Arial" w:eastAsia="Arial" w:hAnsi="Arial"/>
          <w:sz w:val="17"/>
          <w:szCs w:val="17"/>
          <w:color w:val="auto"/>
        </w:rPr>
        <w:t>reserves created by Landlord, in Landlord's reasonable discretion, for future Operating Expenses or future Capital Improvements;</w:t>
      </w:r>
    </w:p>
    <w:p>
      <w:pPr>
        <w:spacing w:after="0" w:line="235" w:lineRule="exact"/>
        <w:rPr>
          <w:rFonts w:ascii="Arial" w:cs="Arial" w:eastAsia="Arial" w:hAnsi="Arial"/>
          <w:sz w:val="17"/>
          <w:szCs w:val="17"/>
          <w:b w:val="1"/>
          <w:bCs w:val="1"/>
          <w:color w:val="auto"/>
        </w:rPr>
      </w:pPr>
    </w:p>
    <w:p>
      <w:pPr>
        <w:ind w:left="1580" w:hanging="442"/>
        <w:spacing w:after="0"/>
        <w:tabs>
          <w:tab w:leader="none" w:pos="1580" w:val="left"/>
        </w:tabs>
        <w:numPr>
          <w:ilvl w:val="0"/>
          <w:numId w:val="525"/>
        </w:numPr>
        <w:rPr>
          <w:rFonts w:ascii="Arial" w:cs="Arial" w:eastAsia="Arial" w:hAnsi="Arial"/>
          <w:sz w:val="17"/>
          <w:szCs w:val="17"/>
          <w:b w:val="1"/>
          <w:bCs w:val="1"/>
          <w:color w:val="auto"/>
        </w:rPr>
      </w:pPr>
      <w:r>
        <w:rPr>
          <w:rFonts w:ascii="Arial" w:cs="Arial" w:eastAsia="Arial" w:hAnsi="Arial"/>
          <w:sz w:val="17"/>
          <w:szCs w:val="17"/>
          <w:color w:val="auto"/>
        </w:rPr>
        <w:t>the cost of all business licenses, permits or similar fees relating to the operation, ownership, repair or maintenance of the Project;</w:t>
      </w:r>
    </w:p>
    <w:p>
      <w:pPr>
        <w:spacing w:after="0" w:line="235" w:lineRule="exact"/>
        <w:rPr>
          <w:rFonts w:ascii="Arial" w:cs="Arial" w:eastAsia="Arial" w:hAnsi="Arial"/>
          <w:sz w:val="17"/>
          <w:szCs w:val="17"/>
          <w:b w:val="1"/>
          <w:bCs w:val="1"/>
          <w:color w:val="auto"/>
        </w:rPr>
      </w:pPr>
    </w:p>
    <w:p>
      <w:pPr>
        <w:ind w:left="1620" w:hanging="482"/>
        <w:spacing w:after="0"/>
        <w:tabs>
          <w:tab w:leader="none" w:pos="1620" w:val="left"/>
        </w:tabs>
        <w:numPr>
          <w:ilvl w:val="0"/>
          <w:numId w:val="525"/>
        </w:numPr>
        <w:rPr>
          <w:rFonts w:ascii="Arial" w:cs="Arial" w:eastAsia="Arial" w:hAnsi="Arial"/>
          <w:sz w:val="16"/>
          <w:szCs w:val="16"/>
          <w:b w:val="1"/>
          <w:bCs w:val="1"/>
          <w:color w:val="auto"/>
        </w:rPr>
      </w:pPr>
      <w:r>
        <w:rPr>
          <w:rFonts w:ascii="Arial" w:cs="Arial" w:eastAsia="Arial" w:hAnsi="Arial"/>
          <w:sz w:val="16"/>
          <w:szCs w:val="16"/>
          <w:color w:val="auto"/>
        </w:rPr>
        <w:t>the cost of all Real Property Taxes and all insurance purchased by Landlord including, but not limited to, the insurance described in</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Section 10.2;</w:t>
      </w:r>
    </w:p>
    <w:p>
      <w:pPr>
        <w:spacing w:after="0" w:line="209" w:lineRule="exact"/>
        <w:rPr>
          <w:rFonts w:ascii="Arial" w:cs="Arial" w:eastAsia="Arial" w:hAnsi="Arial"/>
          <w:sz w:val="16"/>
          <w:szCs w:val="16"/>
          <w:b w:val="1"/>
          <w:bCs w:val="1"/>
          <w:color w:val="auto"/>
        </w:rPr>
      </w:pPr>
    </w:p>
    <w:p>
      <w:pPr>
        <w:jc w:val="both"/>
        <w:ind w:firstLine="1138"/>
        <w:spacing w:after="0" w:line="258" w:lineRule="auto"/>
        <w:tabs>
          <w:tab w:leader="none" w:pos="1652"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all monitoring, investigation and remediation costs associated with Hazardous Materials and/or incurred pursuant to Section 27, unless such costs and expenses are the responsibility of Tenant as provided in Section 27 hereof, in which event such costs and expenses shall be paid solely by Tenant in accordance with the provisions of Section 27, or another tenant of the Project pursuant to its lease, in which case such costs shall be paid by such tenant; and</w:t>
      </w:r>
    </w:p>
    <w:p>
      <w:pPr>
        <w:spacing w:after="0" w:line="186" w:lineRule="exact"/>
        <w:rPr>
          <w:rFonts w:ascii="Arial" w:cs="Arial" w:eastAsia="Arial" w:hAnsi="Arial"/>
          <w:sz w:val="18"/>
          <w:szCs w:val="18"/>
          <w:b w:val="1"/>
          <w:bCs w:val="1"/>
          <w:color w:val="auto"/>
        </w:rPr>
      </w:pPr>
    </w:p>
    <w:p>
      <w:pPr>
        <w:ind w:left="1580" w:hanging="442"/>
        <w:spacing w:after="0"/>
        <w:tabs>
          <w:tab w:leader="none" w:pos="1580" w:val="left"/>
        </w:tabs>
        <w:numPr>
          <w:ilvl w:val="0"/>
          <w:numId w:val="525"/>
        </w:numPr>
        <w:rPr>
          <w:rFonts w:ascii="Arial" w:cs="Arial" w:eastAsia="Arial" w:hAnsi="Arial"/>
          <w:sz w:val="18"/>
          <w:szCs w:val="18"/>
          <w:b w:val="1"/>
          <w:bCs w:val="1"/>
          <w:color w:val="auto"/>
        </w:rPr>
      </w:pPr>
      <w:r>
        <w:rPr>
          <w:rFonts w:ascii="Arial" w:cs="Arial" w:eastAsia="Arial" w:hAnsi="Arial"/>
          <w:sz w:val="18"/>
          <w:szCs w:val="18"/>
          <w:color w:val="auto"/>
        </w:rPr>
        <w:t>the cost of any other item the cost of which is stated in this Lease to be an Operating Expense.</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purposes of this Lease, a “</w:t>
      </w:r>
      <w:r>
        <w:rPr>
          <w:rFonts w:ascii="Arial" w:cs="Arial" w:eastAsia="Arial" w:hAnsi="Arial"/>
          <w:sz w:val="16"/>
          <w:szCs w:val="16"/>
          <w:b w:val="1"/>
          <w:bCs w:val="1"/>
          <w:i w:val="1"/>
          <w:iCs w:val="1"/>
          <w:color w:val="auto"/>
        </w:rPr>
        <w:t>Capital Improvement</w:t>
      </w:r>
      <w:r>
        <w:rPr>
          <w:rFonts w:ascii="Arial" w:cs="Arial" w:eastAsia="Arial" w:hAnsi="Arial"/>
          <w:sz w:val="16"/>
          <w:szCs w:val="16"/>
          <w:color w:val="auto"/>
        </w:rPr>
        <w:t xml:space="preserve">” shall be an improvement to the Project that Landlord is obligated or permitted to make pursuant to this Lease, the cost of which is not fully deductible in the year incurred in accordance with generally accepted accounting principles;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Landlord’s option, the following items shall be treated as expenses and not Capital Improvements, and the entire cost of these items may be included in Operating Expenses in the year incurred: (i) the cost of painting all or part of the Project, (ii) the cost of resurfacing and restriping roadways and parking areas,</w:t>
      </w:r>
    </w:p>
    <w:p>
      <w:pPr>
        <w:spacing w:after="0" w:line="2" w:lineRule="exact"/>
        <w:rPr>
          <w:sz w:val="20"/>
          <w:szCs w:val="20"/>
          <w:color w:val="auto"/>
        </w:rPr>
      </w:pPr>
    </w:p>
    <w:p>
      <w:pPr>
        <w:ind w:left="320" w:hanging="312"/>
        <w:spacing w:after="0"/>
        <w:tabs>
          <w:tab w:leader="none" w:pos="32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the cost of any items Tenant is obligated to pay for pursuant to Section 12 that Landlord elects, in its sole discretion, to include in Operating Expenses and</w:t>
      </w:r>
    </w:p>
    <w:p>
      <w:pPr>
        <w:spacing w:after="0" w:line="31" w:lineRule="exact"/>
        <w:rPr>
          <w:rFonts w:ascii="Arial" w:cs="Arial" w:eastAsia="Arial" w:hAnsi="Arial"/>
          <w:sz w:val="16"/>
          <w:szCs w:val="16"/>
          <w:color w:val="auto"/>
        </w:rPr>
      </w:pPr>
    </w:p>
    <w:p>
      <w:pPr>
        <w:jc w:val="both"/>
        <w:ind w:firstLine="8"/>
        <w:spacing w:after="0" w:line="254" w:lineRule="auto"/>
        <w:tabs>
          <w:tab w:leader="none" w:pos="316"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the cost of Capital Improvements incurred in any calendar year to the extent the cost of the Capital Improvements are less than $25,000. References to facilities, services, utilities or other items in this section shall not impose an obligation on Landlord to have said facilities or to provide said services unless such facilities and services already exist at the Project.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59" w:name="page560"/>
    <w:bookmarkEnd w:id="559"/>
    <w:p>
      <w:pPr>
        <w:jc w:val="both"/>
        <w:ind w:firstLine="646"/>
        <w:spacing w:after="0" w:line="283" w:lineRule="auto"/>
        <w:rPr>
          <w:sz w:val="20"/>
          <w:szCs w:val="20"/>
          <w:color w:val="auto"/>
        </w:rPr>
      </w:pPr>
      <w:r>
        <w:rPr>
          <w:rFonts w:ascii="Arial" w:cs="Arial" w:eastAsia="Arial" w:hAnsi="Arial"/>
          <w:sz w:val="16"/>
          <w:szCs w:val="16"/>
          <w:b w:val="1"/>
          <w:bCs w:val="1"/>
          <w:color w:val="auto"/>
        </w:rPr>
        <w:t>6.2 Operating Expense Exclusions</w:t>
      </w:r>
      <w:r>
        <w:rPr>
          <w:rFonts w:ascii="Arial" w:cs="Arial" w:eastAsia="Arial" w:hAnsi="Arial"/>
          <w:sz w:val="16"/>
          <w:szCs w:val="16"/>
          <w:color w:val="auto"/>
        </w:rPr>
        <w:t>. Notwithstanding anything to the contrary contained herein, for purposes of this Lease, the term “</w:t>
      </w:r>
      <w:r>
        <w:rPr>
          <w:rFonts w:ascii="Arial" w:cs="Arial" w:eastAsia="Arial" w:hAnsi="Arial"/>
          <w:sz w:val="16"/>
          <w:szCs w:val="16"/>
          <w:b w:val="1"/>
          <w:bCs w:val="1"/>
          <w:i w:val="1"/>
          <w:iCs w:val="1"/>
          <w:color w:val="auto"/>
        </w:rPr>
        <w:t>Operating</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Expenses</w:t>
      </w:r>
      <w:r>
        <w:rPr>
          <w:rFonts w:ascii="Arial" w:cs="Arial" w:eastAsia="Arial" w:hAnsi="Arial"/>
          <w:sz w:val="16"/>
          <w:szCs w:val="16"/>
          <w:color w:val="auto"/>
        </w:rPr>
        <w:t>” shall not include the following: (i) costs (including permit, license and inspection fees) incurred for tenant improvements for other tenants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Project; (ii) legal and auditing fees (other than those fees reasonably incurred in connection with the maintenance and operation of all or any portion of the Project), leasing commissions, advertising expenses and similar costs incurred in connection with the leasing of the Project; (iii) depreciation of the Building or any other improvements situated within the Project; (iv) any items for which Landlord is actually reimbursed by insurance or by direct reimbursement by any other tenant of the Project; (v) other than any interest charges for Capital Improvements referred to in Section 6.1(c) hereinabove, any interest or payments on any financing for the Building or the Project and interest and penalties incurred as a result of Landlord’s late payment of any invoice; (vi) overhead and profit increment paid to Landlord or to subsidiaries or affiliates of Landlord for goods and/or services in the Project to the extent the same exceeds the costs of such by unaffiliated third parties on a competitive basis; (vii) any payments under a ground lease or master lease; (viii) except as provided above, the cost of Capital Improvements; (ix) wages or salaries paid to executive personnel of Landlord not providing full-time service at the Building; (x) intentionally omitted;</w:t>
      </w:r>
    </w:p>
    <w:p>
      <w:pPr>
        <w:spacing w:after="0" w:line="2" w:lineRule="exact"/>
        <w:rPr>
          <w:sz w:val="20"/>
          <w:szCs w:val="20"/>
          <w:color w:val="auto"/>
        </w:rPr>
      </w:pPr>
    </w:p>
    <w:p>
      <w:pPr>
        <w:jc w:val="both"/>
        <w:ind w:firstLine="8"/>
        <w:spacing w:after="0" w:line="266" w:lineRule="auto"/>
        <w:tabs>
          <w:tab w:leader="none" w:pos="320" w:val="left"/>
        </w:tabs>
        <w:numPr>
          <w:ilvl w:val="0"/>
          <w:numId w:val="527"/>
        </w:numPr>
        <w:rPr>
          <w:rFonts w:ascii="Arial" w:cs="Arial" w:eastAsia="Arial" w:hAnsi="Arial"/>
          <w:sz w:val="17"/>
          <w:szCs w:val="17"/>
          <w:color w:val="auto"/>
        </w:rPr>
      </w:pPr>
      <w:r>
        <w:rPr>
          <w:rFonts w:ascii="Arial" w:cs="Arial" w:eastAsia="Arial" w:hAnsi="Arial"/>
          <w:sz w:val="17"/>
          <w:szCs w:val="17"/>
          <w:color w:val="auto"/>
        </w:rPr>
        <w:t>any costs incurred in the ownership of the Building, as opposed to the operation and maintenance of the Building, including Landlord’s income taxes, excess profit taxes, franchise taxes or similar taxes on Landlord’s business; preparation of income tax returns; corporation, partnership or other business form organizational expenses; franchise taxes; filing fees; or other such expenses; (xii) expenses in connection with services or other benefits of a type which are not Building standard but which are provided to any other tenant or occupant; (xiii) any items to the extent such items are actually reimbursed to Landlord by Tenant (other than through Tenant’s additional rent), or by other tenants or occupants of the Building or by third parties; (xiv) brokerage commissions, origination fees, points, mortgage recording taxes, title charges and other costs or fees incurred in connection with any financing or refinancing or transfer of the Building; (xv) cost of repairs or replacements occasioned by fire, windstorm or other casualty, the costs of which are covered by insurance or reimbursed by governmental authorities in eminent domain; (xvi) penalties, fines, legal expenses, or late payment interest incurred by Landlord due to violation by Landlord, or Landlord’s agents, contractors or employees, or the Building, of any applicable laws, or the payment terms and conditions of any lease or service contract covering space in the Building or Landlord’s obligations as owner of the Building (such as late payment penalties and interest on real estate taxes, late payment of utility bills); (xvii) any compensation paid to clerks, attendants or other persons in any commercial concession operated by Landlord in the Building from which Landlord receives any form of income whatsoever, whether or not Landlord actually makes a profit from such concession; or (xviii) costs incurred in connection with repairing or replacing Building equipment, where such repair or replacement results from original defects in design, manufacture or installation rather than from ordinary wear and tear or use.</w:t>
      </w:r>
    </w:p>
    <w:p>
      <w:pPr>
        <w:spacing w:after="0" w:line="178"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6.3 Payment</w:t>
      </w:r>
      <w:r>
        <w:rPr>
          <w:rFonts w:ascii="Arial" w:cs="Arial" w:eastAsia="Arial" w:hAnsi="Arial"/>
          <w:sz w:val="17"/>
          <w:szCs w:val="17"/>
          <w:color w:val="auto"/>
        </w:rPr>
        <w:t>. Tenant’s Percentage Share of Operating Expenses shall be payable by Tenant within ten (10) days after a reasonably detailed</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of actual expenses is presented to Tenant by Landlord. At Landlord’s option, however, Landlord may, from time to time, estimate what Tenant’s Percentage Share of Operating Expenses will be, and the same shall be payable by Tenant monthly during each calendar year of the Lease term, on the same day as the Base Rent is due hereunder. In the event that Tenant pays Landlord’s estimate of Tenant’s Percentage Share of Operating Expenses, Landlord shall use its commercially reasonable to deliver to Tenant within one hundred eighty (180) days after the expiration of each calendar year a reasonably detailed statement (the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showing Tenant’s Percentage Share of the actual Operating Expenses incurred during such year. Landlord’s failure to deliver the Statement to Tenant within said period shall not constitute Landlord’s waiver of its right to collect said amounts or otherwise prejudice Landlord’s rights hereunder. If Tenant’s payments under this section during said calendar year exceed Tenant’s Percentage Share as indicated on the Statement, Tenant shall be entitled to credit the amount of such overpayment against Tenant’s Percentage Share of Operating Expenses next falling due. If Tenant’s payments under this section during said calendar year were less than Tenant’s Percentage Share as indicated on the Statement, Tenant shall pay to Landlord the amount of the deficiency within thirty (30) days after delivery by Landlord to Tenant of the Statement. Landlord and Tenant shall forthwith adjust between them by cash payment any balance determined to exist with respect to that portion of the last calendar year for which Tenant is responsible for Operating Expenses, notwithstanding that the Lease term may have terminated before the end of such calendar year; and this provision shall survive the expiration or earlier termination of the 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0" w:name="page561"/>
    <w:bookmarkEnd w:id="560"/>
    <w:p>
      <w:pPr>
        <w:jc w:val="both"/>
        <w:ind w:firstLine="646"/>
        <w:spacing w:after="0" w:line="289" w:lineRule="auto"/>
        <w:rPr>
          <w:sz w:val="20"/>
          <w:szCs w:val="20"/>
          <w:color w:val="auto"/>
        </w:rPr>
      </w:pPr>
      <w:r>
        <w:rPr>
          <w:rFonts w:ascii="Arial" w:cs="Arial" w:eastAsia="Arial" w:hAnsi="Arial"/>
          <w:sz w:val="16"/>
          <w:szCs w:val="16"/>
          <w:b w:val="1"/>
          <w:bCs w:val="1"/>
          <w:color w:val="auto"/>
        </w:rPr>
        <w:t>6.4 Tenant’s Percentage Share</w:t>
      </w:r>
      <w:r>
        <w:rPr>
          <w:rFonts w:ascii="Arial" w:cs="Arial" w:eastAsia="Arial" w:hAnsi="Arial"/>
          <w:sz w:val="16"/>
          <w:szCs w:val="16"/>
          <w:color w:val="auto"/>
        </w:rPr>
        <w:t>. “</w:t>
      </w:r>
      <w:r>
        <w:rPr>
          <w:rFonts w:ascii="Arial" w:cs="Arial" w:eastAsia="Arial" w:hAnsi="Arial"/>
          <w:sz w:val="16"/>
          <w:szCs w:val="16"/>
          <w:b w:val="1"/>
          <w:bCs w:val="1"/>
          <w:i w:val="1"/>
          <w:iCs w:val="1"/>
          <w:color w:val="auto"/>
        </w:rPr>
        <w:t>Tenant’s Percentage Share</w:t>
      </w:r>
      <w:r>
        <w:rPr>
          <w:rFonts w:ascii="Arial" w:cs="Arial" w:eastAsia="Arial" w:hAnsi="Arial"/>
          <w:sz w:val="16"/>
          <w:szCs w:val="16"/>
          <w:color w:val="auto"/>
        </w:rPr>
        <w:t>” as used in this Lease shall mean the percentage of the cost of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for which Tenant is obligated to reimburse Landlord pursuant to this Lease. Notwithstanding anything to the contrary contained in Section 1.14, Landlord shall have the right to determine Tenant’s Percentage Share of the cost of Operating Expenses using any one of the following methods or any combination of the following methods, and Tenant hereby agrees that the following methods of allocation are reasonable: (a) by multiplying the cost of all Operating Expenses by a fraction, the numerator of which is the number of square feet of leasable space in the Premises and the denominator of which is the number of square feet of leasable space in all buildings in the Project; or (b) with respect to an Operating Expense attributable solely to the Building in which the Premises is located, requiring Tenant to pay that portion of the cost of the Operating Expense that is obtained by multiplying such cost by a fraction, the numerator of which is the number of square feet of leasable space in the Premises and the denominator of which is the number of square feet of leasable space in the Building in which the Premises is located or (c) by allocating an Operating Expense in any other reasonable manner to achieve an equitable result, as determined by Landlord.</w:t>
      </w:r>
    </w:p>
    <w:p>
      <w:pPr>
        <w:spacing w:after="0" w:line="159" w:lineRule="exact"/>
        <w:rPr>
          <w:sz w:val="20"/>
          <w:szCs w:val="20"/>
          <w:color w:val="auto"/>
        </w:rPr>
      </w:pPr>
    </w:p>
    <w:p>
      <w:pPr>
        <w:jc w:val="both"/>
        <w:ind w:firstLine="8"/>
        <w:spacing w:after="0" w:line="285" w:lineRule="auto"/>
        <w:tabs>
          <w:tab w:leader="none" w:pos="372" w:val="left"/>
        </w:tabs>
        <w:numPr>
          <w:ilvl w:val="0"/>
          <w:numId w:val="528"/>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1"/>
          <w:szCs w:val="11"/>
          <w:b w:val="1"/>
          <w:bCs w:val="1"/>
          <w:color w:val="auto"/>
        </w:rPr>
        <w:t>ECURITY</w:t>
      </w:r>
      <w:r>
        <w:rPr>
          <w:rFonts w:ascii="Arial" w:cs="Arial" w:eastAsia="Arial" w:hAnsi="Arial"/>
          <w:sz w:val="16"/>
          <w:szCs w:val="16"/>
          <w:b w:val="1"/>
          <w:bCs w:val="1"/>
          <w:color w:val="auto"/>
        </w:rPr>
        <w:t xml:space="preserve"> D</w:t>
      </w:r>
      <w:r>
        <w:rPr>
          <w:rFonts w:ascii="Arial" w:cs="Arial" w:eastAsia="Arial" w:hAnsi="Arial"/>
          <w:sz w:val="11"/>
          <w:szCs w:val="11"/>
          <w:b w:val="1"/>
          <w:bCs w:val="1"/>
          <w:color w:val="auto"/>
        </w:rPr>
        <w:t>EPOSIT</w:t>
      </w:r>
      <w:r>
        <w:rPr>
          <w:rFonts w:ascii="Arial" w:cs="Arial" w:eastAsia="Arial" w:hAnsi="Arial"/>
          <w:sz w:val="16"/>
          <w:szCs w:val="16"/>
          <w:color w:val="auto"/>
        </w:rPr>
        <w:t>. Tenant shall deliver to Landlord at the time it executes this Lease the security deposit set forth in Section 1.13 as security for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faithful performance of Tenant’s obligations hereunder. If Tenant fails to pay Base Rent or other charges due hereunder, or otherwise defaults with respect to any provision of this Lease, Landlord may use all or any portion of said deposit for the payment of any Base Rent or other charge due hereunder, to pay any other sum to which Landlord may become obligated by reason of Tenant’s default, or to compensate Landlord for any loss or damage which Landlord may suffer thereby. If Landlord so uses or applies all or any portion of said deposit, Tenant shall within ten (10) days after written demand therefor deposit cash with Landlord in an amount sufficient to restore said deposit to its full amount. Landlord shall not be required to keep said security deposit separate from its general accounts. If Tenant performs all of Tenant’s obligations hereunder, said deposit, or so much thereof as has not heretofore been applied by Landlord, shall be returned, without payment of interest or other amount for its use, to Tenant (or, at Landlord’s option, to the last assignee, if any, of Tenant’s interest hereunder) at the expiration of the term hereof, and after Tenant has vacated the Premises. No trust relationship is created herein between Landlord and Tenant with respect to said security deposit. Tenant acknowledges that the security deposit is not an advance payment of any kind or a measure of Landlord’s damages in the event of Tenant’s default. For the sake of clarity and without in any way limiting the provisions of this Section, Tenant agrees and acknowledges that, subject to the applicable notice and cure periods, Landlord shall have the right, but not the obligation, to use the Security Deposit to cure any violation of Section 27 below, including, without limitation, the failure of the Tenant to obtain the Clearance Certificate. Tenant hereby waives the provisions of any law which is inconsistent with this section including, but not limited to, Section 1950.7 of the California Civil Code.</w:t>
      </w:r>
    </w:p>
    <w:p>
      <w:pPr>
        <w:spacing w:after="0" w:line="171" w:lineRule="exact"/>
        <w:rPr>
          <w:rFonts w:ascii="Arial" w:cs="Arial" w:eastAsia="Arial" w:hAnsi="Arial"/>
          <w:sz w:val="16"/>
          <w:szCs w:val="16"/>
          <w:b w:val="1"/>
          <w:bCs w:val="1"/>
          <w:color w:val="auto"/>
        </w:rPr>
      </w:pPr>
    </w:p>
    <w:p>
      <w:pPr>
        <w:ind w:left="660" w:hanging="652"/>
        <w:spacing w:after="0"/>
        <w:tabs>
          <w:tab w:leader="none" w:pos="66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TILITIES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8.1 Payment</w:t>
      </w:r>
      <w:r>
        <w:rPr>
          <w:rFonts w:ascii="Arial" w:cs="Arial" w:eastAsia="Arial" w:hAnsi="Arial"/>
          <w:sz w:val="18"/>
          <w:szCs w:val="18"/>
          <w:color w:val="auto"/>
        </w:rPr>
        <w:t>. Tenant shall pay for all water, gas, electricity, heating, ventilation and air conditioning, telephone, sewer, sprinkler services, refuse</w:t>
      </w:r>
      <w:r>
        <w:rPr>
          <w:rFonts w:ascii="Arial" w:cs="Arial" w:eastAsia="Arial" w:hAnsi="Arial"/>
          <w:sz w:val="18"/>
          <w:szCs w:val="18"/>
          <w:b w:val="1"/>
          <w:bCs w:val="1"/>
          <w:color w:val="auto"/>
        </w:rPr>
        <w:t xml:space="preserve"> </w:t>
      </w:r>
      <w:r>
        <w:rPr>
          <w:rFonts w:ascii="Arial" w:cs="Arial" w:eastAsia="Arial" w:hAnsi="Arial"/>
          <w:sz w:val="18"/>
          <w:szCs w:val="18"/>
          <w:color w:val="auto"/>
        </w:rPr>
        <w:t>and trash collection and other utilities and services used on the Premises, together with any taxes, penalties, surcharges or the like pertaining thereto. Tenant shall contract directly with the applicable public utility for any separately metered services. Tenant shall pay its share of all charges for jointly metered utilities based upon consumption, as reasonably determined by Landlord in accordance with a commercially reasonable methodology designed to achieve an equitable allocation of the charges for jointly metered utilities based upon consumption by the various tenants in the Building. Tenant agrees to limit use of water and sewer for uses permitted by Section 1.8, and nothing herein contained shall impose upon Landlord any duty to provide sewer or water usage for uses other than as permitted by Section 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1" w:name="page562"/>
    <w:bookmarkEnd w:id="561"/>
    <w:p>
      <w:pPr>
        <w:jc w:val="both"/>
        <w:ind w:firstLine="646"/>
        <w:spacing w:after="0" w:line="267" w:lineRule="auto"/>
        <w:rPr>
          <w:sz w:val="20"/>
          <w:szCs w:val="20"/>
          <w:color w:val="auto"/>
        </w:rPr>
      </w:pPr>
      <w:r>
        <w:rPr>
          <w:rFonts w:ascii="Arial" w:cs="Arial" w:eastAsia="Arial" w:hAnsi="Arial"/>
          <w:sz w:val="17"/>
          <w:szCs w:val="17"/>
          <w:b w:val="1"/>
          <w:bCs w:val="1"/>
          <w:color w:val="auto"/>
        </w:rPr>
        <w:t>8.2 Interruptions</w:t>
      </w:r>
      <w:r>
        <w:rPr>
          <w:rFonts w:ascii="Arial" w:cs="Arial" w:eastAsia="Arial" w:hAnsi="Arial"/>
          <w:sz w:val="17"/>
          <w:szCs w:val="17"/>
          <w:color w:val="auto"/>
        </w:rPr>
        <w:t>. Tenant agrees that Landlord shall not be liable to Tenant for its failure to furnish water, gas, electricity, telephone, sewer, refuse</w:t>
      </w:r>
      <w:r>
        <w:rPr>
          <w:rFonts w:ascii="Arial" w:cs="Arial" w:eastAsia="Arial" w:hAnsi="Arial"/>
          <w:sz w:val="17"/>
          <w:szCs w:val="17"/>
          <w:b w:val="1"/>
          <w:bCs w:val="1"/>
          <w:color w:val="auto"/>
        </w:rPr>
        <w:t xml:space="preserve"> </w:t>
      </w:r>
      <w:r>
        <w:rPr>
          <w:rFonts w:ascii="Arial" w:cs="Arial" w:eastAsia="Arial" w:hAnsi="Arial"/>
          <w:sz w:val="17"/>
          <w:szCs w:val="17"/>
          <w:color w:val="auto"/>
        </w:rPr>
        <w:t>and trash collection or any other utility services or building services when such failure is occasioned, in whole or in part, by repairs, replacements or improvements, by any strike, lockout or other labor trouble, by inability to secure electricity, gas, water, telephone service or other utility at the Project, by any accident, casualty or event arising from any cause whatsoever, including the negligence of Landlord, its employees, agents and contractors, by act, negligence or default of Tenant or any other person or entity, or by any other cause, and such failures shall never be deemed to constitute an eviction or disturbance of Tenant’s use and possession of the Premises or relieve Tenant from the obligation of paying rent or performing any of its obligations under this Lease. Furthermore, Landlord shall not be liable under any circumstances for loss of property or for injury to, or interference with, Tenant’s business, including, without limitation, loss of profits, however occurring, through or in connection with or incidental to a failure to furnish any such services or utilities. Landlord may comply with voluntary controls or guidelines promulgated by any governmental entity relating to the use or conservation of energy, water, gas, light or electricity or the reduction of automobile or other emissions without creating any liability of Landlord to Tenant under this Lease. In the event that Tenant is prevented from using, and does not use, the Premises or any portion thereof, for five (5) consecutive business days (the "Eligibility Period") as a result of any failure to provide any material services or access to the Premises due to Landlord's default, then Tenant's rent shall be abated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w:t>
      </w:r>
    </w:p>
    <w:p>
      <w:pPr>
        <w:spacing w:after="0" w:line="183"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b w:val="1"/>
          <w:bCs w:val="1"/>
          <w:color w:val="auto"/>
        </w:rPr>
        <w:t>8.3 Alternative Utility Providers</w:t>
      </w:r>
      <w:r>
        <w:rPr>
          <w:rFonts w:ascii="Arial" w:cs="Arial" w:eastAsia="Arial" w:hAnsi="Arial"/>
          <w:sz w:val="17"/>
          <w:szCs w:val="17"/>
          <w:color w:val="auto"/>
        </w:rPr>
        <w:t>. If permitted by applicable Legal Requirements, Landlord shall have the right at any time and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this Lease to either contract for service from a different company or companies (each such company referred to as an “</w:t>
      </w:r>
      <w:r>
        <w:rPr>
          <w:rFonts w:ascii="Arial" w:cs="Arial" w:eastAsia="Arial" w:hAnsi="Arial"/>
          <w:sz w:val="17"/>
          <w:szCs w:val="17"/>
          <w:b w:val="1"/>
          <w:bCs w:val="1"/>
          <w:i w:val="1"/>
          <w:iCs w:val="1"/>
          <w:color w:val="auto"/>
        </w:rPr>
        <w:t>Alternate Service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Provider</w:t>
      </w:r>
      <w:r>
        <w:rPr>
          <w:rFonts w:ascii="Arial" w:cs="Arial" w:eastAsia="Arial" w:hAnsi="Arial"/>
          <w:sz w:val="17"/>
          <w:szCs w:val="17"/>
          <w:color w:val="auto"/>
        </w:rPr>
        <w:t>”) other than the company or companies presently providing electrical service for the Project (the “</w:t>
      </w:r>
      <w:r>
        <w:rPr>
          <w:rFonts w:ascii="Arial" w:cs="Arial" w:eastAsia="Arial" w:hAnsi="Arial"/>
          <w:sz w:val="17"/>
          <w:szCs w:val="17"/>
          <w:b w:val="1"/>
          <w:bCs w:val="1"/>
          <w:i w:val="1"/>
          <w:iCs w:val="1"/>
          <w:color w:val="auto"/>
        </w:rPr>
        <w:t>Electric Service Provider</w:t>
      </w:r>
      <w:r>
        <w:rPr>
          <w:rFonts w:ascii="Arial" w:cs="Arial" w:eastAsia="Arial" w:hAnsi="Arial"/>
          <w:sz w:val="17"/>
          <w:szCs w:val="17"/>
          <w:color w:val="auto"/>
        </w:rPr>
        <w:t>”) or continue to contract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service from the Electric Service Provider, at Landlord’s sole discretion. Tenant agrees to cooperate with Landlord, the Electric Service Provider, and an Alternate Service Provider at all times and, as reasonably necessary, shall allow Landlord, the Electric Service Provider, and any Alternate Service Provider reasonable access to the Building’s electric lines, feeders, risers, wiring and any other machinery within the Premises.</w:t>
      </w:r>
    </w:p>
    <w:p>
      <w:pPr>
        <w:spacing w:after="0" w:line="173"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8.4 Energy Use</w:t>
      </w:r>
      <w:r>
        <w:rPr>
          <w:rFonts w:ascii="Arial" w:cs="Arial" w:eastAsia="Arial" w:hAnsi="Arial"/>
          <w:sz w:val="16"/>
          <w:szCs w:val="16"/>
          <w:color w:val="auto"/>
        </w:rPr>
        <w:t>. Landlord shall have the right to require Tenant to provide Landlord with copies of bills from electricity, natural gas or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energy providers (collectively, “</w:t>
      </w:r>
      <w:r>
        <w:rPr>
          <w:rFonts w:ascii="Arial" w:cs="Arial" w:eastAsia="Arial" w:hAnsi="Arial"/>
          <w:sz w:val="16"/>
          <w:szCs w:val="16"/>
          <w:b w:val="1"/>
          <w:bCs w:val="1"/>
          <w:i w:val="1"/>
          <w:iCs w:val="1"/>
          <w:color w:val="auto"/>
        </w:rPr>
        <w:t>Energy Providers</w:t>
      </w:r>
      <w:r>
        <w:rPr>
          <w:rFonts w:ascii="Arial" w:cs="Arial" w:eastAsia="Arial" w:hAnsi="Arial"/>
          <w:sz w:val="16"/>
          <w:szCs w:val="16"/>
          <w:color w:val="auto"/>
        </w:rPr>
        <w:t>”) Tenant receives from Energy Providers relating to Tenant’s energy use at the Premises (“</w:t>
      </w:r>
      <w:r>
        <w:rPr>
          <w:rFonts w:ascii="Arial" w:cs="Arial" w:eastAsia="Arial" w:hAnsi="Arial"/>
          <w:sz w:val="16"/>
          <w:szCs w:val="16"/>
          <w:b w:val="1"/>
          <w:bCs w:val="1"/>
          <w:i w:val="1"/>
          <w:iCs w:val="1"/>
          <w:color w:val="auto"/>
        </w:rPr>
        <w:t>Energy Bills</w:t>
      </w:r>
      <w:r>
        <w:rPr>
          <w:rFonts w:ascii="Arial" w:cs="Arial" w:eastAsia="Arial" w:hAnsi="Arial"/>
          <w:sz w:val="16"/>
          <w:szCs w:val="16"/>
          <w:color w:val="auto"/>
        </w:rPr>
        <w:t>”) within ten (10) days after Landlord’s written request. In addition, Tenant hereby authorizes Landlord to obtain copies of the Energy Bills directly from the Energy Provider(s), and Tenant hereby authorizes each Energy Provider to provide Energy Bills and related usage information directly to Landlord without Tenant’s consent. From time to time within ten (10) days after Landlord’s request, Tenant shall execute and deliver to Landlord an agreement provided by Landlord authorizing the Energy Provider(s) to provide to Landlord Energy Bills and other information relating to Tenant’s energy usage at the Premises.</w:t>
      </w:r>
    </w:p>
    <w:p>
      <w:pPr>
        <w:spacing w:after="0" w:line="16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8.5 Janitorial Services</w:t>
      </w:r>
      <w:r>
        <w:rPr>
          <w:rFonts w:ascii="Arial" w:cs="Arial" w:eastAsia="Arial" w:hAnsi="Arial"/>
          <w:sz w:val="18"/>
          <w:szCs w:val="18"/>
          <w:color w:val="auto"/>
        </w:rPr>
        <w:t>. Tenant will be responsible, at its sole cost and expense, for the furnishing of all janitorial services to the Premises,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janitorial services shall be consistent with the janitorial specifications of comparable life science and research and development buildings in South San Francisco, California, which such specifications shall be subject to Landlord’s reasonable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2" w:name="page563"/>
    <w:bookmarkEnd w:id="562"/>
    <w:p>
      <w:pPr>
        <w:ind w:firstLine="646"/>
        <w:spacing w:after="0" w:line="280" w:lineRule="auto"/>
        <w:rPr>
          <w:sz w:val="20"/>
          <w:szCs w:val="20"/>
          <w:color w:val="auto"/>
        </w:rPr>
      </w:pPr>
      <w:r>
        <w:rPr>
          <w:rFonts w:ascii="Arial" w:cs="Arial" w:eastAsia="Arial" w:hAnsi="Arial"/>
          <w:sz w:val="18"/>
          <w:szCs w:val="18"/>
          <w:b w:val="1"/>
          <w:bCs w:val="1"/>
          <w:color w:val="auto"/>
        </w:rPr>
        <w:t xml:space="preserve">8.6 HVAC Controls. </w:t>
      </w:r>
      <w:r>
        <w:rPr>
          <w:rFonts w:ascii="Arial" w:cs="Arial" w:eastAsia="Arial" w:hAnsi="Arial"/>
          <w:sz w:val="18"/>
          <w:szCs w:val="18"/>
          <w:color w:val="auto"/>
        </w:rPr>
        <w:t>To the extent the existing HVAC system allows for such, Tenant shall have access to and the right to adjust the HVAC system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the Premises for air pressure regulation.</w:t>
      </w:r>
    </w:p>
    <w:p>
      <w:pPr>
        <w:spacing w:after="0" w:line="163" w:lineRule="exact"/>
        <w:rPr>
          <w:sz w:val="20"/>
          <w:szCs w:val="20"/>
          <w:color w:val="auto"/>
        </w:rPr>
      </w:pPr>
    </w:p>
    <w:p>
      <w:pPr>
        <w:ind w:left="660" w:hanging="652"/>
        <w:spacing w:after="0"/>
        <w:tabs>
          <w:tab w:leader="none" w:pos="66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EAL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8"/>
          <w:szCs w:val="18"/>
          <w:color w:val="auto"/>
        </w:rPr>
        <w:t>.</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Payment of Taxes</w:t>
      </w:r>
      <w:r>
        <w:rPr>
          <w:rFonts w:ascii="Arial" w:cs="Arial" w:eastAsia="Arial" w:hAnsi="Arial"/>
          <w:sz w:val="16"/>
          <w:szCs w:val="16"/>
          <w:color w:val="auto"/>
        </w:rPr>
        <w:t>. Real Property Taxes (as defined below) shall be an Operating Expense.</w:t>
      </w:r>
    </w:p>
    <w:p>
      <w:pPr>
        <w:spacing w:after="0" w:line="22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9.2 Definition of Real Property Tax</w:t>
      </w:r>
      <w:r>
        <w:rPr>
          <w:rFonts w:ascii="Arial" w:cs="Arial" w:eastAsia="Arial" w:hAnsi="Arial"/>
          <w:sz w:val="18"/>
          <w:szCs w:val="18"/>
          <w:color w:val="auto"/>
        </w:rPr>
        <w:t>. As used herein, the term “</w:t>
      </w:r>
      <w:r>
        <w:rPr>
          <w:rFonts w:ascii="Arial" w:cs="Arial" w:eastAsia="Arial" w:hAnsi="Arial"/>
          <w:sz w:val="18"/>
          <w:szCs w:val="18"/>
          <w:b w:val="1"/>
          <w:bCs w:val="1"/>
          <w:i w:val="1"/>
          <w:iCs w:val="1"/>
          <w:color w:val="auto"/>
        </w:rPr>
        <w:t>Real Property Taxes</w:t>
      </w:r>
      <w:r>
        <w:rPr>
          <w:rFonts w:ascii="Arial" w:cs="Arial" w:eastAsia="Arial" w:hAnsi="Arial"/>
          <w:sz w:val="18"/>
          <w:szCs w:val="18"/>
          <w:color w:val="auto"/>
        </w:rPr>
        <w:t>” shall include any form of real estate tax or 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special, ordinary or extraordinary, improvement bond or bonds imposed on the Project or any portion thereof by any authority having the direct or indirect power to tax, including any city, county, state or federal government, or any school, agricultural, sanitary, fire, street, drainage or other improvement district thereof, as against any legal or equitable interest of Landlord in the Project or in any portion thereof. Real Property Taxes shall not include income, inheritance and gift taxes.</w:t>
      </w:r>
    </w:p>
    <w:p>
      <w:pPr>
        <w:spacing w:after="0" w:line="18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9.3 Personal Property Taxes</w:t>
      </w:r>
      <w:r>
        <w:rPr>
          <w:rFonts w:ascii="Arial" w:cs="Arial" w:eastAsia="Arial" w:hAnsi="Arial"/>
          <w:sz w:val="18"/>
          <w:szCs w:val="18"/>
          <w:color w:val="auto"/>
        </w:rPr>
        <w:t>. Tenant shall pay prior to delinquency all taxes assessed against and levied upon trade fixtures, furnishings,</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all other personal property of Tenant contained in the Premises or related to Tenant’s use of the Premises. If any of Tenant’s personal property shall be assessed with Landlord’s real or personal property, Tenant shall pay to Landlord the taxes attributable to Tenant within ten (10) days after receipt of a written statement from Landlord setting forth the taxes applicable to Tenant’s property.</w:t>
      </w:r>
    </w:p>
    <w:p>
      <w:pPr>
        <w:spacing w:after="0" w:line="180" w:lineRule="exact"/>
        <w:rPr>
          <w:sz w:val="20"/>
          <w:szCs w:val="20"/>
          <w:color w:val="auto"/>
        </w:rPr>
      </w:pPr>
    </w:p>
    <w:p>
      <w:pPr>
        <w:jc w:val="both"/>
        <w:ind w:firstLine="646"/>
        <w:spacing w:after="0" w:line="291" w:lineRule="auto"/>
        <w:rPr>
          <w:sz w:val="20"/>
          <w:szCs w:val="20"/>
          <w:color w:val="auto"/>
        </w:rPr>
      </w:pPr>
      <w:r>
        <w:rPr>
          <w:rFonts w:ascii="Arial" w:cs="Arial" w:eastAsia="Arial" w:hAnsi="Arial"/>
          <w:sz w:val="16"/>
          <w:szCs w:val="16"/>
          <w:b w:val="1"/>
          <w:bCs w:val="1"/>
          <w:color w:val="auto"/>
        </w:rPr>
        <w:t>9.4 Reassessments</w:t>
      </w:r>
      <w:r>
        <w:rPr>
          <w:rFonts w:ascii="Arial" w:cs="Arial" w:eastAsia="Arial" w:hAnsi="Arial"/>
          <w:sz w:val="16"/>
          <w:szCs w:val="16"/>
          <w:color w:val="auto"/>
        </w:rPr>
        <w:t>. From time to time Landlord may challenge the assessed value of the Project as determined by applicable taxing authorities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and/or Landlord may attempt to cause the Real Property Taxes to be reduced on other grounds. If Landlord is successful in causing the Real Property Taxes to be reduced or in obtaining a refund, rebate, credit or similar benefit (hereinafter collectively referred to as a “</w:t>
      </w:r>
      <w:r>
        <w:rPr>
          <w:rFonts w:ascii="Arial" w:cs="Arial" w:eastAsia="Arial" w:hAnsi="Arial"/>
          <w:sz w:val="16"/>
          <w:szCs w:val="16"/>
          <w:b w:val="1"/>
          <w:bCs w:val="1"/>
          <w:i w:val="1"/>
          <w:iCs w:val="1"/>
          <w:color w:val="auto"/>
        </w:rPr>
        <w:t>Reduction</w:t>
      </w:r>
      <w:r>
        <w:rPr>
          <w:rFonts w:ascii="Arial" w:cs="Arial" w:eastAsia="Arial" w:hAnsi="Arial"/>
          <w:sz w:val="16"/>
          <w:szCs w:val="16"/>
          <w:color w:val="auto"/>
        </w:rPr>
        <w:t>”), Landlord shall, to the extent practicable, credit the Reduction(s) to Real Property Taxes for the calendar year to which a Reduction applies and recalculate the Real Property Taxes owed by Tenant for that year based on the reduced Real Property Taxes. All costs incurred by Landlord in connection with obtaining and/or processing the Real Property Tax reductions (</w:t>
      </w:r>
      <w:r>
        <w:rPr>
          <w:rFonts w:ascii="Arial" w:cs="Arial" w:eastAsia="Arial" w:hAnsi="Arial"/>
          <w:sz w:val="16"/>
          <w:szCs w:val="16"/>
          <w:i w:val="1"/>
          <w:iCs w:val="1"/>
          <w:color w:val="auto"/>
        </w:rPr>
        <w:t>e.g.</w:t>
      </w:r>
      <w:r>
        <w:rPr>
          <w:rFonts w:ascii="Arial" w:cs="Arial" w:eastAsia="Arial" w:hAnsi="Arial"/>
          <w:sz w:val="16"/>
          <w:szCs w:val="16"/>
          <w:color w:val="auto"/>
        </w:rPr>
        <w:t>, consulting fees, accounting fees etc.) may be included in Operating Expenses or deducted from the Reduction. Landlord shall have the right to compensate a person or entity it employs to obtain a Reduction by giving such person or entity a percentage of any Reduction obtained.</w:t>
      </w:r>
    </w:p>
    <w:p>
      <w:pPr>
        <w:spacing w:after="0" w:line="161" w:lineRule="exact"/>
        <w:rPr>
          <w:sz w:val="20"/>
          <w:szCs w:val="20"/>
          <w:color w:val="auto"/>
        </w:rPr>
      </w:pPr>
    </w:p>
    <w:p>
      <w:pPr>
        <w:ind w:left="660" w:hanging="652"/>
        <w:spacing w:after="0"/>
        <w:tabs>
          <w:tab w:leader="none" w:pos="66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NSURANCE</w:t>
      </w:r>
      <w:r>
        <w:rPr>
          <w:rFonts w:ascii="Arial" w:cs="Arial" w:eastAsia="Arial" w:hAnsi="Arial"/>
          <w:sz w:val="18"/>
          <w:szCs w:val="18"/>
          <w:color w:val="auto"/>
        </w:rPr>
        <w:t>.</w:t>
      </w:r>
    </w:p>
    <w:p>
      <w:pPr>
        <w:spacing w:after="0" w:line="2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Insurance-Tenant</w:t>
      </w:r>
      <w:r>
        <w:rPr>
          <w:rFonts w:ascii="Arial" w:cs="Arial" w:eastAsia="Arial" w:hAnsi="Arial"/>
          <w:sz w:val="16"/>
          <w:szCs w:val="16"/>
          <w:color w:val="auto"/>
        </w:rPr>
        <w:t>.</w:t>
      </w:r>
    </w:p>
    <w:p>
      <w:pPr>
        <w:spacing w:after="0" w:line="228" w:lineRule="exact"/>
        <w:rPr>
          <w:sz w:val="20"/>
          <w:szCs w:val="20"/>
          <w:color w:val="auto"/>
        </w:rPr>
      </w:pPr>
    </w:p>
    <w:p>
      <w:pPr>
        <w:jc w:val="both"/>
        <w:ind w:firstLine="1138"/>
        <w:spacing w:after="0" w:line="270" w:lineRule="auto"/>
        <w:tabs>
          <w:tab w:leader="none" w:pos="1628" w:val="left"/>
        </w:tabs>
        <w:numPr>
          <w:ilvl w:val="0"/>
          <w:numId w:val="531"/>
        </w:numPr>
        <w:rPr>
          <w:rFonts w:ascii="Arial" w:cs="Arial" w:eastAsia="Arial" w:hAnsi="Arial"/>
          <w:sz w:val="17"/>
          <w:szCs w:val="17"/>
          <w:b w:val="1"/>
          <w:bCs w:val="1"/>
          <w:color w:val="auto"/>
        </w:rPr>
      </w:pPr>
      <w:r>
        <w:rPr>
          <w:rFonts w:ascii="Arial" w:cs="Arial" w:eastAsia="Arial" w:hAnsi="Arial"/>
          <w:sz w:val="17"/>
          <w:szCs w:val="17"/>
          <w:color w:val="auto"/>
        </w:rPr>
        <w:t>Tenant shall obtain and keep in force during the term of this Lease a commercial general liability policy of insurance with coverages acceptable to Landlord, in Landlord’s reasonable discretion, which, by way of example and not limitation, protects Tenant and Landlord (as an additional insured) against claims for bodily injury, personal injury and property damage based upon, involving or arising out of the ownership, use, occupancy or maintenance of the Premises and all areas appurtenant thereto. Such insurance shall be on an occurrence basis providing coverage in an amount not less than $1,000,000 per occurrence and not less than $1,000,000 in the aggregate with excess liability or umbrella coverage in an amount not less than $4,000,000 and an “</w:t>
      </w:r>
      <w:r>
        <w:rPr>
          <w:rFonts w:ascii="Arial" w:cs="Arial" w:eastAsia="Arial" w:hAnsi="Arial"/>
          <w:sz w:val="17"/>
          <w:szCs w:val="17"/>
          <w:b w:val="1"/>
          <w:bCs w:val="1"/>
          <w:i w:val="1"/>
          <w:iCs w:val="1"/>
          <w:color w:val="auto"/>
        </w:rPr>
        <w:t>Additional Insured-Managers and Landlords of Premises Endorsement</w:t>
      </w:r>
      <w:r>
        <w:rPr>
          <w:rFonts w:ascii="Arial" w:cs="Arial" w:eastAsia="Arial" w:hAnsi="Arial"/>
          <w:sz w:val="17"/>
          <w:szCs w:val="17"/>
          <w:color w:val="auto"/>
        </w:rPr>
        <w:t>”. The policy shall not contain any intra-insured exclusions as between insured persons or organizations, but shall include coverage for liability assumed under this Lease as an “</w:t>
      </w:r>
      <w:r>
        <w:rPr>
          <w:rFonts w:ascii="Arial" w:cs="Arial" w:eastAsia="Arial" w:hAnsi="Arial"/>
          <w:sz w:val="17"/>
          <w:szCs w:val="17"/>
          <w:b w:val="1"/>
          <w:bCs w:val="1"/>
          <w:i w:val="1"/>
          <w:iCs w:val="1"/>
          <w:color w:val="auto"/>
        </w:rPr>
        <w:t>insured contract</w:t>
      </w:r>
      <w:r>
        <w:rPr>
          <w:rFonts w:ascii="Arial" w:cs="Arial" w:eastAsia="Arial" w:hAnsi="Arial"/>
          <w:sz w:val="17"/>
          <w:szCs w:val="17"/>
          <w:color w:val="auto"/>
        </w:rPr>
        <w:t>” for the performance of Tenant’s indemnity obligations under this Lease.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3" w:name="page564"/>
    <w:bookmarkEnd w:id="563"/>
    <w:p>
      <w:pPr>
        <w:jc w:val="both"/>
        <w:ind w:firstLine="1138"/>
        <w:spacing w:after="0" w:line="269" w:lineRule="auto"/>
        <w:tabs>
          <w:tab w:leader="none" w:pos="1675" w:val="left"/>
        </w:tabs>
        <w:numPr>
          <w:ilvl w:val="0"/>
          <w:numId w:val="532"/>
        </w:numPr>
        <w:rPr>
          <w:rFonts w:ascii="Arial" w:cs="Arial" w:eastAsia="Arial" w:hAnsi="Arial"/>
          <w:sz w:val="17"/>
          <w:szCs w:val="17"/>
          <w:b w:val="1"/>
          <w:bCs w:val="1"/>
          <w:color w:val="auto"/>
        </w:rPr>
      </w:pPr>
      <w:r>
        <w:rPr>
          <w:rFonts w:ascii="Arial" w:cs="Arial" w:eastAsia="Arial" w:hAnsi="Arial"/>
          <w:sz w:val="17"/>
          <w:szCs w:val="17"/>
          <w:color w:val="auto"/>
        </w:rPr>
        <w:t>Tenant shall obtain and keep in force during the term of this Lease “</w:t>
      </w:r>
      <w:r>
        <w:rPr>
          <w:rFonts w:ascii="Arial" w:cs="Arial" w:eastAsia="Arial" w:hAnsi="Arial"/>
          <w:sz w:val="17"/>
          <w:szCs w:val="17"/>
          <w:b w:val="1"/>
          <w:bCs w:val="1"/>
          <w:i w:val="1"/>
          <w:iCs w:val="1"/>
          <w:color w:val="auto"/>
        </w:rPr>
        <w:t>Causes of Loss – Special Form</w:t>
      </w:r>
      <w:r>
        <w:rPr>
          <w:rFonts w:ascii="Arial" w:cs="Arial" w:eastAsia="Arial" w:hAnsi="Arial"/>
          <w:sz w:val="17"/>
          <w:szCs w:val="17"/>
          <w:color w:val="auto"/>
        </w:rPr>
        <w:t>” extended coverage property insurance (previously known as “</w:t>
      </w:r>
      <w:r>
        <w:rPr>
          <w:rFonts w:ascii="Arial" w:cs="Arial" w:eastAsia="Arial" w:hAnsi="Arial"/>
          <w:sz w:val="17"/>
          <w:szCs w:val="17"/>
          <w:b w:val="1"/>
          <w:bCs w:val="1"/>
          <w:i w:val="1"/>
          <w:iCs w:val="1"/>
          <w:color w:val="auto"/>
        </w:rPr>
        <w:t>all risk</w:t>
      </w:r>
      <w:r>
        <w:rPr>
          <w:rFonts w:ascii="Arial" w:cs="Arial" w:eastAsia="Arial" w:hAnsi="Arial"/>
          <w:sz w:val="17"/>
          <w:szCs w:val="17"/>
          <w:color w:val="auto"/>
        </w:rPr>
        <w:t>” property insurance) with coverages acceptable to Landlord, in Landlord’s reasonable discretion. Said insurance shall be written on a one hundred percent (100%) replacement cost basis on Tenant’s personal property, all tenant improvements installed at the Premises by Landlord or Tenant, Tenant’s trade fixtures and other property. By way of example, and not limitation, such policies shall provide protection against any peril included within the classification “</w:t>
      </w:r>
      <w:r>
        <w:rPr>
          <w:rFonts w:ascii="Arial" w:cs="Arial" w:eastAsia="Arial" w:hAnsi="Arial"/>
          <w:sz w:val="17"/>
          <w:szCs w:val="17"/>
          <w:b w:val="1"/>
          <w:bCs w:val="1"/>
          <w:i w:val="1"/>
          <w:iCs w:val="1"/>
          <w:color w:val="auto"/>
        </w:rPr>
        <w:t>fire and extended coverage,</w:t>
      </w:r>
      <w:r>
        <w:rPr>
          <w:rFonts w:ascii="Arial" w:cs="Arial" w:eastAsia="Arial" w:hAnsi="Arial"/>
          <w:sz w:val="17"/>
          <w:szCs w:val="17"/>
          <w:color w:val="auto"/>
        </w:rPr>
        <w:t>” against vandalism and malicious mischief, theft and sprinkler leakage. Tenant’s policy shall include endorsements to insure Tenant against losses to valuable papers, records and computer equipment and to compensate Tenant for the cost of recovering lost data. To the extent that Tenant’s policy covers tenant improvements to the Premises, Landlord shall be a loss payee on such policy. Tenant shall also obtain earthquake insurance, and if the Project is in Flood Zone A or V, Tenant shall obtain flood insurance, and the terms of such insurance policies shall be reasonably acceptable to Landlord.</w:t>
      </w:r>
    </w:p>
    <w:p>
      <w:pPr>
        <w:spacing w:after="0" w:line="181" w:lineRule="exact"/>
        <w:rPr>
          <w:rFonts w:ascii="Arial" w:cs="Arial" w:eastAsia="Arial" w:hAnsi="Arial"/>
          <w:sz w:val="17"/>
          <w:szCs w:val="17"/>
          <w:b w:val="1"/>
          <w:bCs w:val="1"/>
          <w:color w:val="auto"/>
        </w:rPr>
      </w:pPr>
    </w:p>
    <w:p>
      <w:pPr>
        <w:ind w:left="1560" w:hanging="422"/>
        <w:spacing w:after="0"/>
        <w:tabs>
          <w:tab w:leader="none" w:pos="1560"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Intentionally Omitted.</w:t>
      </w:r>
    </w:p>
    <w:p>
      <w:pPr>
        <w:spacing w:after="0" w:line="223" w:lineRule="exact"/>
        <w:rPr>
          <w:rFonts w:ascii="Arial" w:cs="Arial" w:eastAsia="Arial" w:hAnsi="Arial"/>
          <w:sz w:val="18"/>
          <w:szCs w:val="18"/>
          <w:b w:val="1"/>
          <w:bCs w:val="1"/>
          <w:color w:val="auto"/>
        </w:rPr>
      </w:pPr>
    </w:p>
    <w:p>
      <w:pPr>
        <w:jc w:val="both"/>
        <w:ind w:firstLine="1138"/>
        <w:spacing w:after="0" w:line="254" w:lineRule="auto"/>
        <w:tabs>
          <w:tab w:leader="none" w:pos="1587" w:val="left"/>
        </w:tabs>
        <w:numPr>
          <w:ilvl w:val="0"/>
          <w:numId w:val="532"/>
        </w:numPr>
        <w:rPr>
          <w:rFonts w:ascii="Arial" w:cs="Arial" w:eastAsia="Arial" w:hAnsi="Arial"/>
          <w:sz w:val="18"/>
          <w:szCs w:val="18"/>
          <w:b w:val="1"/>
          <w:bCs w:val="1"/>
          <w:color w:val="auto"/>
        </w:rPr>
      </w:pPr>
      <w:r>
        <w:rPr>
          <w:rFonts w:ascii="Arial" w:cs="Arial" w:eastAsia="Arial" w:hAnsi="Arial"/>
          <w:sz w:val="18"/>
          <w:szCs w:val="18"/>
          <w:color w:val="auto"/>
        </w:rPr>
        <w:t>Tenant shall, at all times during the term hereof, maintain the following insurance with coverages reasonably acceptable to Landlord: (i) workers’ compensation insurance as required by applicable Legal Requirements, (ii) employers liability insurance with limits of at least $1,000,000 per occurrence, (iii) if Tenant then owns or hires any vehicles, automobile liability insurance for owned, non-owned and hired vehicles with limits of at least $1,000,000 per occurrence, and (iv) business interruption and extra expense insurance, which Tenant shall obtain not later than commencement of business operations by Tenant in the Premises. In addition to the insurance required in (i), (ii), (iii), (iv) and (v) above, Landlord shall have the right to require Tenant to increase the limits of its insurance and/or obtain such additional insurance as is customarily required by landlords owning similar real property in the geographical area of the Project.</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Insurance-Landlord</w:t>
      </w:r>
      <w:r>
        <w:rPr>
          <w:rFonts w:ascii="Arial" w:cs="Arial" w:eastAsia="Arial" w:hAnsi="Arial"/>
          <w:sz w:val="16"/>
          <w:szCs w:val="16"/>
          <w:color w:val="auto"/>
        </w:rPr>
        <w:t>.</w:t>
      </w:r>
    </w:p>
    <w:p>
      <w:pPr>
        <w:spacing w:after="0" w:line="228" w:lineRule="exact"/>
        <w:rPr>
          <w:sz w:val="20"/>
          <w:szCs w:val="20"/>
          <w:color w:val="auto"/>
        </w:rPr>
      </w:pPr>
    </w:p>
    <w:p>
      <w:pPr>
        <w:ind w:firstLine="1138"/>
        <w:spacing w:after="0" w:line="306" w:lineRule="auto"/>
        <w:tabs>
          <w:tab w:leader="none" w:pos="1606" w:val="left"/>
        </w:tabs>
        <w:numPr>
          <w:ilvl w:val="0"/>
          <w:numId w:val="533"/>
        </w:numPr>
        <w:rPr>
          <w:rFonts w:ascii="Arial" w:cs="Arial" w:eastAsia="Arial" w:hAnsi="Arial"/>
          <w:sz w:val="17"/>
          <w:szCs w:val="17"/>
          <w:b w:val="1"/>
          <w:bCs w:val="1"/>
          <w:color w:val="auto"/>
        </w:rPr>
      </w:pPr>
      <w:r>
        <w:rPr>
          <w:rFonts w:ascii="Arial" w:cs="Arial" w:eastAsia="Arial" w:hAnsi="Arial"/>
          <w:sz w:val="17"/>
          <w:szCs w:val="17"/>
          <w:color w:val="auto"/>
        </w:rPr>
        <w:t>Landlord shall obtain and keep in force a policy of general liability insurance with coverage against such risks and in such amounts as Landlord deems advisable insuring Landlord against liability arising out of the ownership, operation and management of the Project.</w:t>
      </w:r>
    </w:p>
    <w:p>
      <w:pPr>
        <w:spacing w:after="0" w:line="147" w:lineRule="exact"/>
        <w:rPr>
          <w:rFonts w:ascii="Arial" w:cs="Arial" w:eastAsia="Arial" w:hAnsi="Arial"/>
          <w:sz w:val="17"/>
          <w:szCs w:val="17"/>
          <w:b w:val="1"/>
          <w:bCs w:val="1"/>
          <w:color w:val="auto"/>
        </w:rPr>
      </w:pPr>
    </w:p>
    <w:p>
      <w:pPr>
        <w:jc w:val="both"/>
        <w:ind w:firstLine="1138"/>
        <w:spacing w:after="0" w:line="269" w:lineRule="auto"/>
        <w:tabs>
          <w:tab w:leader="none" w:pos="1616" w:val="left"/>
        </w:tabs>
        <w:numPr>
          <w:ilvl w:val="0"/>
          <w:numId w:val="533"/>
        </w:numPr>
        <w:rPr>
          <w:rFonts w:ascii="Arial" w:cs="Arial" w:eastAsia="Arial" w:hAnsi="Arial"/>
          <w:sz w:val="17"/>
          <w:szCs w:val="17"/>
          <w:b w:val="1"/>
          <w:bCs w:val="1"/>
          <w:color w:val="auto"/>
        </w:rPr>
      </w:pPr>
      <w:r>
        <w:rPr>
          <w:rFonts w:ascii="Arial" w:cs="Arial" w:eastAsia="Arial" w:hAnsi="Arial"/>
          <w:sz w:val="17"/>
          <w:szCs w:val="17"/>
          <w:color w:val="auto"/>
        </w:rPr>
        <w:t>Landlord shall also obtain and keep in force during the term of this Lease a policy or policies of insurance covering loss or damage to the Project in the amount of the replacement cost thereof (excluding foundations and similar items), as reasonably determined by Landlord from time to time. The terms and conditions of said policies, their deductibles and the perils and risks covered thereby shall be determined by Landlord, from time to time, in Landlord’s sole discretion. In addition, at Landlord’s option, Landlord shall obtain and keep in force, during the term of this Lease, a policy of rental interruption insurance, with loss payable to Landlord, which insurance shall, at Landlord’s option, also cover all Operating Expenses. Tenant will not be named as an additional insured in any insurance policies carried by Landlord and shall have no right to any proceeds therefrom. The policies purchased by Landlord shall contain such commercially reasonable deductibles as Landlord may determine. Tenant shall pay at Tenant’s sole expense any increase in the property insurance premiums for the Project over what was payable immediately prior to the increase to the extent the increase is specified by Landlord’s insurance carrier as being caused by the nature of Tenant’s occupancy or any act or omission of Tenant.</w:t>
      </w:r>
    </w:p>
    <w:p>
      <w:pPr>
        <w:spacing w:after="0" w:line="177"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10.3 Insurance Policies</w:t>
      </w:r>
      <w:r>
        <w:rPr>
          <w:rFonts w:ascii="Arial" w:cs="Arial" w:eastAsia="Arial" w:hAnsi="Arial"/>
          <w:sz w:val="16"/>
          <w:szCs w:val="16"/>
          <w:color w:val="auto"/>
        </w:rPr>
        <w:t>. Tenant shall deliver to Landlord certificates of the insurance policies required under Section 10.1 concurrently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execution of this Lease using an ACORD 28 form or a similar form approved by Landlord. Tenant’s insurance policies shall not be cancelable or subject to reduction of coverage or other modification except after thirty (30) days prior written notice to Landlord. Tenant shall, at least thirty (30) days prior to the expiration of such policies, furnish Landlord with renewals thereof. Tenant’s insurance policies shall be issued by insurance companies authorized to do business in the state in which the Project is located, and said companies shall maintain during the policy term a “</w:t>
      </w:r>
      <w:r>
        <w:rPr>
          <w:rFonts w:ascii="Arial" w:cs="Arial" w:eastAsia="Arial" w:hAnsi="Arial"/>
          <w:sz w:val="16"/>
          <w:szCs w:val="16"/>
          <w:b w:val="1"/>
          <w:bCs w:val="1"/>
          <w:i w:val="1"/>
          <w:iCs w:val="1"/>
          <w:color w:val="auto"/>
        </w:rPr>
        <w:t>General Policyholder’s Rating</w:t>
      </w:r>
      <w:r>
        <w:rPr>
          <w:rFonts w:ascii="Arial" w:cs="Arial" w:eastAsia="Arial" w:hAnsi="Arial"/>
          <w:sz w:val="16"/>
          <w:szCs w:val="16"/>
          <w:color w:val="auto"/>
        </w:rPr>
        <w:t>” of at least A and a financial rating of at least “</w:t>
      </w:r>
      <w:r>
        <w:rPr>
          <w:rFonts w:ascii="Arial" w:cs="Arial" w:eastAsia="Arial" w:hAnsi="Arial"/>
          <w:sz w:val="16"/>
          <w:szCs w:val="16"/>
          <w:b w:val="1"/>
          <w:bCs w:val="1"/>
          <w:i w:val="1"/>
          <w:iCs w:val="1"/>
          <w:color w:val="auto"/>
        </w:rPr>
        <w:t>Class X</w:t>
      </w:r>
      <w:r>
        <w:rPr>
          <w:rFonts w:ascii="Arial" w:cs="Arial" w:eastAsia="Arial" w:hAnsi="Arial"/>
          <w:sz w:val="16"/>
          <w:szCs w:val="16"/>
          <w:color w:val="auto"/>
        </w:rPr>
        <w:t>” (or such other rating as may be required by any lender having a lien on the Project) as set forth in the most recent edition of “</w:t>
      </w:r>
      <w:r>
        <w:rPr>
          <w:rFonts w:ascii="Arial" w:cs="Arial" w:eastAsia="Arial" w:hAnsi="Arial"/>
          <w:sz w:val="16"/>
          <w:szCs w:val="16"/>
          <w:b w:val="1"/>
          <w:bCs w:val="1"/>
          <w:i w:val="1"/>
          <w:iCs w:val="1"/>
          <w:color w:val="auto"/>
        </w:rPr>
        <w:t>Best Insurance Reports.</w:t>
      </w:r>
      <w:r>
        <w:rPr>
          <w:rFonts w:ascii="Arial" w:cs="Arial" w:eastAsia="Arial" w:hAnsi="Arial"/>
          <w:sz w:val="16"/>
          <w:szCs w:val="16"/>
          <w:color w:val="auto"/>
        </w:rPr>
        <w:t>” All insurance obtained by Tenant shall be primary to and not contributory with any similar insurance carried by Landlord, whose insurance shall be considered excess insurance only. Landlord, Landlord’s property manager and lender(s) and their respective officers, shareholders, directors, partners, members, managers, employees, successors and assigns, shall be included as additional insureds under Tenant’s commercial general liability policy, the pollution liability policy and under the Tenant’s excess or umbrella policy, if any, using ISO additional insured endorsement CG 20 11 or a substitute providing equivalent coverage. Tenant’s insurance policies shall not include deductibles in excess of $10,000.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64" w:name="page565"/>
    <w:bookmarkEnd w:id="564"/>
    <w:p>
      <w:pPr>
        <w:jc w:val="both"/>
        <w:ind w:firstLine="646"/>
        <w:spacing w:after="0" w:line="271" w:lineRule="auto"/>
        <w:rPr>
          <w:sz w:val="20"/>
          <w:szCs w:val="20"/>
          <w:color w:val="auto"/>
        </w:rPr>
      </w:pPr>
      <w:r>
        <w:rPr>
          <w:rFonts w:ascii="Arial" w:cs="Arial" w:eastAsia="Arial" w:hAnsi="Arial"/>
          <w:sz w:val="17"/>
          <w:szCs w:val="17"/>
          <w:b w:val="1"/>
          <w:bCs w:val="1"/>
          <w:color w:val="auto"/>
        </w:rPr>
        <w:t>10.4 Waiver of Subrogation</w:t>
      </w:r>
      <w:r>
        <w:rPr>
          <w:rFonts w:ascii="Arial" w:cs="Arial" w:eastAsia="Arial" w:hAnsi="Arial"/>
          <w:sz w:val="17"/>
          <w:szCs w:val="17"/>
          <w:color w:val="auto"/>
        </w:rPr>
        <w:t>. Landlord waives any and all rights of recovery against Tenant and Tenant’s employees and agents for or arising out</w:t>
      </w:r>
      <w:r>
        <w:rPr>
          <w:rFonts w:ascii="Arial" w:cs="Arial" w:eastAsia="Arial" w:hAnsi="Arial"/>
          <w:sz w:val="17"/>
          <w:szCs w:val="17"/>
          <w:b w:val="1"/>
          <w:bCs w:val="1"/>
          <w:color w:val="auto"/>
        </w:rPr>
        <w:t xml:space="preserve"> </w:t>
      </w:r>
      <w:r>
        <w:rPr>
          <w:rFonts w:ascii="Arial" w:cs="Arial" w:eastAsia="Arial" w:hAnsi="Arial"/>
          <w:sz w:val="17"/>
          <w:szCs w:val="17"/>
          <w:color w:val="auto"/>
        </w:rPr>
        <w:t>of damage to, or destruction of, the Project to the extent that Landlord’s insurance policies then in force insure against such damage or destruction (or to the extent of what would have been covered had Landlord maintained the insurance required to be carried under this Lease) and permit such waiver. Tenant waives any and all rights of recovery against Landlord and Landlord’s employees and agents for or arising out of damage to, or destruction of, the Project to the extent that Tenant’s insurance policies then in force insure against such damage or destruction (or to the extent of what would have been covered had Tenant maintained the insurance required to be carried under this Lease) and permit such waiver. Tenant shall cause the insurance policies it obtains in accordance with Section 10.1 relating to property damage to provide that the insurance company waives all right of recovery by subrogation against Landlord in connection with any liability or damage covered by Tenant’s insurance policies.</w:t>
      </w:r>
    </w:p>
    <w:p>
      <w:pPr>
        <w:spacing w:after="0" w:line="172"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10.5 Coverage</w:t>
      </w:r>
      <w:r>
        <w:rPr>
          <w:rFonts w:ascii="Arial" w:cs="Arial" w:eastAsia="Arial" w:hAnsi="Arial"/>
          <w:sz w:val="18"/>
          <w:szCs w:val="18"/>
          <w:color w:val="auto"/>
        </w:rPr>
        <w:t>. Landlord makes no representation to Tenant that the limits or forms of coverage specified above or approved by Landlord are</w:t>
      </w:r>
      <w:r>
        <w:rPr>
          <w:rFonts w:ascii="Arial" w:cs="Arial" w:eastAsia="Arial" w:hAnsi="Arial"/>
          <w:sz w:val="18"/>
          <w:szCs w:val="18"/>
          <w:b w:val="1"/>
          <w:bCs w:val="1"/>
          <w:color w:val="auto"/>
        </w:rPr>
        <w:t xml:space="preserve"> </w:t>
      </w:r>
      <w:r>
        <w:rPr>
          <w:rFonts w:ascii="Arial" w:cs="Arial" w:eastAsia="Arial" w:hAnsi="Arial"/>
          <w:sz w:val="18"/>
          <w:szCs w:val="18"/>
          <w:color w:val="auto"/>
        </w:rPr>
        <w:t>adequate to insure Tenant’s property or Tenant’s obligations under this Lease, and the limits of any insurance carried by Tenant shall not limit Tenant’s obligations or liability under any indemnity provision included in this Lease or under any other provision of this Lease.</w:t>
      </w:r>
    </w:p>
    <w:p>
      <w:pPr>
        <w:spacing w:after="0" w:line="176" w:lineRule="exact"/>
        <w:rPr>
          <w:sz w:val="20"/>
          <w:szCs w:val="20"/>
          <w:color w:val="auto"/>
        </w:rPr>
      </w:pPr>
    </w:p>
    <w:p>
      <w:pPr>
        <w:jc w:val="both"/>
        <w:ind w:firstLine="8"/>
        <w:spacing w:after="0" w:line="268" w:lineRule="auto"/>
        <w:tabs>
          <w:tab w:leader="none" w:pos="479" w:val="left"/>
        </w:tabs>
        <w:numPr>
          <w:ilvl w:val="0"/>
          <w:numId w:val="534"/>
        </w:numPr>
        <w:rPr>
          <w:rFonts w:ascii="Arial" w:cs="Arial" w:eastAsia="Arial" w:hAnsi="Arial"/>
          <w:sz w:val="17"/>
          <w:szCs w:val="17"/>
          <w:b w:val="1"/>
          <w:bCs w:val="1"/>
          <w:color w:val="auto"/>
        </w:rPr>
      </w:pPr>
      <w:r>
        <w:rPr>
          <w:rFonts w:ascii="Arial" w:cs="Arial" w:eastAsia="Arial" w:hAnsi="Arial"/>
          <w:sz w:val="17"/>
          <w:szCs w:val="17"/>
          <w:b w:val="1"/>
          <w:bCs w:val="1"/>
          <w:color w:val="auto"/>
        </w:rPr>
        <w:t>L</w:t>
      </w:r>
      <w:r>
        <w:rPr>
          <w:rFonts w:ascii="Arial" w:cs="Arial" w:eastAsia="Arial" w:hAnsi="Arial"/>
          <w:sz w:val="11"/>
          <w:szCs w:val="11"/>
          <w:b w:val="1"/>
          <w:bCs w:val="1"/>
          <w:color w:val="auto"/>
        </w:rPr>
        <w:t>ANDLORD</w:t>
      </w:r>
      <w:r>
        <w:rPr>
          <w:rFonts w:ascii="Arial" w:cs="Arial" w:eastAsia="Arial" w:hAnsi="Arial"/>
          <w:sz w:val="17"/>
          <w:szCs w:val="17"/>
          <w:b w:val="1"/>
          <w:bCs w:val="1"/>
          <w:color w:val="auto"/>
        </w:rPr>
        <w:t>’</w:t>
      </w:r>
      <w:r>
        <w:rPr>
          <w:rFonts w:ascii="Arial" w:cs="Arial" w:eastAsia="Arial" w:hAnsi="Arial"/>
          <w:sz w:val="11"/>
          <w:szCs w:val="11"/>
          <w:b w:val="1"/>
          <w:bCs w:val="1"/>
          <w:color w:val="auto"/>
        </w:rPr>
        <w:t>S</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EPAIRS</w:t>
      </w:r>
      <w:r>
        <w:rPr>
          <w:rFonts w:ascii="Arial" w:cs="Arial" w:eastAsia="Arial" w:hAnsi="Arial"/>
          <w:sz w:val="17"/>
          <w:szCs w:val="17"/>
          <w:color w:val="auto"/>
        </w:rPr>
        <w:t>. Landlord shall maintain at its sole cost and expense and not as part of Operating Expenses, the structural elements of the roof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Building (excluding the roof membrane), the structural soundness of the foundation of the Building and the structural elements of the exterior walls of the Building, however, Tenant shall reimburse Landlord for the cost of any maintenance, repair or replacement of the foregoing necessitated by Tenant’s misuse, negligence and alterations to the Premises or any breach of its obligations under this Lease. By way of example, and not limitation, the term “</w:t>
      </w:r>
      <w:r>
        <w:rPr>
          <w:rFonts w:ascii="Arial" w:cs="Arial" w:eastAsia="Arial" w:hAnsi="Arial"/>
          <w:sz w:val="17"/>
          <w:szCs w:val="17"/>
          <w:b w:val="1"/>
          <w:bCs w:val="1"/>
          <w:i w:val="1"/>
          <w:iCs w:val="1"/>
          <w:color w:val="auto"/>
        </w:rPr>
        <w:t>exterior walls</w:t>
      </w:r>
      <w:r>
        <w:rPr>
          <w:rFonts w:ascii="Arial" w:cs="Arial" w:eastAsia="Arial" w:hAnsi="Arial"/>
          <w:sz w:val="17"/>
          <w:szCs w:val="17"/>
          <w:color w:val="auto"/>
        </w:rPr>
        <w:t>” as used in the previous sentence shall not include windows, glass or plate glass, doors or overhead doors, special store fronts, dock bumpers, dock plates or levelers, or office entries. Provided that the costs it incurs in connection with the following shall be included in Operating Expenses, Landlord shall maintain, repair and replace the Building Systems, roof membrand, and Common Areas and any portion of the Building which is not Tenant’s responsibility under Section 12 below. Tenant shall immediately give Landlord written notice of any repair required by Landlord pursuant to this section, after which Landlord shall have a reasonable time in which to complete the repair. Nothing contained in this section shall be construed to obligate Landlord to seal or otherwise maintain the surface of any foundation, floor or slab. Tenant expressly waives the benefits of any statute now or hereafter in effect which would otherwise afford Tenant the right to make repairs at Landlord’s expense or to terminate this Lease because of Landlord’s failure to keep the Premises in good order, condition and repair.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5" w:name="page566"/>
    <w:bookmarkEnd w:id="565"/>
    <w:p>
      <w:pPr>
        <w:ind w:left="660" w:hanging="652"/>
        <w:spacing w:after="0"/>
        <w:tabs>
          <w:tab w:leader="none" w:pos="66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ENANT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EPAIRS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6"/>
          <w:szCs w:val="16"/>
          <w:b w:val="1"/>
          <w:bCs w:val="1"/>
          <w:color w:val="auto"/>
        </w:rPr>
        <w:t>12.1 Obligations of Tenant</w:t>
      </w:r>
      <w:r>
        <w:rPr>
          <w:rFonts w:ascii="Arial" w:cs="Arial" w:eastAsia="Arial" w:hAnsi="Arial"/>
          <w:sz w:val="16"/>
          <w:szCs w:val="16"/>
          <w:color w:val="auto"/>
        </w:rPr>
        <w:t>. Subject to Section 12.2 below, Tenant shall, at its sole cost and expense, keep and maintain all parts of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those listed as Landlord’s responsibility in Section 11 above) in good and sanitary condition, promptly making all necessary repairs and replacements, including but not limited to, windows, glass and plate glass, doors, walls and finish work, floors and floor coverings, heating and air conditioning systems solely serving the Premises, lights, plumbing work and fixtures inside the Premises, lighting bulbs, tenant signage and regular removal of trash and debris. Tenant shall notify Landlord in writing prior to making any repair or performing any maintenance pursuant to this section, and Landlord shall have the right to designate the contractor Tenant shall use to make any repair or to perform any maintenance on the heating, ventilation and air conditioning systems solely serving the Premises (“</w:t>
      </w:r>
      <w:r>
        <w:rPr>
          <w:rFonts w:ascii="Arial" w:cs="Arial" w:eastAsia="Arial" w:hAnsi="Arial"/>
          <w:sz w:val="16"/>
          <w:szCs w:val="16"/>
          <w:b w:val="1"/>
          <w:bCs w:val="1"/>
          <w:i w:val="1"/>
          <w:iCs w:val="1"/>
          <w:color w:val="auto"/>
        </w:rPr>
        <w:t>Premises HVAC</w:t>
      </w:r>
      <w:r>
        <w:rPr>
          <w:rFonts w:ascii="Arial" w:cs="Arial" w:eastAsia="Arial" w:hAnsi="Arial"/>
          <w:sz w:val="16"/>
          <w:szCs w:val="16"/>
          <w:color w:val="auto"/>
        </w:rPr>
        <w:t xml:space="preserve">”). Tenant shall not paint or otherwise change the exterior appearance of the Premises without Landlord’s prior written consent, which may be given or withheld in Landlord’s sole discretion. The cost of maintenance and repair of any common party wall (any wall, divider, partition or any other structure separating the Premises from any adjacent premises occupied by other tenants) shall be shared equally by Tenant and the tenant occupying the adjacent premises;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Tenant damages a party wall the entire cost of the repair shall be paid by Tenant, at Tenant’s sole expense. Tenant shall not damage any party wall or disturb the integrity and support provided by any party wall. If Tenant fails to keep the Premises in good condition and repair as required, Landlord may, but shall not be obligated to, make any necessary repairs. If Landlord makes such repairs, Landlord may bill Tenant for the cost of the repairs as additional rent, and said additional rent shall be payable by Tenant within ten (10) days after demand by Landlord.</w:t>
      </w:r>
    </w:p>
    <w:p>
      <w:pPr>
        <w:spacing w:after="0" w:line="164"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b w:val="1"/>
          <w:bCs w:val="1"/>
          <w:color w:val="auto"/>
        </w:rPr>
        <w:t>12.2 Performance of Work by Landlord</w:t>
      </w:r>
      <w:r>
        <w:rPr>
          <w:rFonts w:ascii="Arial" w:cs="Arial" w:eastAsia="Arial" w:hAnsi="Arial"/>
          <w:sz w:val="16"/>
          <w:szCs w:val="16"/>
          <w:color w:val="auto"/>
        </w:rPr>
        <w:t>. Notwithstanding Tenant’s obligation to keep the Premises HVAC units of the Premises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and repair, Landlord shall employ contractors to perform all repairs, maintenance and replacements of the Premises HVAC units. The items described in the previous sentence that Landlord will cause to be repaired, maintained and replaced are hereinafter referred to as the “</w:t>
      </w:r>
      <w:r>
        <w:rPr>
          <w:rFonts w:ascii="Arial" w:cs="Arial" w:eastAsia="Arial" w:hAnsi="Arial"/>
          <w:sz w:val="16"/>
          <w:szCs w:val="16"/>
          <w:b w:val="1"/>
          <w:bCs w:val="1"/>
          <w:i w:val="1"/>
          <w:iCs w:val="1"/>
          <w:color w:val="auto"/>
        </w:rPr>
        <w:t>Landlord Maintenance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Items.</w:t>
      </w:r>
      <w:r>
        <w:rPr>
          <w:rFonts w:ascii="Arial" w:cs="Arial" w:eastAsia="Arial" w:hAnsi="Arial"/>
          <w:sz w:val="16"/>
          <w:szCs w:val="16"/>
          <w:color w:val="auto"/>
        </w:rPr>
        <w:t>” Tenant shall reimburse Landlord as additional rent for all costs Landlord incurs in performing the Landlord Maintenance Items within ten (10) days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written demand by Landlord. Landlord shall determine in its sole discretion the scope and timing of the performance of such Landlord Maintenance Items, and Tenant shall not perform such Landlord Maintenance Items; provided, however, Landlord will commence the necessary repair work as soon as commercially reasonable and diligently prosecute the repair cure to completion. Tenant shall prompt give Landlord written notice of any repair or maintenance required by Landlord pursuant to this section, after which Landlord shall have a reasonable time in which to complete such repair or maintenance.</w:t>
      </w:r>
    </w:p>
    <w:p>
      <w:pPr>
        <w:spacing w:after="0" w:line="159"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7"/>
          <w:szCs w:val="17"/>
          <w:b w:val="1"/>
          <w:bCs w:val="1"/>
          <w:color w:val="auto"/>
        </w:rPr>
        <w:t>12.3 Maintenance Contracts</w:t>
      </w:r>
      <w:r>
        <w:rPr>
          <w:rFonts w:ascii="Arial" w:cs="Arial" w:eastAsia="Arial" w:hAnsi="Arial"/>
          <w:sz w:val="17"/>
          <w:szCs w:val="17"/>
          <w:color w:val="auto"/>
        </w:rPr>
        <w:t>. Landlord shall enter into regularly scheduled preventative maintenance/service contracts for some or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Premises HVAC units servicing the Premises, the sprinkler, fire alarm and fire detection systems servicing the Premises, backflow testing for the plumbing servicing the Premises and for the roof membrane of the Premises (the “</w:t>
      </w:r>
      <w:r>
        <w:rPr>
          <w:rFonts w:ascii="Arial" w:cs="Arial" w:eastAsia="Arial" w:hAnsi="Arial"/>
          <w:sz w:val="17"/>
          <w:szCs w:val="17"/>
          <w:b w:val="1"/>
          <w:bCs w:val="1"/>
          <w:i w:val="1"/>
          <w:iCs w:val="1"/>
          <w:color w:val="auto"/>
        </w:rPr>
        <w:t>Maintenance Contracts</w:t>
      </w:r>
      <w:r>
        <w:rPr>
          <w:rFonts w:ascii="Arial" w:cs="Arial" w:eastAsia="Arial" w:hAnsi="Arial"/>
          <w:sz w:val="17"/>
          <w:szCs w:val="17"/>
          <w:color w:val="auto"/>
        </w:rPr>
        <w:t>”). The Maintenance Contracts shall include maintenance services satisfactory to Landlord, in Landlord’s sole discretion. The cost of the Maintenance Contracts shall be included in Operating Expenses and Tenant shall then pay Tenant’s Percentage Share of such costs as reasonably determined by Landlord.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6" w:name="page567"/>
    <w:bookmarkEnd w:id="566"/>
    <w:p>
      <w:pPr>
        <w:ind w:left="660" w:hanging="652"/>
        <w:spacing w:after="0"/>
        <w:tabs>
          <w:tab w:leader="none" w:pos="66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LTERATIONS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URRENDER</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2" w:lineRule="auto"/>
        <w:rPr>
          <w:sz w:val="20"/>
          <w:szCs w:val="20"/>
          <w:color w:val="auto"/>
        </w:rPr>
      </w:pPr>
      <w:r>
        <w:rPr>
          <w:rFonts w:ascii="Arial" w:cs="Arial" w:eastAsia="Arial" w:hAnsi="Arial"/>
          <w:sz w:val="16"/>
          <w:szCs w:val="16"/>
          <w:b w:val="1"/>
          <w:bCs w:val="1"/>
          <w:color w:val="auto"/>
        </w:rPr>
        <w:t>13.1 Consent of Landlord</w:t>
      </w:r>
      <w:r>
        <w:rPr>
          <w:rFonts w:ascii="Arial" w:cs="Arial" w:eastAsia="Arial" w:hAnsi="Arial"/>
          <w:sz w:val="16"/>
          <w:szCs w:val="16"/>
          <w:color w:val="auto"/>
        </w:rPr>
        <w:t>. Tenant shall have the right, subject to Landlord’s reasonable requirements relating to construction at the Project, upon</w:t>
      </w:r>
      <w:r>
        <w:rPr>
          <w:rFonts w:ascii="Arial" w:cs="Arial" w:eastAsia="Arial" w:hAnsi="Arial"/>
          <w:sz w:val="16"/>
          <w:szCs w:val="16"/>
          <w:b w:val="1"/>
          <w:bCs w:val="1"/>
          <w:color w:val="auto"/>
        </w:rPr>
        <w:t xml:space="preserve"> </w:t>
      </w:r>
      <w:r>
        <w:rPr>
          <w:rFonts w:ascii="Arial" w:cs="Arial" w:eastAsia="Arial" w:hAnsi="Arial"/>
          <w:sz w:val="16"/>
          <w:szCs w:val="16"/>
          <w:color w:val="auto"/>
        </w:rPr>
        <w:t>ten (10) days prior written notice to Landlord, to make alterations (“</w:t>
      </w:r>
      <w:r>
        <w:rPr>
          <w:rFonts w:ascii="Arial" w:cs="Arial" w:eastAsia="Arial" w:hAnsi="Arial"/>
          <w:sz w:val="16"/>
          <w:szCs w:val="16"/>
          <w:b w:val="1"/>
          <w:bCs w:val="1"/>
          <w:i w:val="1"/>
          <w:iCs w:val="1"/>
          <w:color w:val="auto"/>
        </w:rPr>
        <w:t>Permitted Alterations</w:t>
      </w:r>
      <w:r>
        <w:rPr>
          <w:rFonts w:ascii="Arial" w:cs="Arial" w:eastAsia="Arial" w:hAnsi="Arial"/>
          <w:sz w:val="16"/>
          <w:szCs w:val="16"/>
          <w:color w:val="auto"/>
        </w:rPr>
        <w:t>”) to the inside of the Premises (</w:t>
      </w:r>
      <w:r>
        <w:rPr>
          <w:rFonts w:ascii="Arial" w:cs="Arial" w:eastAsia="Arial" w:hAnsi="Arial"/>
          <w:sz w:val="16"/>
          <w:szCs w:val="16"/>
          <w:i w:val="1"/>
          <w:iCs w:val="1"/>
          <w:color w:val="auto"/>
        </w:rPr>
        <w:t>e.g.</w:t>
      </w:r>
      <w:r>
        <w:rPr>
          <w:rFonts w:ascii="Arial" w:cs="Arial" w:eastAsia="Arial" w:hAnsi="Arial"/>
          <w:sz w:val="16"/>
          <w:szCs w:val="16"/>
          <w:color w:val="auto"/>
        </w:rPr>
        <w:t>, paint and carpet, communication systems, telephone and computer system wiring, installation of humidity control unit) that do not (i) involve the expenditure of more than $5,000,00, (ii) affect the exterior appearance of the Building or the roof, (iii) affect the Building’s electrical, plumbing, HVAC, life, fire safety or similar Building systems or the structural elements of the Building, (iv) affect the Common Areas or parking areas or (v) materially adversely affect any other tenant of the Project; provided, however, the installation of the humidity control unit shall not be subject to the limitation set forth in clause (i) above. Landlord hereby confirms that the humidity control unit shall remain the personal property of Tenant, may be removed by Tenant at any time and must be removed prior to the expiration or earlier termination of this Lease unless otherwise notified in writing by Landlord, provided that Tenant shall repair any damage caused by such removal. Except with respect to Permitted Alterations, Tenant shall not, without Landlord’s prior written consent, which shall not be unreasonably withheld, conditioned or delayed, make any alterations, improvements, additions, utility installations or repairs (hereinafter collectively referred to as “</w:t>
      </w:r>
      <w:r>
        <w:rPr>
          <w:rFonts w:ascii="Arial" w:cs="Arial" w:eastAsia="Arial" w:hAnsi="Arial"/>
          <w:sz w:val="16"/>
          <w:szCs w:val="16"/>
          <w:b w:val="1"/>
          <w:bCs w:val="1"/>
          <w:i w:val="1"/>
          <w:iCs w:val="1"/>
          <w:color w:val="auto"/>
        </w:rPr>
        <w:t>Non-Permitted Alterations</w:t>
      </w:r>
      <w:r>
        <w:rPr>
          <w:rFonts w:ascii="Arial" w:cs="Arial" w:eastAsia="Arial" w:hAnsi="Arial"/>
          <w:sz w:val="16"/>
          <w:szCs w:val="16"/>
          <w:color w:val="auto"/>
        </w:rPr>
        <w:t>”) in, on or about the Premises or the Project. References in this Lease to “</w:t>
      </w:r>
      <w:r>
        <w:rPr>
          <w:rFonts w:ascii="Arial" w:cs="Arial" w:eastAsia="Arial" w:hAnsi="Arial"/>
          <w:sz w:val="16"/>
          <w:szCs w:val="16"/>
          <w:b w:val="1"/>
          <w:bCs w:val="1"/>
          <w:i w:val="1"/>
          <w:iCs w:val="1"/>
          <w:color w:val="auto"/>
        </w:rPr>
        <w:t>Alterations</w:t>
      </w:r>
      <w:r>
        <w:rPr>
          <w:rFonts w:ascii="Arial" w:cs="Arial" w:eastAsia="Arial" w:hAnsi="Arial"/>
          <w:sz w:val="16"/>
          <w:szCs w:val="16"/>
          <w:color w:val="auto"/>
        </w:rPr>
        <w:t>” shall mean both Permitted Alterations and Non-Permitted Alterations. At the expiration of the term Landlord may require the removal of any Alterations installed by Tenant and the restoration of the Premises and the Project to their prior condition, at Tenant’s expense. . Tenant may request a determination from Landlord whether or not Landlord will require removal and restoration of any Alteration by delivering written notice of such request to Landlord. If requested, Landlord shall notify Tenant in writing within fifteen (15) business days whether or not Landlord will require removal and restoration of some or all of such Alteration. Landlord's failure to timely notify Tenant shall be deemed Landlord's election to require removal and restoration of all of such Alteration. If, as a result of any Alteration made by Tenant, Landlord is obligated to comply with the Americans With Disabilities Act or any other law or regulation, and such compliance requires Landlord to make any improvement or Alteration to any portion of the Project, as a condition to Landlord’s consent, Landlord shall have the right to require Tenant to pay to Landlord prior to the construction of any Alteration by Tenant the entire cost of any improvement or alteration Landlord is obligated to complete by such law or regulation. Should Landlord permit Tenant to make its own Alterations, Tenant shall use only such architect and contractor as has been expressly approved by Landlord, and Landlord may require Tenant to provide to Landlord, at Tenant’s sole cost and expense, a lien and completion bond in an amount equal to one and one-half times the estimated cost of such Alterations (if the projected cost thereof exceeds $150,000), to insure Landlord against any liability for mechanic’s and materialmen’s liens and to insure completion of the work. In addition, Tenant shall pay to Landlord a fee equal to one percent (1%) of the cost of the Alterations to compensate Landlord for the overhead and other costs it incurs in reviewing the plans for the Alterations and in monitoring the construction of the Alterations (the “</w:t>
      </w:r>
      <w:r>
        <w:rPr>
          <w:rFonts w:ascii="Arial" w:cs="Arial" w:eastAsia="Arial" w:hAnsi="Arial"/>
          <w:sz w:val="16"/>
          <w:szCs w:val="16"/>
          <w:b w:val="1"/>
          <w:bCs w:val="1"/>
          <w:i w:val="1"/>
          <w:iCs w:val="1"/>
          <w:color w:val="auto"/>
        </w:rPr>
        <w:t>Landlord Fee</w:t>
      </w:r>
      <w:r>
        <w:rPr>
          <w:rFonts w:ascii="Arial" w:cs="Arial" w:eastAsia="Arial" w:hAnsi="Arial"/>
          <w:sz w:val="16"/>
          <w:szCs w:val="16"/>
          <w:color w:val="auto"/>
        </w:rPr>
        <w:t>”). If Landlord incurs architectural, engineering or other consultant’s fees in evaluating such Alterations, Tenant shall reimburse Landlord for these fees in addition to the Landlord Fee. If Tenant proposes Alterations to Landlord but subsequently elects not to construct the Alterations, and Landlord has incurred costs in reviewing Tenant’s proposed Alterations (</w:t>
      </w:r>
      <w:r>
        <w:rPr>
          <w:rFonts w:ascii="Arial" w:cs="Arial" w:eastAsia="Arial" w:hAnsi="Arial"/>
          <w:sz w:val="16"/>
          <w:szCs w:val="16"/>
          <w:i w:val="1"/>
          <w:iCs w:val="1"/>
          <w:color w:val="auto"/>
        </w:rPr>
        <w:t>e.g.</w:t>
      </w:r>
      <w:r>
        <w:rPr>
          <w:rFonts w:ascii="Arial" w:cs="Arial" w:eastAsia="Arial" w:hAnsi="Arial"/>
          <w:sz w:val="16"/>
          <w:szCs w:val="16"/>
          <w:color w:val="auto"/>
        </w:rPr>
        <w:t>, architect’s, engineer’s or property management fees), Tenant shall reimburse Landlord for the costs incurred by Landlord within ten (10) days after written demand. Should Tenant make any Alterations without the prior approval of Landlord, or use a contractor not expressly approved by Landlord, Landlord may, at any time during the term of this Lease, require that Tenant remove all or part of the Alterations and return the Premises to the condition it was in prior to the making of the Alterations. In the event Tenant makes any Alterations, Tenant agrees to obtain or cause its contractor to obtain, prior to the commencement of any work, “</w:t>
      </w:r>
      <w:r>
        <w:rPr>
          <w:rFonts w:ascii="Arial" w:cs="Arial" w:eastAsia="Arial" w:hAnsi="Arial"/>
          <w:sz w:val="16"/>
          <w:szCs w:val="16"/>
          <w:b w:val="1"/>
          <w:bCs w:val="1"/>
          <w:i w:val="1"/>
          <w:iCs w:val="1"/>
          <w:color w:val="auto"/>
        </w:rPr>
        <w:t>builders all risk</w:t>
      </w:r>
      <w:r>
        <w:rPr>
          <w:rFonts w:ascii="Arial" w:cs="Arial" w:eastAsia="Arial" w:hAnsi="Arial"/>
          <w:sz w:val="16"/>
          <w:szCs w:val="16"/>
          <w:color w:val="auto"/>
        </w:rPr>
        <w:t>” insurance in an amount approved by Landlord, workers compensation insurance and any other insurance requested by Landlord, in Landlord’s sole discretion. If any Alterations may impact Building systems, the roof (including roof membrane) and/or the Building structure, Landlord may elect to perform the portion of such Alterations which impacts the Building systems, the roof (including roof membrane) and/or the Building structure, at Tenant’s cost and expense, pursuant to such terms and conditions as Landlord may designate in its commercially reasonable discretion at such time.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7" w:name="page568"/>
    <w:bookmarkEnd w:id="567"/>
    <w:p>
      <w:pPr>
        <w:jc w:val="both"/>
        <w:ind w:firstLine="646"/>
        <w:spacing w:after="0" w:line="297" w:lineRule="auto"/>
        <w:rPr>
          <w:sz w:val="20"/>
          <w:szCs w:val="20"/>
          <w:color w:val="auto"/>
        </w:rPr>
      </w:pPr>
      <w:r>
        <w:rPr>
          <w:rFonts w:ascii="Arial" w:cs="Arial" w:eastAsia="Arial" w:hAnsi="Arial"/>
          <w:sz w:val="16"/>
          <w:szCs w:val="16"/>
          <w:b w:val="1"/>
          <w:bCs w:val="1"/>
          <w:color w:val="auto"/>
        </w:rPr>
        <w:t>13.2 Permits</w:t>
      </w:r>
      <w:r>
        <w:rPr>
          <w:rFonts w:ascii="Arial" w:cs="Arial" w:eastAsia="Arial" w:hAnsi="Arial"/>
          <w:sz w:val="16"/>
          <w:szCs w:val="16"/>
          <w:color w:val="auto"/>
        </w:rPr>
        <w:t>. Any Alterations in or about the Premises that Tenant shall desire to make shall be presented to Landlord in written form, with plans</w:t>
      </w:r>
      <w:r>
        <w:rPr>
          <w:rFonts w:ascii="Arial" w:cs="Arial" w:eastAsia="Arial" w:hAnsi="Arial"/>
          <w:sz w:val="16"/>
          <w:szCs w:val="16"/>
          <w:b w:val="1"/>
          <w:bCs w:val="1"/>
          <w:color w:val="auto"/>
        </w:rPr>
        <w:t xml:space="preserve"> </w:t>
      </w:r>
      <w:r>
        <w:rPr>
          <w:rFonts w:ascii="Arial" w:cs="Arial" w:eastAsia="Arial" w:hAnsi="Arial"/>
          <w:sz w:val="16"/>
          <w:szCs w:val="16"/>
          <w:color w:val="auto"/>
        </w:rPr>
        <w:t>and specifications which are sufficiently detailed to obtain a building permit, if a building permit is required. If Landlord consents to an Alteration and the Alteration requires a building permit, the consent shall be deemed conditioned upon Tenant acquiring a building permit from the applicable governmental agencies, furnishing a copy thereof to Landlord prior to the commencement of the work, and compliance by Tenant with all conditions of said permit in a prompt and expeditious manner. Tenant shall provide Landlord with as-built plans and specifications for any Alterations made to the Premises.</w:t>
      </w:r>
    </w:p>
    <w:p>
      <w:pPr>
        <w:spacing w:after="0" w:line="154"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b w:val="1"/>
          <w:bCs w:val="1"/>
          <w:color w:val="auto"/>
        </w:rPr>
        <w:t>13.3 Mechanics Liens</w:t>
      </w:r>
      <w:r>
        <w:rPr>
          <w:rFonts w:ascii="Arial" w:cs="Arial" w:eastAsia="Arial" w:hAnsi="Arial"/>
          <w:sz w:val="18"/>
          <w:szCs w:val="18"/>
          <w:color w:val="auto"/>
        </w:rPr>
        <w:t>. Tenant shall pay, when due, all claims for labor or materials furnished or alleged to have been furnished to or for Tenant at</w:t>
      </w:r>
      <w:r>
        <w:rPr>
          <w:rFonts w:ascii="Arial" w:cs="Arial" w:eastAsia="Arial" w:hAnsi="Arial"/>
          <w:sz w:val="18"/>
          <w:szCs w:val="18"/>
          <w:b w:val="1"/>
          <w:bCs w:val="1"/>
          <w:color w:val="auto"/>
        </w:rPr>
        <w:t xml:space="preserve"> </w:t>
      </w:r>
      <w:r>
        <w:rPr>
          <w:rFonts w:ascii="Arial" w:cs="Arial" w:eastAsia="Arial" w:hAnsi="Arial"/>
          <w:sz w:val="18"/>
          <w:szCs w:val="18"/>
          <w:color w:val="auto"/>
        </w:rPr>
        <w:t>or for use in the Premises, which claims are or may be secured by any mechanic’s or materialmen’s lien against the Premises or the Project, or any interest therein. If Tenant shall, in good faith, contest the validity of any such lien, Tenant shall furnish to Landlord a surety bond satisfactory to Landlord in an amount equal to not less than one and one-half times the amount of such contested lien claim indemnifying Landlord against liability arising out of such lien or claim. Such bond shall be sufficient in form and amount to free the Project from the effect of such lien. In addition, Landlord may require Tenant to pay Landlord’s reasonable attorneys’ fees and costs incurred as a result of any such lien.</w:t>
      </w:r>
    </w:p>
    <w:p>
      <w:pPr>
        <w:spacing w:after="0" w:line="188"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13.4 Notice</w:t>
      </w:r>
      <w:r>
        <w:rPr>
          <w:rFonts w:ascii="Arial" w:cs="Arial" w:eastAsia="Arial" w:hAnsi="Arial"/>
          <w:sz w:val="18"/>
          <w:szCs w:val="18"/>
          <w:color w:val="auto"/>
        </w:rPr>
        <w:t>. Tenant shall give Landlord not less than ten (10) days’ advance written notice prior to the commencement of any work in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and Landlord shall have the right to post notices of non-responsibility in or on the Premises or the Project.</w:t>
      </w:r>
    </w:p>
    <w:p>
      <w:pPr>
        <w:spacing w:after="0" w:line="163"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b w:val="1"/>
          <w:bCs w:val="1"/>
          <w:color w:val="auto"/>
        </w:rPr>
        <w:t>13.5 Surrender</w:t>
      </w:r>
      <w:r>
        <w:rPr>
          <w:rFonts w:ascii="Arial" w:cs="Arial" w:eastAsia="Arial" w:hAnsi="Arial"/>
          <w:sz w:val="16"/>
          <w:szCs w:val="16"/>
          <w:color w:val="auto"/>
        </w:rPr>
        <w:t>. Subject to Landlord’s right to require removal or to elect ownership as hereinafter provided, all Alterations made by Tenant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shall be the property of Tenant, but shall be considered to be a part of the Premises. Unless Landlord gives Tenant written notice of its election not to become the owner of the Alterations at the end of the term of this Lease, the Alterations shall become the property of Landlord at the end of the term of this Lease. Landlord may require, on notice to Tenant, that some or all Alterations be removed at the end or earlier termination of the term of this Lease and that any damages caused by such removal be repaired at Tenant’s sole expense. On the last day of the term hereof, or on any sooner termination, Tenant shall surrender the Premises (including any portion for which Tenant has maintenance and repair responsibility under this Lease) (collectively the “</w:t>
      </w:r>
      <w:r>
        <w:rPr>
          <w:rFonts w:ascii="Arial" w:cs="Arial" w:eastAsia="Arial" w:hAnsi="Arial"/>
          <w:sz w:val="16"/>
          <w:szCs w:val="16"/>
          <w:b w:val="1"/>
          <w:bCs w:val="1"/>
          <w:i w:val="1"/>
          <w:iCs w:val="1"/>
          <w:color w:val="auto"/>
        </w:rPr>
        <w:t>Elements of the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to Landlord in as good a condition as when received, ordinary wear and tear and casualty damage excepted, clean and free of debris and Tenant’s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property, trade fixtures and equipment and with any Alterations which Landlord has elected to have Tenant remove removed. Unless notified otherwise in writing by Landlord, Tenant shall, prior to the expiration or earlier termination of this Lease, remove all computer wiring and cabling serving the Premises. Tenant shall repair any damage to the Premises occasioned by the installation or removal of Tenant’s trade fixtures, furnishings and equipment. Damage to or deterioration of any Element of the Premises or any other item Tenant is required to repair or maintain at the Premises shall not be deemed ordinary wear and tear if the same could have been prevented by good maintenance practices. If the Premises are not surrendered at the expiration of the term or earlier termination of this Lease in accordance with the provisions of this section, at Landlord’s option, Tenant shall continue to be responsible for the payment of Base Rent and all other amounts due under this Lease until the Premises are so surrendered in accordance with said provisions. Tenant shall indemnify, defend and hold Landlord harmless from and against any and all damages, expenses, costs, losses or liabilities arising from any delay by Tenant in so surrendering the Premises including, without limitation, any damages, expenses, costs, losses or liabilities arising from any claim against Landlord made by any succeeding tenant or prospective tenant founded on or resulting from such delay and losses and damages suffered by Landlord due to lost opportunities to lease any portion of the Premises to any such succeeding tenant or prospective tenant, together with, in each case, actual attorneys’ fees and costs. Landlord hereby expressly consents to Tenant’s removal of any humidity control unit installed by Tenant in the Premises.</w:t>
      </w:r>
    </w:p>
    <w:p>
      <w:pPr>
        <w:spacing w:after="0" w:line="17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13.6 Failure of Tenant to Remove Property</w:t>
      </w:r>
      <w:r>
        <w:rPr>
          <w:rFonts w:ascii="Arial" w:cs="Arial" w:eastAsia="Arial" w:hAnsi="Arial"/>
          <w:sz w:val="18"/>
          <w:szCs w:val="18"/>
          <w:color w:val="auto"/>
        </w:rPr>
        <w:t>. If this Lease is terminated due to the expiration of its term or otherwise, and Tenant fails to remove</w:t>
      </w:r>
      <w:r>
        <w:rPr>
          <w:rFonts w:ascii="Arial" w:cs="Arial" w:eastAsia="Arial" w:hAnsi="Arial"/>
          <w:sz w:val="18"/>
          <w:szCs w:val="18"/>
          <w:b w:val="1"/>
          <w:bCs w:val="1"/>
          <w:color w:val="auto"/>
        </w:rPr>
        <w:t xml:space="preserve"> </w:t>
      </w:r>
      <w:r>
        <w:rPr>
          <w:rFonts w:ascii="Arial" w:cs="Arial" w:eastAsia="Arial" w:hAnsi="Arial"/>
          <w:sz w:val="18"/>
          <w:szCs w:val="18"/>
          <w:color w:val="auto"/>
        </w:rPr>
        <w:t>its property, in addition to any other remedies available to Landlord under this Lease, and subject to any other right or remedy Landlord may have under applicable Legal Requirements, Landlord may remove any property of Tenant from the Premises and store the same elsewhere at the expense and risk of Tenant.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8" w:name="page569"/>
    <w:bookmarkEnd w:id="568"/>
    <w:p>
      <w:pPr>
        <w:ind w:left="660" w:hanging="652"/>
        <w:spacing w:after="0"/>
        <w:tabs>
          <w:tab w:leader="none" w:pos="66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AMAGE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ESTRUCTION</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2" w:lineRule="auto"/>
        <w:rPr>
          <w:sz w:val="20"/>
          <w:szCs w:val="20"/>
          <w:color w:val="auto"/>
        </w:rPr>
      </w:pPr>
      <w:r>
        <w:rPr>
          <w:rFonts w:ascii="Arial" w:cs="Arial" w:eastAsia="Arial" w:hAnsi="Arial"/>
          <w:sz w:val="16"/>
          <w:szCs w:val="16"/>
          <w:b w:val="1"/>
          <w:bCs w:val="1"/>
          <w:color w:val="auto"/>
        </w:rPr>
        <w:t>14.1 Effect of Damage or Destruction</w:t>
      </w:r>
      <w:r>
        <w:rPr>
          <w:rFonts w:ascii="Arial" w:cs="Arial" w:eastAsia="Arial" w:hAnsi="Arial"/>
          <w:sz w:val="16"/>
          <w:szCs w:val="16"/>
          <w:color w:val="auto"/>
        </w:rPr>
        <w:t>. If all or part of the Project is damaged by fire, earthquake, flood, explosion, the elements, riot, the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or existence of Hazardous Materials (as defined below) or by any other cause whatsoever (hereinafter collectively referred to as “</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xml:space="preserve">”), but the Damages are not material (as defined in Section 14.2 below), Landlord shall repair the Damages to the Project as soon as is reasonably possible, and this Lease shall remain in full force and effect. If all or part of the Project is destroyed or materially damaged (as defined in Section 14.2 below), Landlord shall have the right, in its sole and complete discretion, to repair or to rebuild the Project or to terminate this Lease. Landlord shall within sixty (60) days after the discovery of such material damage or destruction notify Tenant in writing of Landlord’s intention to repair or to rebuild or to terminate this Lease. Tenant shall in no event be entitled to compensation or damages on account of annoyance or inconvenience in making any repairs, or on account of construction, or on account of Landlord’s election to terminate this Lease. Notwithstanding the foregoing, if Landlord shall elect to rebuild or repair the Project after material damage or destruction, but in good faith determines that the Premises cannot be substantially repaired within two hundred seventy (270) days after the date of the discovery of the material damage or destruction, without payment of overtime or other premiums, and the damage to the Project will render the entire Premises unusable during said two hundred seventy (270) day period, Landlord shall notify Tenant thereof in writing at the time of Landlord’s election to rebuild or repair, and Tenant shall thereafter have a period of fifteen (15) days within which Tenant may elect to terminate this Lease, upon thirty (30) days’ advance written notice to Landlord. Tenant’s termination right described in the preceding sentence shall not apply if the damage was caused by the negligent or intentional acts of Tenant or its employees, agents, contractors or invitees. Failure of Tenant to exercise said election within said fifteen (15) day period shall constitute Tenant’s agreement to accept delivery of the Premises under this Lease whenever tendered by Landlord,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Landlord thereafter pursues reconstruction or restoration diligently to completion, subject to delays caused by Force Majeure Events (not to exceed thirty (30) days). If Landlord is unable to repair the damage to the Premises or the Project during such two hundred seventy (270) day period due to Force Majeure Events, the two hundred seventy</w:t>
      </w:r>
    </w:p>
    <w:p>
      <w:pPr>
        <w:spacing w:after="0" w:line="4" w:lineRule="exact"/>
        <w:rPr>
          <w:sz w:val="20"/>
          <w:szCs w:val="20"/>
          <w:color w:val="auto"/>
        </w:rPr>
      </w:pPr>
    </w:p>
    <w:p>
      <w:pPr>
        <w:jc w:val="both"/>
        <w:ind w:firstLine="8"/>
        <w:spacing w:after="0" w:line="254" w:lineRule="auto"/>
        <w:tabs>
          <w:tab w:leader="none" w:pos="436" w:val="left"/>
        </w:tabs>
        <w:numPr>
          <w:ilvl w:val="0"/>
          <w:numId w:val="538"/>
        </w:numPr>
        <w:rPr>
          <w:rFonts w:ascii="Arial" w:cs="Arial" w:eastAsia="Arial" w:hAnsi="Arial"/>
          <w:sz w:val="18"/>
          <w:szCs w:val="18"/>
          <w:color w:val="auto"/>
        </w:rPr>
      </w:pPr>
      <w:r>
        <w:rPr>
          <w:rFonts w:ascii="Arial" w:cs="Arial" w:eastAsia="Arial" w:hAnsi="Arial"/>
          <w:sz w:val="18"/>
          <w:szCs w:val="18"/>
          <w:color w:val="auto"/>
        </w:rPr>
        <w:t>day period shall be extended by the period of delay caused by the Force Majeure Events, (not to exceed thirty (30) days). Subject to Section 14.3 below, if Landlord or Tenant terminates this Lease in accordance with this Section 14.1, Tenant shall continue to pay all Base Rent, Operating Expenses and other amounts due hereunder which arise prior to the date of termination.</w:t>
      </w:r>
    </w:p>
    <w:p>
      <w:pPr>
        <w:spacing w:after="0" w:line="186"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14.2 Definition of Material Damage</w:t>
      </w:r>
      <w:r>
        <w:rPr>
          <w:rFonts w:ascii="Arial" w:cs="Arial" w:eastAsia="Arial" w:hAnsi="Arial"/>
          <w:sz w:val="17"/>
          <w:szCs w:val="17"/>
          <w:color w:val="auto"/>
        </w:rPr>
        <w:t>. Damage to the Project shall be deemed material if, in Landlord’s reasonable judgment, the uninsured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repairing the damage will exceed $50,000. If insurance proceeds are available to Landlord in an amount which is sufficient to pay the entire cost of repairing all of the damage to the Project, the damage shall be deemed material if the cost of repairing the damage exceeds $200,000. Damage to the Project shall also be deemed material if (a) the Project cannot be rebuilt or repaired to substantially the same condition it was in prior to the damage due to laws or regulations in effect at the time the repairs will be made, (b) the holder of any mortgage or deed of trust encumbering the Project requires that insurance proceeds available to repair the damage in excess of $50,000 be applied to the repayment of the indebtedness secured by the mortgage or the deed of trust, or (c) the damage occurs during the last twelve (12) months of the Lease term.</w:t>
      </w:r>
    </w:p>
    <w:p>
      <w:pPr>
        <w:spacing w:after="0" w:line="172"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14.3 Abatement of Rent</w:t>
      </w:r>
      <w:r>
        <w:rPr>
          <w:rFonts w:ascii="Arial" w:cs="Arial" w:eastAsia="Arial" w:hAnsi="Arial"/>
          <w:sz w:val="16"/>
          <w:szCs w:val="16"/>
          <w:color w:val="auto"/>
        </w:rPr>
        <w:t>. In the event that Tenant is prevented from using, and does not use, the Premises or any portion thereof, for five (5)</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business days (the “</w:t>
      </w:r>
      <w:r>
        <w:rPr>
          <w:rFonts w:ascii="Arial" w:cs="Arial" w:eastAsia="Arial" w:hAnsi="Arial"/>
          <w:sz w:val="16"/>
          <w:szCs w:val="16"/>
          <w:b w:val="1"/>
          <w:bCs w:val="1"/>
          <w:i w:val="1"/>
          <w:iCs w:val="1"/>
          <w:color w:val="auto"/>
        </w:rPr>
        <w:t>Eligibility Period</w:t>
      </w:r>
      <w:r>
        <w:rPr>
          <w:rFonts w:ascii="Arial" w:cs="Arial" w:eastAsia="Arial" w:hAnsi="Arial"/>
          <w:sz w:val="16"/>
          <w:szCs w:val="16"/>
          <w:color w:val="auto"/>
        </w:rPr>
        <w:t>”) as a result of damage to the Premises, and the damage was not caused by the negligence or intentional acts of Tenant or its employees, agents, contractors or invitees, then Tenant’s Base Rent, Monthly Operating Expense Payment and Tenant’s Percentage Share of Real Property Taxes and Insurance Costs shall be abated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69" w:name="page570"/>
    <w:bookmarkEnd w:id="569"/>
    <w:p>
      <w:pPr>
        <w:jc w:val="both"/>
        <w:ind w:firstLine="646"/>
        <w:spacing w:after="0" w:line="260" w:lineRule="auto"/>
        <w:rPr>
          <w:sz w:val="20"/>
          <w:szCs w:val="20"/>
          <w:color w:val="auto"/>
        </w:rPr>
      </w:pPr>
      <w:r>
        <w:rPr>
          <w:rFonts w:ascii="Arial" w:cs="Arial" w:eastAsia="Arial" w:hAnsi="Arial"/>
          <w:sz w:val="18"/>
          <w:szCs w:val="18"/>
          <w:b w:val="1"/>
          <w:bCs w:val="1"/>
          <w:color w:val="auto"/>
        </w:rPr>
        <w:t>14.4 Tenant’s Acts</w:t>
      </w:r>
      <w:r>
        <w:rPr>
          <w:rFonts w:ascii="Arial" w:cs="Arial" w:eastAsia="Arial" w:hAnsi="Arial"/>
          <w:sz w:val="18"/>
          <w:szCs w:val="18"/>
          <w:color w:val="auto"/>
        </w:rPr>
        <w:t>. If such damage or destruction occurs as a result of the negligence or the intentional acts of Tenant or Tenant’s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contractors or invitees, and the proceeds of insurance which are actually received by Landlord are not sufficient to pay for the repair of all of the damage, Tenant shall pay, at Tenant’s sole cost and expense, to Landlord upon demand, the difference between the cost of repairing the damage and the insurance proceeds received by Landlord.</w:t>
      </w:r>
    </w:p>
    <w:p>
      <w:pPr>
        <w:spacing w:after="0" w:line="18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14.5 Tenant’s Property</w:t>
      </w:r>
      <w:r>
        <w:rPr>
          <w:rFonts w:ascii="Arial" w:cs="Arial" w:eastAsia="Arial" w:hAnsi="Arial"/>
          <w:sz w:val="17"/>
          <w:szCs w:val="17"/>
          <w:color w:val="auto"/>
        </w:rPr>
        <w:t>. Landlord shall not be liable to Tenant or its employees, agents, contractors, invitees or customers for loss or damage to</w:t>
      </w:r>
      <w:r>
        <w:rPr>
          <w:rFonts w:ascii="Arial" w:cs="Arial" w:eastAsia="Arial" w:hAnsi="Arial"/>
          <w:sz w:val="17"/>
          <w:szCs w:val="17"/>
          <w:b w:val="1"/>
          <w:bCs w:val="1"/>
          <w:color w:val="auto"/>
        </w:rPr>
        <w:t xml:space="preserve"> </w:t>
      </w:r>
      <w:r>
        <w:rPr>
          <w:rFonts w:ascii="Arial" w:cs="Arial" w:eastAsia="Arial" w:hAnsi="Arial"/>
          <w:sz w:val="17"/>
          <w:szCs w:val="17"/>
          <w:color w:val="auto"/>
        </w:rPr>
        <w:t>merchandise, tenant improvements, fixtures, automobiles, furniture, equipment, computers, files or other property (hereinafter collectively “</w:t>
      </w:r>
      <w:r>
        <w:rPr>
          <w:rFonts w:ascii="Arial" w:cs="Arial" w:eastAsia="Arial" w:hAnsi="Arial"/>
          <w:sz w:val="17"/>
          <w:szCs w:val="17"/>
          <w:b w:val="1"/>
          <w:bCs w:val="1"/>
          <w:i w:val="1"/>
          <w:iCs w:val="1"/>
          <w:color w:val="auto"/>
        </w:rPr>
        <w:t>Tenant’s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located at the Project. Tenant shall repair or replace all of Tenant’s property at Tenant’s sole cost and expense. Tenant acknowledges that it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Tenant’s sole responsibility to obtain adequate insurance coverage to compensate Tenant for damage to Tenant’s property.</w:t>
      </w:r>
    </w:p>
    <w:p>
      <w:pPr>
        <w:spacing w:after="0" w:line="16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14.6 Waiver</w:t>
      </w:r>
      <w:r>
        <w:rPr>
          <w:rFonts w:ascii="Arial" w:cs="Arial" w:eastAsia="Arial" w:hAnsi="Arial"/>
          <w:sz w:val="18"/>
          <w:szCs w:val="18"/>
          <w:color w:val="auto"/>
        </w:rPr>
        <w:t>. Landlord and Tenant hereby waive the provisions of any present or future statutes which relate to the termination of leases when</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property is damaged or destroyed and agree that such event shall be governed by the terms of this Lease.</w:t>
      </w:r>
    </w:p>
    <w:p>
      <w:pPr>
        <w:spacing w:after="0" w:line="163" w:lineRule="exact"/>
        <w:rPr>
          <w:sz w:val="20"/>
          <w:szCs w:val="20"/>
          <w:color w:val="auto"/>
        </w:rPr>
      </w:pPr>
    </w:p>
    <w:p>
      <w:pPr>
        <w:jc w:val="both"/>
        <w:ind w:firstLine="8"/>
        <w:spacing w:after="0" w:line="284" w:lineRule="auto"/>
        <w:tabs>
          <w:tab w:leader="none" w:pos="489" w:val="left"/>
        </w:tabs>
        <w:numPr>
          <w:ilvl w:val="0"/>
          <w:numId w:val="539"/>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1"/>
          <w:szCs w:val="11"/>
          <w:b w:val="1"/>
          <w:bCs w:val="1"/>
          <w:color w:val="auto"/>
        </w:rPr>
        <w:t>ONDEMNATION</w:t>
      </w:r>
      <w:r>
        <w:rPr>
          <w:rFonts w:ascii="Arial" w:cs="Arial" w:eastAsia="Arial" w:hAnsi="Arial"/>
          <w:sz w:val="16"/>
          <w:szCs w:val="16"/>
          <w:color w:val="auto"/>
        </w:rPr>
        <w:t>. If any portion of the Premises or the Project are taken under the power of eminent domain, or sold under the threat of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said power (all of which are herein called “</w:t>
      </w:r>
      <w:r>
        <w:rPr>
          <w:rFonts w:ascii="Arial" w:cs="Arial" w:eastAsia="Arial" w:hAnsi="Arial"/>
          <w:sz w:val="16"/>
          <w:szCs w:val="16"/>
          <w:b w:val="1"/>
          <w:bCs w:val="1"/>
          <w:i w:val="1"/>
          <w:iCs w:val="1"/>
          <w:color w:val="auto"/>
        </w:rPr>
        <w:t>condemnation</w:t>
      </w:r>
      <w:r>
        <w:rPr>
          <w:rFonts w:ascii="Arial" w:cs="Arial" w:eastAsia="Arial" w:hAnsi="Arial"/>
          <w:sz w:val="16"/>
          <w:szCs w:val="16"/>
          <w:color w:val="auto"/>
        </w:rPr>
        <w:t xml:space="preserve">”), this Lease shall terminate as to the part so taken as of the date the condemning authority takes title or possession, whichever first occurs;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so much of the Premises or Project are taken by such condemnation as would substantially and adversely affect the operation and profitability of Tenant’s business conducted from the Premises, and said taking lasts for ninety (90) days or more, Tenant shall have the option, to be exercised only in writing within thirty (30) days after Landlord shall have given Tenant written notice of such taking (or in the absence of such notice, within thirty (30) days after the condemning authority shall have taken possession), to terminate this Lease as of the date the condemning authority takes such possession. If a taking lasts for less than ninety (90) days, Tenant’s rent shall be abated during said period but Tenant shall not have the right to terminate this Lease. If Tenant does not terminate this Lease in accordance with the foregoing, this Lease shall remain in full force and effect as to the portion of the Premises remaining, except that the Base Rent shall be reduced in the proportion that the usable floor area of the Premises taken bears to the total usable floor area of the Premises. Common Areas taken shall be excluded from the Common Areas usable by Tenant and no reduction of rent shall occur with respect thereto or by reason thereof. Landlord shall have the option in its sole discretion to terminate this Lease as of the taking of possession by the condemning authority, by giving written notice to Tenant of such election within thirty (30) days after receipt of notice of a taking by condemnation of any part of the Premises or the Project. Any award for the taking of all or any part of the Premises or the Project under the power of eminent domain or any payment made under threat of the exercise of such power shall be the property of Landlord, whether such award shall be made as compensation for diminution in value of the leasehold, for good will, for the taking of the fee, as severance damages, or as damages for tenant improvements;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Tenant shall be entitled to any separate award for loss of or damage to Tenant’s removable personal property and for moving expenses. In the event that this Lease is not terminated by reason of such condemnation, and subject to the requirements of any lender that has made a loan to Landlord encumbering the Project, Landlord shall to the extent of severance damages received by Landlord in connection with such condemnation, repair any damage to the Project caused by such condemnation except to the extent that Tenant has been reimbursed therefor by the condemning authority. This section, not general principles of law or California Code of Civil Procedure Sections 1230.010 </w:t>
      </w:r>
      <w:r>
        <w:rPr>
          <w:rFonts w:ascii="Arial" w:cs="Arial" w:eastAsia="Arial" w:hAnsi="Arial"/>
          <w:sz w:val="16"/>
          <w:szCs w:val="16"/>
          <w:i w:val="1"/>
          <w:iCs w:val="1"/>
          <w:color w:val="auto"/>
        </w:rPr>
        <w:t>et seq.</w:t>
      </w:r>
      <w:r>
        <w:rPr>
          <w:rFonts w:ascii="Arial" w:cs="Arial" w:eastAsia="Arial" w:hAnsi="Arial"/>
          <w:sz w:val="16"/>
          <w:szCs w:val="16"/>
          <w:color w:val="auto"/>
        </w:rPr>
        <w:t>, shall govern the rights and obligations of Landlord and Tenant with respect to the condemnation of all or any portion of the Project.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70" w:name="page571"/>
    <w:bookmarkEnd w:id="570"/>
    <w:p>
      <w:pPr>
        <w:ind w:left="660" w:hanging="652"/>
        <w:spacing w:after="0"/>
        <w:tabs>
          <w:tab w:leader="none" w:pos="66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SSIGNMENT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UBLETTING</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b w:val="1"/>
          <w:bCs w:val="1"/>
          <w:color w:val="auto"/>
        </w:rPr>
        <w:t>16.1 Landlord’s Consent Required</w:t>
      </w:r>
      <w:r>
        <w:rPr>
          <w:rFonts w:ascii="Arial" w:cs="Arial" w:eastAsia="Arial" w:hAnsi="Arial"/>
          <w:sz w:val="16"/>
          <w:szCs w:val="16"/>
          <w:color w:val="auto"/>
        </w:rPr>
        <w:t>. Except in connection with a Permitted Transfer (defined in the Addendum) Tenant shall not voluntarily or by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of law assign, transfer, hypothecate, mortgage, sublet, or otherwise transfer or encumber all or any part of Tenant’s interest in this Lease or in the Premises (hereinafter collectively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without Landlord’s prior written consent, which shall not be unreasonably withheld, conditioned or delayed. Landlord shall respond to Tenant’s written request for consent hereunder within fifteen (15) business days after Landlord’s receipt of the written request from Tenant. Any attempted Transfer other than a Permitted Transfer, without such consent shall be void and shall constitute a default and breach of this Lease. Tenant’s written request for Landlord’s consent shall include, and Landlord’s fifteen (15) business day response period referred to above shall not commence, unless and until Landlord has received from Tenant, all of the following information: (a) financial statements for the proposed assignee or subtenant prepared in accordance with generally accepted accounting principles for the lesser of (i) the past three (3) years or (ii) the time period the assignee or subtenant has been in existence, (b) federal tax returns for the proposed assignee or subtenant for the lesser of (i) the past three (3) years or (ii) the time period the assignee or subtenant has been in existence, (c) a credit report or similar report on the proposed assignee or subtenant, (d) a detailed description of the business the assignee or subtenant intends to operate at the Premises, (e) the proposed effective date of the assignment or sublease, (f) a copy of the proposed sublease or assignment agreement which includes all of the terms and conditions of the proposed assignment or sublease, (g) a detailed description of any ownership or commercial relationship between Tenant and the proposed assignee or subtenant, (h) a detailed description of any Alterations the proposed assignee or subtenant desires to make to the Premises, and (i) a Hazardous Materials Disclosure Certificate in form requested by Landlord (the “</w:t>
      </w:r>
      <w:r>
        <w:rPr>
          <w:rFonts w:ascii="Arial" w:cs="Arial" w:eastAsia="Arial" w:hAnsi="Arial"/>
          <w:sz w:val="16"/>
          <w:szCs w:val="16"/>
          <w:b w:val="1"/>
          <w:bCs w:val="1"/>
          <w:i w:val="1"/>
          <w:iCs w:val="1"/>
          <w:color w:val="auto"/>
        </w:rPr>
        <w:t>Transferee HazMat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If the obligations of the proposed assignee or subtenant will be guaranteed by any person or entity, Tenant’s written request shall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considered complete until the information described in (a), (b) and (c) of the previous sentence has been provided with respect to each proposed guarantor. Except in connection with a Permitted Transfer, the term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also include the transfer (a) if Tenant is a corporation, and Tenant’s stock is not publicly traded over a recognized securities exchange, of more than twenty five percent (25%) of the voting stock of such corporation during the term of this Lease (whether or not in one or more transfers) or the dissolution, merger or liquidation of the corporation, or (b) if Tenant is a partnership, limited liability company, limited liability partnership or other entity, of more than twenty five percent (25%) of the profit and loss participation in such partnership or entity during the term of this Lease (whether or not in one or more transfers) or the dissolution, merger or liquidation of the partnership, limited liability company, limited liability partnership or other entity. If Tenant is a limited or general partnership (or is comprised of two or more persons, individually or as co-partners), Tenant shall not be entitled to change or convert to (i) a limited liability company, (ii) a limited liability partnership or (iii) any other entity which possesses the characteristics of limited liability without the prior written consent of Landlord, which consent may be given or withheld in Landlord’s sole discretion. Tenant’s sole remedy in the event that Landlord shall wrongfully withhold consent to or disapprove any assignment or sublease shall be to obtain an order by a court of competent jurisdiction that Landlord grant such consent; in no event shall Landlord be liable for damages with respect to its granting or withholding consent to any proposed assignment or sublease. If Landlord shall exercise any option to recapture the Premises, or shall deny a request for consent to a proposed assignment or sublease, Tenant shall indemnify, defend and hold Landlord harmless from and against any and all losses, liabilities, damages, costs and claims that may be made against Landlord by the proposed assignee or subtenant, or by any brokers or other persons claiming a commission or similar compensation in connection with the proposed assignment or sublease.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1" w:name="page572"/>
    <w:bookmarkEnd w:id="571"/>
    <w:p>
      <w:pPr>
        <w:jc w:val="both"/>
        <w:ind w:firstLine="646"/>
        <w:spacing w:after="0" w:line="283" w:lineRule="auto"/>
        <w:rPr>
          <w:sz w:val="20"/>
          <w:szCs w:val="20"/>
          <w:color w:val="auto"/>
        </w:rPr>
      </w:pPr>
      <w:r>
        <w:rPr>
          <w:rFonts w:ascii="Arial" w:cs="Arial" w:eastAsia="Arial" w:hAnsi="Arial"/>
          <w:sz w:val="16"/>
          <w:szCs w:val="16"/>
          <w:b w:val="1"/>
          <w:bCs w:val="1"/>
          <w:color w:val="auto"/>
        </w:rPr>
        <w:t>16.2 Standard for Approval</w:t>
      </w:r>
      <w:r>
        <w:rPr>
          <w:rFonts w:ascii="Arial" w:cs="Arial" w:eastAsia="Arial" w:hAnsi="Arial"/>
          <w:sz w:val="16"/>
          <w:szCs w:val="16"/>
          <w:color w:val="auto"/>
        </w:rPr>
        <w:t>. Landlord shall not unreasonably withhold, condition or delay its consent to a Transfer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Tenant has</w:t>
      </w:r>
      <w:r>
        <w:rPr>
          <w:rFonts w:ascii="Arial" w:cs="Arial" w:eastAsia="Arial" w:hAnsi="Arial"/>
          <w:sz w:val="16"/>
          <w:szCs w:val="16"/>
          <w:b w:val="1"/>
          <w:bCs w:val="1"/>
          <w:color w:val="auto"/>
        </w:rPr>
        <w:t xml:space="preserve"> </w:t>
      </w:r>
      <w:r>
        <w:rPr>
          <w:rFonts w:ascii="Arial" w:cs="Arial" w:eastAsia="Arial" w:hAnsi="Arial"/>
          <w:sz w:val="16"/>
          <w:szCs w:val="16"/>
          <w:color w:val="auto"/>
        </w:rPr>
        <w:t>complied with each and every requirement, term and condition of this Section 16. Tenant acknowledges and agrees that each requirement, term and condition in this Section 16 is a reasonable requirement, term or condition. It shall be deemed reasonable for Landlord to withhold its consent to a Transfer if any requirement, term or condition of this Section 16 is not complied with or: (a) the Transfer would cause Landlord to be in violation of its obligations under another lease or agreement to which Landlord is a party; (b) in Landlord’s reasonable judgment, a proposed assignee or subtenant has a smaller net worth than Tenant had on the date this Lease was entered into with Tenant or is less able financially to pay the rents due under this Lease as and when they are due and payable; (c) a proposed assignee’s or subtenant’s business will impose a burden on the Project’s parking facilities, Common Areas or utilities that is greater than the burden imposed by Tenant, in Landlord’s reasonable judgment; (d) the terms of a proposed assignment or subletting will allow the proposed assignee or subtenant to exercise a right of renewal, right of expansion, right of first offer, right of first refusal or similar right held by Tenant; (e) a proposed assignee or subtenant refuses to enter into a written assignment agreement or sublease, reasonably satisfactory to Landlord, which provides that it will abide by and assume (if an assignment) all of the terms and conditions of this Lease for the term of any assignment or sublease and containing such other terms and conditions as Landlord reasonably deems necessary; (f) the use of the Premises by the proposed assignee or subtenant will be a use not permitted by this Lease; (g) any guarantor of this Lease refuses to consent to the Transfer or to execute a written agreement reaffirming the guaranty; (h) Tenant is in default as defined in Section 17 at the time of the request; (i) if requested by Landlord, the assignee or subtenant refuses to sign a non-disturbance and attornment agreement in favor of Landlord’s lender; (j) Landlord has sued or been sued by the proposed assignee or subtenant or has otherwise been involved in a legal dispute with the proposed assignee or subtenant; (k) the assignee or subtenant is involved in a business which is not in keeping with the then-current standards of the Project; (l) the proposed assignee or subtenant is an existing tenant of the Project or is a person or entity then negotiating with Landlord for the lease of space in the Project; (m) the assignment or sublease will result in there being more than one subtenant of the Premises; (n) the assignee or subtenant is a governmental or quasi-governmental entity or an agency, department or instrumentality of a governmental or quasi-governmental agency; (o) the assignee or subtenant will use, store or handle Hazardous Materials in or about the Premises of a type, nature, quantity materially different than those used by Tenant and not acceptable to Landlord, in Landlord’s sole discretion or (p) the assignee or subtenant is a person or entity to whom Landlord has agreed not to lease space in the Project pursuant to a lease with another tenant.</w:t>
      </w:r>
    </w:p>
    <w:p>
      <w:pPr>
        <w:spacing w:after="0" w:line="1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Additional Terms and Conditions</w:t>
      </w:r>
      <w:r>
        <w:rPr>
          <w:rFonts w:ascii="Arial" w:cs="Arial" w:eastAsia="Arial" w:hAnsi="Arial"/>
          <w:sz w:val="16"/>
          <w:szCs w:val="16"/>
          <w:color w:val="auto"/>
        </w:rPr>
        <w:t>. The following terms and conditions shall be applicable to any Transfer:</w:t>
      </w:r>
    </w:p>
    <w:p>
      <w:pPr>
        <w:spacing w:after="0" w:line="228" w:lineRule="exact"/>
        <w:rPr>
          <w:sz w:val="20"/>
          <w:szCs w:val="20"/>
          <w:color w:val="auto"/>
        </w:rPr>
      </w:pPr>
    </w:p>
    <w:p>
      <w:pPr>
        <w:jc w:val="both"/>
        <w:ind w:firstLine="1138"/>
        <w:spacing w:after="0" w:line="262" w:lineRule="auto"/>
        <w:tabs>
          <w:tab w:leader="none" w:pos="1602"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Regardless of Landlord’s consent, no Transfer shall release Tenant from Tenant’s obligations hereunder or alter the primary liability of Tenant to pay the rent and other sums due Landlord hereunder and to perform all other obligations to be performed by Tenant hereunder or release any guarantor from its obligations under its guaranty.</w:t>
      </w:r>
    </w:p>
    <w:p>
      <w:pPr>
        <w:spacing w:after="0" w:line="183" w:lineRule="exact"/>
        <w:rPr>
          <w:rFonts w:ascii="Arial" w:cs="Arial" w:eastAsia="Arial" w:hAnsi="Arial"/>
          <w:sz w:val="18"/>
          <w:szCs w:val="18"/>
          <w:b w:val="1"/>
          <w:bCs w:val="1"/>
          <w:color w:val="auto"/>
        </w:rPr>
      </w:pPr>
    </w:p>
    <w:p>
      <w:pPr>
        <w:ind w:left="1580" w:hanging="442"/>
        <w:spacing w:after="0"/>
        <w:tabs>
          <w:tab w:leader="none" w:pos="1580" w:val="left"/>
        </w:tabs>
        <w:numPr>
          <w:ilvl w:val="0"/>
          <w:numId w:val="541"/>
        </w:numPr>
        <w:rPr>
          <w:rFonts w:ascii="Arial" w:cs="Arial" w:eastAsia="Arial" w:hAnsi="Arial"/>
          <w:sz w:val="17"/>
          <w:szCs w:val="17"/>
          <w:b w:val="1"/>
          <w:bCs w:val="1"/>
          <w:color w:val="auto"/>
        </w:rPr>
      </w:pPr>
      <w:r>
        <w:rPr>
          <w:rFonts w:ascii="Arial" w:cs="Arial" w:eastAsia="Arial" w:hAnsi="Arial"/>
          <w:sz w:val="17"/>
          <w:szCs w:val="17"/>
          <w:color w:val="auto"/>
        </w:rPr>
        <w:t>Landlord may accept rent from any person other than Tenant pending approval or disapproval of an assignment or subletting.</w:t>
      </w:r>
    </w:p>
    <w:p>
      <w:pPr>
        <w:spacing w:after="0" w:line="235" w:lineRule="exact"/>
        <w:rPr>
          <w:rFonts w:ascii="Arial" w:cs="Arial" w:eastAsia="Arial" w:hAnsi="Arial"/>
          <w:sz w:val="17"/>
          <w:szCs w:val="17"/>
          <w:b w:val="1"/>
          <w:bCs w:val="1"/>
          <w:color w:val="auto"/>
        </w:rPr>
      </w:pPr>
    </w:p>
    <w:p>
      <w:pPr>
        <w:ind w:firstLine="1138"/>
        <w:spacing w:after="0" w:line="276" w:lineRule="auto"/>
        <w:tabs>
          <w:tab w:leader="none" w:pos="1703"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Neither a delay in the approval or disapproval of a Transfer, nor the acceptance of rent, shall constitute a waiver or estoppel of Landlord’s right to exercise its rights and remedies for the breach of any of the terms or conditions of this Section 16.</w:t>
      </w:r>
    </w:p>
    <w:p>
      <w:pPr>
        <w:spacing w:after="0" w:line="169" w:lineRule="exact"/>
        <w:rPr>
          <w:rFonts w:ascii="Arial" w:cs="Arial" w:eastAsia="Arial" w:hAnsi="Arial"/>
          <w:sz w:val="18"/>
          <w:szCs w:val="18"/>
          <w:b w:val="1"/>
          <w:bCs w:val="1"/>
          <w:color w:val="auto"/>
        </w:rPr>
      </w:pPr>
    </w:p>
    <w:p>
      <w:pPr>
        <w:jc w:val="both"/>
        <w:ind w:firstLine="1138"/>
        <w:spacing w:after="0" w:line="258" w:lineRule="auto"/>
        <w:tabs>
          <w:tab w:leader="none" w:pos="1633" w:val="left"/>
        </w:tabs>
        <w:numPr>
          <w:ilvl w:val="0"/>
          <w:numId w:val="541"/>
        </w:numPr>
        <w:rPr>
          <w:rFonts w:ascii="Arial" w:cs="Arial" w:eastAsia="Arial" w:hAnsi="Arial"/>
          <w:sz w:val="18"/>
          <w:szCs w:val="18"/>
          <w:b w:val="1"/>
          <w:bCs w:val="1"/>
          <w:color w:val="auto"/>
        </w:rPr>
      </w:pPr>
      <w:r>
        <w:rPr>
          <w:rFonts w:ascii="Arial" w:cs="Arial" w:eastAsia="Arial" w:hAnsi="Arial"/>
          <w:sz w:val="18"/>
          <w:szCs w:val="18"/>
          <w:color w:val="auto"/>
        </w:rPr>
        <w:t>The consent by Landlord to any Transfer shall not constitute a consent to any subsequent Transfer by Tenant or to any subsequent or successive Transfer by an assignee or subtenant. However, Landlord may consent to subsequent Transfers or any amendments or modifications thereto without notifying Tenant or anyone else liable on the Lease and without obtaining their consent, and such action shall not relieve such persons from liability under this Lease.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72" w:name="page573"/>
    <w:bookmarkEnd w:id="572"/>
    <w:p>
      <w:pPr>
        <w:jc w:val="both"/>
        <w:ind w:firstLine="1138"/>
        <w:spacing w:after="0" w:line="262" w:lineRule="auto"/>
        <w:tabs>
          <w:tab w:leader="none" w:pos="1556"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In the event of any default under this Lease, Landlord may proceed directly against Tenant, any guarantors or anyone else responsible for the performance of this Lease, including any subtenant or assignee, without first exhausting Landlord’s remedies against any other person or entity responsible therefor to Landlord, or any security held by Landlord.</w:t>
      </w:r>
    </w:p>
    <w:p>
      <w:pPr>
        <w:spacing w:after="0" w:line="183" w:lineRule="exact"/>
        <w:rPr>
          <w:rFonts w:ascii="Arial" w:cs="Arial" w:eastAsia="Arial" w:hAnsi="Arial"/>
          <w:sz w:val="18"/>
          <w:szCs w:val="18"/>
          <w:b w:val="1"/>
          <w:bCs w:val="1"/>
          <w:color w:val="auto"/>
        </w:rPr>
      </w:pPr>
    </w:p>
    <w:p>
      <w:pPr>
        <w:ind w:firstLine="1138"/>
        <w:spacing w:after="0" w:line="276" w:lineRule="auto"/>
        <w:tabs>
          <w:tab w:leader="none" w:pos="1547"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Landlord’s written consent to any Transfer by Tenant shall not constitute an acknowledgment that no default then exists under this Lease nor shall such consent be deemed a waiver of any then-existing default.</w:t>
      </w:r>
    </w:p>
    <w:p>
      <w:pPr>
        <w:spacing w:after="0" w:line="169" w:lineRule="exact"/>
        <w:rPr>
          <w:rFonts w:ascii="Arial" w:cs="Arial" w:eastAsia="Arial" w:hAnsi="Arial"/>
          <w:sz w:val="18"/>
          <w:szCs w:val="18"/>
          <w:b w:val="1"/>
          <w:bCs w:val="1"/>
          <w:color w:val="auto"/>
        </w:rPr>
      </w:pPr>
    </w:p>
    <w:p>
      <w:pPr>
        <w:ind w:firstLine="1138"/>
        <w:spacing w:after="0" w:line="276" w:lineRule="auto"/>
        <w:tabs>
          <w:tab w:leader="none" w:pos="1603"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The discovery of the fact that any financial statement relied upon by Landlord in giving its consent to an assignment or subletting was materially false shall, at Landlord’s election, render Landlord’s consent null and void.</w:t>
      </w:r>
    </w:p>
    <w:p>
      <w:pPr>
        <w:spacing w:after="0" w:line="169" w:lineRule="exact"/>
        <w:rPr>
          <w:rFonts w:ascii="Arial" w:cs="Arial" w:eastAsia="Arial" w:hAnsi="Arial"/>
          <w:sz w:val="18"/>
          <w:szCs w:val="18"/>
          <w:b w:val="1"/>
          <w:bCs w:val="1"/>
          <w:color w:val="auto"/>
        </w:rPr>
      </w:pPr>
    </w:p>
    <w:p>
      <w:pPr>
        <w:ind w:left="1580" w:hanging="442"/>
        <w:spacing w:after="0"/>
        <w:tabs>
          <w:tab w:leader="none" w:pos="158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Landlord shall not be liable under this Lease or under any sublease to any subtenant.</w:t>
      </w:r>
    </w:p>
    <w:p>
      <w:pPr>
        <w:spacing w:after="0" w:line="223" w:lineRule="exact"/>
        <w:rPr>
          <w:rFonts w:ascii="Arial" w:cs="Arial" w:eastAsia="Arial" w:hAnsi="Arial"/>
          <w:sz w:val="18"/>
          <w:szCs w:val="18"/>
          <w:b w:val="1"/>
          <w:bCs w:val="1"/>
          <w:color w:val="auto"/>
        </w:rPr>
      </w:pPr>
    </w:p>
    <w:p>
      <w:pPr>
        <w:ind w:left="1540" w:hanging="402"/>
        <w:spacing w:after="0"/>
        <w:tabs>
          <w:tab w:leader="none" w:pos="1540"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No assignment or sublease may be modified or amended without Landlord’s prior written consent.</w:t>
      </w:r>
    </w:p>
    <w:p>
      <w:pPr>
        <w:spacing w:after="0" w:line="223" w:lineRule="exact"/>
        <w:rPr>
          <w:rFonts w:ascii="Arial" w:cs="Arial" w:eastAsia="Arial" w:hAnsi="Arial"/>
          <w:sz w:val="18"/>
          <w:szCs w:val="18"/>
          <w:b w:val="1"/>
          <w:bCs w:val="1"/>
          <w:color w:val="auto"/>
        </w:rPr>
      </w:pPr>
    </w:p>
    <w:p>
      <w:pPr>
        <w:jc w:val="both"/>
        <w:ind w:firstLine="1138"/>
        <w:spacing w:after="0" w:line="258" w:lineRule="auto"/>
        <w:tabs>
          <w:tab w:leader="none" w:pos="1542"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Any assignee of, or subtenant under, this Lease shall, by reason of accepting such assignment or entering into such sublease, be deemed, for the benefit of Landlord, to have assumed and agreed to conform and comply with each and every term, covenant, condition and obligation herein to be observed or performed by Tenant during the term of said assignment or sublease, other than such obligations as are contrary or inconsistent with provisions of an assignment or sublease to which Landlord has specifically consented in writing.</w:t>
      </w:r>
    </w:p>
    <w:p>
      <w:pPr>
        <w:spacing w:after="0" w:line="186" w:lineRule="exact"/>
        <w:rPr>
          <w:rFonts w:ascii="Arial" w:cs="Arial" w:eastAsia="Arial" w:hAnsi="Arial"/>
          <w:sz w:val="18"/>
          <w:szCs w:val="18"/>
          <w:b w:val="1"/>
          <w:bCs w:val="1"/>
          <w:color w:val="auto"/>
        </w:rPr>
      </w:pPr>
    </w:p>
    <w:p>
      <w:pPr>
        <w:ind w:firstLine="1138"/>
        <w:spacing w:after="0" w:line="276" w:lineRule="auto"/>
        <w:tabs>
          <w:tab w:leader="none" w:pos="1631" w:val="left"/>
        </w:tabs>
        <w:numPr>
          <w:ilvl w:val="0"/>
          <w:numId w:val="542"/>
        </w:numPr>
        <w:rPr>
          <w:rFonts w:ascii="Arial" w:cs="Arial" w:eastAsia="Arial" w:hAnsi="Arial"/>
          <w:sz w:val="18"/>
          <w:szCs w:val="18"/>
          <w:b w:val="1"/>
          <w:bCs w:val="1"/>
          <w:color w:val="auto"/>
        </w:rPr>
      </w:pPr>
      <w:r>
        <w:rPr>
          <w:rFonts w:ascii="Arial" w:cs="Arial" w:eastAsia="Arial" w:hAnsi="Arial"/>
          <w:sz w:val="18"/>
          <w:szCs w:val="18"/>
          <w:color w:val="auto"/>
        </w:rPr>
        <w:t>At Landlord’s request, Tenant shall deliver to Landlord, Landlord’s reasonable standard consent to assignment or consent to sublease agreement, as applicable, executed by Tenant, the assignee and the subtenant, as applicable.</w:t>
      </w:r>
    </w:p>
    <w:p>
      <w:pPr>
        <w:spacing w:after="0" w:line="166" w:lineRule="exact"/>
        <w:rPr>
          <w:sz w:val="20"/>
          <w:szCs w:val="20"/>
          <w:color w:val="auto"/>
        </w:rPr>
      </w:pPr>
    </w:p>
    <w:p>
      <w:pPr>
        <w:ind w:firstLine="646"/>
        <w:spacing w:after="0" w:line="311" w:lineRule="auto"/>
        <w:rPr>
          <w:sz w:val="20"/>
          <w:szCs w:val="20"/>
          <w:color w:val="auto"/>
        </w:rPr>
      </w:pPr>
      <w:r>
        <w:rPr>
          <w:rFonts w:ascii="Arial" w:cs="Arial" w:eastAsia="Arial" w:hAnsi="Arial"/>
          <w:sz w:val="17"/>
          <w:szCs w:val="17"/>
          <w:b w:val="1"/>
          <w:bCs w:val="1"/>
          <w:color w:val="auto"/>
        </w:rPr>
        <w:t>16.4 Additional Terms and Conditions Applicable to Subletting</w:t>
      </w:r>
      <w:r>
        <w:rPr>
          <w:rFonts w:ascii="Arial" w:cs="Arial" w:eastAsia="Arial" w:hAnsi="Arial"/>
          <w:sz w:val="17"/>
          <w:szCs w:val="17"/>
          <w:color w:val="auto"/>
        </w:rPr>
        <w:t>. The following terms and conditions shall apply to any subletting by Tenant of</w:t>
      </w:r>
      <w:r>
        <w:rPr>
          <w:rFonts w:ascii="Arial" w:cs="Arial" w:eastAsia="Arial" w:hAnsi="Arial"/>
          <w:sz w:val="17"/>
          <w:szCs w:val="17"/>
          <w:b w:val="1"/>
          <w:bCs w:val="1"/>
          <w:color w:val="auto"/>
        </w:rPr>
        <w:t xml:space="preserve"> </w:t>
      </w:r>
      <w:r>
        <w:rPr>
          <w:rFonts w:ascii="Arial" w:cs="Arial" w:eastAsia="Arial" w:hAnsi="Arial"/>
          <w:sz w:val="17"/>
          <w:szCs w:val="17"/>
          <w:color w:val="auto"/>
        </w:rPr>
        <w:t>all or any part of the Premises and shall be deemed included in all subleases under this Lease whether or not expressly incorporated therein:</w:t>
      </w:r>
    </w:p>
    <w:p>
      <w:pPr>
        <w:spacing w:after="0" w:line="143" w:lineRule="exact"/>
        <w:rPr>
          <w:sz w:val="20"/>
          <w:szCs w:val="20"/>
          <w:color w:val="auto"/>
        </w:rPr>
      </w:pPr>
    </w:p>
    <w:p>
      <w:pPr>
        <w:jc w:val="both"/>
        <w:ind w:firstLine="1138"/>
        <w:spacing w:after="0" w:line="268" w:lineRule="auto"/>
        <w:tabs>
          <w:tab w:leader="none" w:pos="1596" w:val="left"/>
        </w:tabs>
        <w:numPr>
          <w:ilvl w:val="0"/>
          <w:numId w:val="543"/>
        </w:numPr>
        <w:rPr>
          <w:rFonts w:ascii="Arial" w:cs="Arial" w:eastAsia="Arial" w:hAnsi="Arial"/>
          <w:sz w:val="17"/>
          <w:szCs w:val="17"/>
          <w:b w:val="1"/>
          <w:bCs w:val="1"/>
          <w:color w:val="auto"/>
        </w:rPr>
      </w:pPr>
      <w:r>
        <w:rPr>
          <w:rFonts w:ascii="Arial" w:cs="Arial" w:eastAsia="Arial" w:hAnsi="Arial"/>
          <w:sz w:val="17"/>
          <w:szCs w:val="17"/>
          <w:color w:val="auto"/>
        </w:rPr>
        <w:t xml:space="preserve">Tenant hereby absolutely and unconditionally assigns and transfers to Landlord all of Tenant’s interest in all rentals and income arising from any sublease entered into by Tenant, and Landlord may collect such rent and income and apply same toward Tenant’s obligations under this Lease;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until a default shall occur in the performance of Tenant’s obligations which remains uncured after expiration of the applicable cure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under this Lease, Tenant may receive, collect and enjoy the rents accruing under such sublease. Landlord shall not, by reason of this or any other assignment of such rents to Landlord nor by reason of the collection of the rents from a subtenant, be deemed to have assumed or recognized any sublease or to be liable to the subtenant for any failure of Tenant to perform and comply with any of Tenant’s obligations to such subtenant under such sublease, including, but not limited to, Tenant’s obligation to return any security deposit. Tenant hereby irrevocably authorizes and directs any such subtenant, upon receipt of a written notice from Landlord stating that a default exists in the performance of Tenant’s obligations under this Lease, to pay to Landlord the rents due as they become due under the sublease. Tenant agrees that such subtenant shall have the right to rely upon any such statement and request from Landlord, and that such subtenant shall pay such rents to Landlord without any obligation or right to inquire as to whether such default exists and notwithstanding any notice or claim from Tenant to the contrary.</w:t>
      </w:r>
    </w:p>
    <w:p>
      <w:pPr>
        <w:spacing w:after="0" w:line="182" w:lineRule="exact"/>
        <w:rPr>
          <w:rFonts w:ascii="Arial" w:cs="Arial" w:eastAsia="Arial" w:hAnsi="Arial"/>
          <w:sz w:val="17"/>
          <w:szCs w:val="17"/>
          <w:b w:val="1"/>
          <w:bCs w:val="1"/>
          <w:color w:val="auto"/>
        </w:rPr>
      </w:pPr>
    </w:p>
    <w:p>
      <w:pPr>
        <w:jc w:val="both"/>
        <w:ind w:firstLine="1138"/>
        <w:spacing w:after="0" w:line="256" w:lineRule="auto"/>
        <w:tabs>
          <w:tab w:leader="none" w:pos="1653" w:val="left"/>
        </w:tabs>
        <w:numPr>
          <w:ilvl w:val="0"/>
          <w:numId w:val="543"/>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Tenant shall default in the performance of its obligations and fail to cure such default within the applicable cure period under this Lease, Landlord, at its option and without any obligation to do so, may require any subtenant to attorn to Landlord, in which event Landlord shall undertake the obligations of Tenant under such sublease from the time of the exercise of said option to the termination of such sublease;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Landlord shall not be liable for any prepaid rents or security deposit paid by such subtenant to Tenant or for any other prior defaults of Tenant under such sublease.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73" w:name="page574"/>
    <w:bookmarkEnd w:id="573"/>
    <w:p>
      <w:pPr>
        <w:jc w:val="both"/>
        <w:ind w:firstLine="646"/>
        <w:spacing w:after="0" w:line="286" w:lineRule="auto"/>
        <w:rPr>
          <w:sz w:val="20"/>
          <w:szCs w:val="20"/>
          <w:color w:val="auto"/>
        </w:rPr>
      </w:pPr>
      <w:r>
        <w:rPr>
          <w:rFonts w:ascii="Arial" w:cs="Arial" w:eastAsia="Arial" w:hAnsi="Arial"/>
          <w:sz w:val="16"/>
          <w:szCs w:val="16"/>
          <w:b w:val="1"/>
          <w:bCs w:val="1"/>
          <w:color w:val="auto"/>
        </w:rPr>
        <w:t>16.5 Transfer Premium from Assignment or Subletting</w:t>
      </w:r>
      <w:r>
        <w:rPr>
          <w:rFonts w:ascii="Arial" w:cs="Arial" w:eastAsia="Arial" w:hAnsi="Arial"/>
          <w:sz w:val="16"/>
          <w:szCs w:val="16"/>
          <w:color w:val="auto"/>
        </w:rPr>
        <w:t>. Landlord shall be entitled to receive from Tenant (as and when received by Tenant), as</w:t>
      </w:r>
      <w:r>
        <w:rPr>
          <w:rFonts w:ascii="Arial" w:cs="Arial" w:eastAsia="Arial" w:hAnsi="Arial"/>
          <w:sz w:val="16"/>
          <w:szCs w:val="16"/>
          <w:b w:val="1"/>
          <w:bCs w:val="1"/>
          <w:color w:val="auto"/>
        </w:rPr>
        <w:t xml:space="preserve"> </w:t>
      </w:r>
      <w:r>
        <w:rPr>
          <w:rFonts w:ascii="Arial" w:cs="Arial" w:eastAsia="Arial" w:hAnsi="Arial"/>
          <w:sz w:val="16"/>
          <w:szCs w:val="16"/>
          <w:color w:val="auto"/>
        </w:rPr>
        <w:t>an item of additional rent, one-half of all amounts received by Tenant from the subtenant or assignee (including all Base Rent, additional rent or other consideration of any type whatsoever payable by the assignee or subtenant) in excess of the Base Rent and additional rent payable by Tenant under this Lease after deduction of all reasonable costs and expenses incurred by Tenant in connection with such Transfer for brokerage commission, legal fees, improvement costs and amounts paid to Landlord in connection with a request for consent (the “</w:t>
      </w:r>
      <w:r>
        <w:rPr>
          <w:rFonts w:ascii="Arial" w:cs="Arial" w:eastAsia="Arial" w:hAnsi="Arial"/>
          <w:sz w:val="16"/>
          <w:szCs w:val="16"/>
          <w:b w:val="1"/>
          <w:bCs w:val="1"/>
          <w:i w:val="1"/>
          <w:iCs w:val="1"/>
          <w:color w:val="auto"/>
        </w:rPr>
        <w:t>Transfer Premium</w:t>
      </w:r>
      <w:r>
        <w:rPr>
          <w:rFonts w:ascii="Arial" w:cs="Arial" w:eastAsia="Arial" w:hAnsi="Arial"/>
          <w:sz w:val="16"/>
          <w:szCs w:val="16"/>
          <w:color w:val="auto"/>
        </w:rPr>
        <w:t>”). If less than all of the Premises is subleased, for purposes of calculating the Transfer Premium, the Base Rent and the additional rent due under this Lease shall be allocated to the subleased premises on a per-leasable-square-foot basis (</w:t>
      </w:r>
      <w:r>
        <w:rPr>
          <w:rFonts w:ascii="Arial" w:cs="Arial" w:eastAsia="Arial" w:hAnsi="Arial"/>
          <w:sz w:val="16"/>
          <w:szCs w:val="16"/>
          <w:i w:val="1"/>
          <w:iCs w:val="1"/>
          <w:color w:val="auto"/>
        </w:rPr>
        <w:t>e.g.</w:t>
      </w:r>
      <w:r>
        <w:rPr>
          <w:rFonts w:ascii="Arial" w:cs="Arial" w:eastAsia="Arial" w:hAnsi="Arial"/>
          <w:sz w:val="16"/>
          <w:szCs w:val="16"/>
          <w:color w:val="auto"/>
        </w:rPr>
        <w:t>, if one-half of the Premises is subleased, for purposes of determining the amount of the Transfer Premium, one-half of the Base Rent and additional rent due under this Lease would be allocated to the subleased premises, and this amount would be subtracted from the base rent, additional rent and other monies payable to Tenant under the sublease). The term “</w:t>
      </w:r>
      <w:r>
        <w:rPr>
          <w:rFonts w:ascii="Arial" w:cs="Arial" w:eastAsia="Arial" w:hAnsi="Arial"/>
          <w:sz w:val="16"/>
          <w:szCs w:val="16"/>
          <w:b w:val="1"/>
          <w:bCs w:val="1"/>
          <w:i w:val="1"/>
          <w:iCs w:val="1"/>
          <w:color w:val="auto"/>
        </w:rPr>
        <w:t>Transfer Premium</w:t>
      </w:r>
      <w:r>
        <w:rPr>
          <w:rFonts w:ascii="Arial" w:cs="Arial" w:eastAsia="Arial" w:hAnsi="Arial"/>
          <w:sz w:val="16"/>
          <w:szCs w:val="16"/>
          <w:color w:val="auto"/>
        </w:rPr>
        <w:t>” shall also include, but not be limited to, key money and bonus money paid by the assignee or subtenant to Tenant in connection with such Transfer, and any payment in excess of fair-market value (i) for services rendered by Tenant to the assignee or subtenant or (ii) for assets, fixtures, inventory, equipment or furniture transferred by Tenant to the assignee or subtenant in connection with such Transfer. Landlord and Tenant agree that the foregoing Transfer Premium is reasonable.</w:t>
      </w:r>
    </w:p>
    <w:p>
      <w:pPr>
        <w:spacing w:after="0" w:line="168"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16.6 Landlord’s Option to Recapture Space</w:t>
      </w:r>
      <w:r>
        <w:rPr>
          <w:rFonts w:ascii="Arial" w:cs="Arial" w:eastAsia="Arial" w:hAnsi="Arial"/>
          <w:sz w:val="17"/>
          <w:szCs w:val="17"/>
          <w:color w:val="auto"/>
        </w:rPr>
        <w:t>. Notwithstanding anything to the contrary contained in this Section 16, except in connection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Transfer, Landlord shall have the option, by giving written notice to Tenant within fifteen (15) days after receipt of any request by Tenant to assign this Lease or to sublease space in the Premises, to terminate this Lease with respect to said space as of the proposed effective date of the proposed assignment or sublease. In the event of a recapture by Landlord, if this Lease shall be canceled with respect to less than the entire Premises, the Base Rent, Tenant’s Percentage Share of Operating Expenses and the number of parking spaces Tenant may use shall be adjusted on the basis of the number of rentable square feet retained by Tenant in proportion to the number of rentable square feet contained in the original Premises, and this Lease as so amended shall continue thereafter in full force and effect, and upon request of either party, the parties shall execute written confirmation of same. If Landlord recaptures only a portion of the Premises, it shall construct and erect at its sole cost such partitions as may be required to sever the space to be retained by Tenant from the space recaptured by Landlord. Landlord may, at its option, lease any recaptured portion of the Premises to the proposed subtenant or assignee or to any other person or entity without liability to Tenant. Tenant shall not be entitled to any portion of the profit, if any, Landlord may realize on account of such termination and reletting. Tenant acknowledges that the purpose of this section is to enable Landlord to receive profit in the form of higher rent or other consideration to be received from an assignee or subtenant, to give Landlord the ability to meet additional space requirements of other tenants of the Project and to permit Landlord to control the leasing of space in the Project. Tenant acknowledges and agrees that the requirements of this section are commercially reasonable and are consistent with the intentions of Landlord and Tenant.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74" w:name="page575"/>
    <w:bookmarkEnd w:id="574"/>
    <w:p>
      <w:pPr>
        <w:jc w:val="both"/>
        <w:ind w:firstLine="646"/>
        <w:spacing w:after="0" w:line="260" w:lineRule="auto"/>
        <w:rPr>
          <w:sz w:val="20"/>
          <w:szCs w:val="20"/>
          <w:color w:val="auto"/>
        </w:rPr>
      </w:pPr>
      <w:r>
        <w:rPr>
          <w:rFonts w:ascii="Arial" w:cs="Arial" w:eastAsia="Arial" w:hAnsi="Arial"/>
          <w:sz w:val="18"/>
          <w:szCs w:val="18"/>
          <w:b w:val="1"/>
          <w:bCs w:val="1"/>
          <w:color w:val="auto"/>
        </w:rPr>
        <w:t>16.7 Landlord’s Expenses</w:t>
      </w:r>
      <w:r>
        <w:rPr>
          <w:rFonts w:ascii="Arial" w:cs="Arial" w:eastAsia="Arial" w:hAnsi="Arial"/>
          <w:sz w:val="18"/>
          <w:szCs w:val="18"/>
          <w:color w:val="auto"/>
        </w:rPr>
        <w:t>. In the event Tenant shall assign this Lease or sublet the Premises or request the consent of Landlord to any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then Tenant shall pay (a) $1,500 to Landlord to compensate Landlord for its internal administrative costs in processing the request plus (b) Landlord’s reasonable out-of-pocket costs and expenses incurred in connection therewith, including, but not limited to, attorneys’, architects’, accountants’, engineers’ or other consultants’ fees.</w:t>
      </w:r>
    </w:p>
    <w:p>
      <w:pPr>
        <w:spacing w:after="0" w:line="180" w:lineRule="exact"/>
        <w:rPr>
          <w:sz w:val="20"/>
          <w:szCs w:val="20"/>
          <w:color w:val="auto"/>
        </w:rPr>
      </w:pPr>
    </w:p>
    <w:p>
      <w:pPr>
        <w:ind w:left="660" w:hanging="652"/>
        <w:spacing w:after="0"/>
        <w:tabs>
          <w:tab w:leader="none" w:pos="6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 R</w:t>
      </w:r>
      <w:r>
        <w:rPr>
          <w:rFonts w:ascii="Arial" w:cs="Arial" w:eastAsia="Arial" w:hAnsi="Arial"/>
          <w:sz w:val="12"/>
          <w:szCs w:val="12"/>
          <w:b w:val="1"/>
          <w:bCs w:val="1"/>
          <w:color w:val="auto"/>
        </w:rPr>
        <w:t>EMEDIES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17.1 Default by Tenant</w:t>
      </w:r>
      <w:r>
        <w:rPr>
          <w:rFonts w:ascii="Arial" w:cs="Arial" w:eastAsia="Arial" w:hAnsi="Arial"/>
          <w:sz w:val="18"/>
          <w:szCs w:val="18"/>
          <w:color w:val="auto"/>
        </w:rPr>
        <w:t>. Landlord and Tenant hereby agree that the occurrence of any one or more of the following events is a default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and that said default shall give Landlord the rights described in Section 17.2. Landlord or Landlord’s authorized agent shall have the right to execute and to deliver any notice of default, notice to pay rent or quit or any other notice Landlord gives Tenant.</w:t>
      </w:r>
    </w:p>
    <w:p>
      <w:pPr>
        <w:spacing w:after="0" w:line="180" w:lineRule="exact"/>
        <w:rPr>
          <w:sz w:val="20"/>
          <w:szCs w:val="20"/>
          <w:color w:val="auto"/>
        </w:rPr>
      </w:pPr>
    </w:p>
    <w:p>
      <w:pPr>
        <w:jc w:val="both"/>
        <w:ind w:firstLine="1138"/>
        <w:spacing w:after="0" w:line="258" w:lineRule="auto"/>
        <w:tabs>
          <w:tab w:leader="none" w:pos="1574"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Tenant’s failure to make any payment of Base Rent, Tenant’s Percentage Share of Operating Expenses or any other payment required to be made by Tenant hereunder, as and when due, where such failure shall continue for a period of three (3) days after written notice thereof from Landlord to Tenant. In the event that Landlord serves Tenant with a notice to pay rent or quit pursuant to applicable unlawful detainer statutes, such notice shall also constitute the notice required by this Section 17.1(a).</w:t>
      </w:r>
    </w:p>
    <w:p>
      <w:pPr>
        <w:spacing w:after="0" w:line="186" w:lineRule="exact"/>
        <w:rPr>
          <w:rFonts w:ascii="Arial" w:cs="Arial" w:eastAsia="Arial" w:hAnsi="Arial"/>
          <w:sz w:val="18"/>
          <w:szCs w:val="18"/>
          <w:b w:val="1"/>
          <w:bCs w:val="1"/>
          <w:color w:val="auto"/>
        </w:rPr>
      </w:pPr>
    </w:p>
    <w:p>
      <w:pPr>
        <w:ind w:firstLine="1138"/>
        <w:spacing w:after="0" w:line="276" w:lineRule="auto"/>
        <w:tabs>
          <w:tab w:leader="none" w:pos="1635"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The abandonment of the Premises by Tenant coupled with the nonpayment of rent, in which event Landlord shall not be obligated to give any notice of default to Tenant.</w:t>
      </w:r>
    </w:p>
    <w:p>
      <w:pPr>
        <w:spacing w:after="0" w:line="169" w:lineRule="exact"/>
        <w:rPr>
          <w:rFonts w:ascii="Arial" w:cs="Arial" w:eastAsia="Arial" w:hAnsi="Arial"/>
          <w:sz w:val="18"/>
          <w:szCs w:val="18"/>
          <w:b w:val="1"/>
          <w:bCs w:val="1"/>
          <w:color w:val="auto"/>
        </w:rPr>
      </w:pPr>
    </w:p>
    <w:p>
      <w:pPr>
        <w:jc w:val="both"/>
        <w:ind w:firstLine="1138"/>
        <w:spacing w:after="0" w:line="258" w:lineRule="auto"/>
        <w:tabs>
          <w:tab w:leader="none" w:pos="1602"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The failure of Tenant to comply with any of its obligations under Sections 10, 16, 19, 23, 25, 27 and 28 where Tenant fails to comply with its obligations or fails to cure any earlier breach of such obligation within ten (10) days following written notice from Landlord to Tenant. In the event Landlord serves Tenant with a notice to quit or any other notice pursuant to applicable unlawful detainer statutes, said notice shall also constitute the notice required by this Section 17.1(c).</w:t>
      </w:r>
    </w:p>
    <w:p>
      <w:pPr>
        <w:spacing w:after="0" w:line="186" w:lineRule="exact"/>
        <w:rPr>
          <w:rFonts w:ascii="Arial" w:cs="Arial" w:eastAsia="Arial" w:hAnsi="Arial"/>
          <w:sz w:val="18"/>
          <w:szCs w:val="18"/>
          <w:b w:val="1"/>
          <w:bCs w:val="1"/>
          <w:color w:val="auto"/>
        </w:rPr>
      </w:pPr>
    </w:p>
    <w:p>
      <w:pPr>
        <w:jc w:val="both"/>
        <w:ind w:firstLine="1138"/>
        <w:spacing w:after="0" w:line="272" w:lineRule="auto"/>
        <w:tabs>
          <w:tab w:leader="none" w:pos="1585" w:val="left"/>
        </w:tabs>
        <w:numPr>
          <w:ilvl w:val="0"/>
          <w:numId w:val="545"/>
        </w:numPr>
        <w:rPr>
          <w:rFonts w:ascii="Arial" w:cs="Arial" w:eastAsia="Arial" w:hAnsi="Arial"/>
          <w:sz w:val="17"/>
          <w:szCs w:val="17"/>
          <w:b w:val="1"/>
          <w:bCs w:val="1"/>
          <w:color w:val="auto"/>
        </w:rPr>
      </w:pPr>
      <w:r>
        <w:rPr>
          <w:rFonts w:ascii="Arial" w:cs="Arial" w:eastAsia="Arial" w:hAnsi="Arial"/>
          <w:sz w:val="17"/>
          <w:szCs w:val="17"/>
          <w:color w:val="auto"/>
        </w:rPr>
        <w:t xml:space="preserve">The failure by Tenant to observe or perform any of the covenants, conditions or provisions of this Lease to be observed or performed by Tenant (other than those referenced in Sections 17.1(a), (b) and (c), above), where such failure shall continue for a period of ten (10) days after written notice thereof from Landlord to Tenant;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nature of Tenant’s nonperformance is such that more than ten (10) days are reasonably required for its cure, then Tenant shall not be deemed to be in default if Tenant commences such cure within said ten (10) day period and thereafter diligently pursues such cure to completion. In the event that Landlord serves Tenant with a notice to quit or any other notice pursuant to applicable unlawful detainer statutes, said notice shall also constitute the notice required by this Section 17.1(d).</w:t>
      </w:r>
    </w:p>
    <w:p>
      <w:pPr>
        <w:spacing w:after="0" w:line="178" w:lineRule="exact"/>
        <w:rPr>
          <w:rFonts w:ascii="Arial" w:cs="Arial" w:eastAsia="Arial" w:hAnsi="Arial"/>
          <w:sz w:val="17"/>
          <w:szCs w:val="17"/>
          <w:b w:val="1"/>
          <w:bCs w:val="1"/>
          <w:color w:val="auto"/>
        </w:rPr>
      </w:pPr>
    </w:p>
    <w:p>
      <w:pPr>
        <w:jc w:val="both"/>
        <w:ind w:firstLine="1138"/>
        <w:spacing w:after="0" w:line="271" w:lineRule="auto"/>
        <w:tabs>
          <w:tab w:leader="none" w:pos="1592" w:val="left"/>
        </w:tabs>
        <w:numPr>
          <w:ilvl w:val="0"/>
          <w:numId w:val="545"/>
        </w:numPr>
        <w:rPr>
          <w:rFonts w:ascii="Arial" w:cs="Arial" w:eastAsia="Arial" w:hAnsi="Arial"/>
          <w:sz w:val="17"/>
          <w:szCs w:val="17"/>
          <w:b w:val="1"/>
          <w:bCs w:val="1"/>
          <w:color w:val="auto"/>
        </w:rPr>
      </w:pPr>
      <w:r>
        <w:rPr>
          <w:rFonts w:ascii="Arial" w:cs="Arial" w:eastAsia="Arial" w:hAnsi="Arial"/>
          <w:sz w:val="17"/>
          <w:szCs w:val="17"/>
          <w:color w:val="auto"/>
        </w:rPr>
        <w:t>(i) The making by Tenant or any guarantor of Tenant’s obligations hereunder of any general arrangement or general assignment for the benefit of creditors; (ii) Tenant or any guarantor becoming a “</w:t>
      </w:r>
      <w:r>
        <w:rPr>
          <w:rFonts w:ascii="Arial" w:cs="Arial" w:eastAsia="Arial" w:hAnsi="Arial"/>
          <w:sz w:val="17"/>
          <w:szCs w:val="17"/>
          <w:b w:val="1"/>
          <w:bCs w:val="1"/>
          <w:i w:val="1"/>
          <w:iCs w:val="1"/>
          <w:color w:val="auto"/>
        </w:rPr>
        <w:t>debtor</w:t>
      </w:r>
      <w:r>
        <w:rPr>
          <w:rFonts w:ascii="Arial" w:cs="Arial" w:eastAsia="Arial" w:hAnsi="Arial"/>
          <w:sz w:val="17"/>
          <w:szCs w:val="17"/>
          <w:color w:val="auto"/>
        </w:rPr>
        <w:t>” as defined in 11 U.S.C. 101 or any successor statute thereto (unless, in the case of a petition filed against Tenant or guarantor, the same is dismissed within sixty (60) days); (iii) the appointment of a trustee or receiver to take possession of substantially all of Tenant’s assets located at the Premises or of Tenant’s interest in this Lease, where possession is not restored to Tenant within thirty (30) days; (iv) the attachment, execution or other judicial seizure of substantially all of Tenant’s assets located at the Premises or of Tenant’s interest in this Lease, where such seizure is not discharged within thirty (30) days; or (v) the insolvency of Tenant. In the event that any provision of this Section 17.1(e) is unenforceable under applicable Legal Requirements, such provision shall be of no force or effect.</w:t>
      </w:r>
    </w:p>
    <w:p>
      <w:pPr>
        <w:spacing w:after="0" w:line="177" w:lineRule="exact"/>
        <w:rPr>
          <w:rFonts w:ascii="Arial" w:cs="Arial" w:eastAsia="Arial" w:hAnsi="Arial"/>
          <w:sz w:val="17"/>
          <w:szCs w:val="17"/>
          <w:b w:val="1"/>
          <w:bCs w:val="1"/>
          <w:color w:val="auto"/>
        </w:rPr>
      </w:pPr>
    </w:p>
    <w:p>
      <w:pPr>
        <w:jc w:val="both"/>
        <w:ind w:firstLine="1138"/>
        <w:spacing w:after="0" w:line="262" w:lineRule="auto"/>
        <w:tabs>
          <w:tab w:leader="none" w:pos="1560" w:val="left"/>
        </w:tabs>
        <w:numPr>
          <w:ilvl w:val="0"/>
          <w:numId w:val="545"/>
        </w:numPr>
        <w:rPr>
          <w:rFonts w:ascii="Arial" w:cs="Arial" w:eastAsia="Arial" w:hAnsi="Arial"/>
          <w:sz w:val="18"/>
          <w:szCs w:val="18"/>
          <w:b w:val="1"/>
          <w:bCs w:val="1"/>
          <w:color w:val="auto"/>
        </w:rPr>
      </w:pPr>
      <w:r>
        <w:rPr>
          <w:rFonts w:ascii="Arial" w:cs="Arial" w:eastAsia="Arial" w:hAnsi="Arial"/>
          <w:sz w:val="18"/>
          <w:szCs w:val="18"/>
          <w:color w:val="auto"/>
        </w:rPr>
        <w:t>The discovery by Landlord that any financial statement, representation or warranty given to Landlord by Tenant, or by any guarantor of Tenant’s obligations hereunder, was materially false at the time given. Tenant acknowledges that Landlord has entered into this Lease in material reliance on such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75" w:name="page576"/>
    <w:bookmarkEnd w:id="575"/>
    <w:p>
      <w:pPr>
        <w:ind w:firstLine="1138"/>
        <w:spacing w:after="0" w:line="276" w:lineRule="auto"/>
        <w:tabs>
          <w:tab w:leader="none" w:pos="1649" w:val="left"/>
        </w:tabs>
        <w:numPr>
          <w:ilvl w:val="0"/>
          <w:numId w:val="546"/>
        </w:numPr>
        <w:rPr>
          <w:rFonts w:ascii="Arial" w:cs="Arial" w:eastAsia="Arial" w:hAnsi="Arial"/>
          <w:sz w:val="18"/>
          <w:szCs w:val="18"/>
          <w:b w:val="1"/>
          <w:bCs w:val="1"/>
          <w:color w:val="auto"/>
        </w:rPr>
      </w:pPr>
      <w:r>
        <w:rPr>
          <w:rFonts w:ascii="Arial" w:cs="Arial" w:eastAsia="Arial" w:hAnsi="Arial"/>
          <w:sz w:val="18"/>
          <w:szCs w:val="18"/>
          <w:color w:val="auto"/>
        </w:rPr>
        <w:t>If Tenant is a corporation, partnership, limited liability company or similar entity, the dissolution or liquidation of Tenant (except in connection with a Permitted Transfer).</w:t>
      </w:r>
    </w:p>
    <w:p>
      <w:pPr>
        <w:spacing w:after="0" w:line="169" w:lineRule="exact"/>
        <w:rPr>
          <w:rFonts w:ascii="Arial" w:cs="Arial" w:eastAsia="Arial" w:hAnsi="Arial"/>
          <w:sz w:val="18"/>
          <w:szCs w:val="18"/>
          <w:b w:val="1"/>
          <w:bCs w:val="1"/>
          <w:color w:val="auto"/>
        </w:rPr>
      </w:pPr>
    </w:p>
    <w:p>
      <w:pPr>
        <w:jc w:val="both"/>
        <w:ind w:firstLine="1138"/>
        <w:spacing w:after="0" w:line="278" w:lineRule="auto"/>
        <w:tabs>
          <w:tab w:leader="none" w:pos="1630" w:val="left"/>
        </w:tabs>
        <w:numPr>
          <w:ilvl w:val="0"/>
          <w:numId w:val="546"/>
        </w:numPr>
        <w:rPr>
          <w:rFonts w:ascii="Arial" w:cs="Arial" w:eastAsia="Arial" w:hAnsi="Arial"/>
          <w:sz w:val="17"/>
          <w:szCs w:val="17"/>
          <w:b w:val="1"/>
          <w:bCs w:val="1"/>
          <w:color w:val="auto"/>
        </w:rPr>
      </w:pPr>
      <w:r>
        <w:rPr>
          <w:rFonts w:ascii="Arial" w:cs="Arial" w:eastAsia="Arial" w:hAnsi="Arial"/>
          <w:sz w:val="17"/>
          <w:szCs w:val="17"/>
          <w:color w:val="auto"/>
        </w:rPr>
        <w:t>If Tenant’s obligations under this Lease are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(v) a guarantor’s breach of its guaranty obligation on an anticipatory breach basis or (vi) if the guarantor is a corporation, limited liability company or partnership, the dissolution of the guarantor or the termination of the guarantor’s existence.</w:t>
      </w:r>
    </w:p>
    <w:p>
      <w:pPr>
        <w:spacing w:after="0" w:line="16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5"/>
          <w:szCs w:val="15"/>
          <w:b w:val="1"/>
          <w:bCs w:val="1"/>
          <w:color w:val="auto"/>
        </w:rPr>
        <w:t>Remedies</w:t>
      </w:r>
      <w:r>
        <w:rPr>
          <w:rFonts w:ascii="Arial" w:cs="Arial" w:eastAsia="Arial" w:hAnsi="Arial"/>
          <w:sz w:val="15"/>
          <w:szCs w:val="15"/>
          <w:color w:val="auto"/>
        </w:rPr>
        <w:t>.</w:t>
      </w:r>
    </w:p>
    <w:p>
      <w:pPr>
        <w:spacing w:after="0" w:line="228" w:lineRule="exact"/>
        <w:rPr>
          <w:sz w:val="20"/>
          <w:szCs w:val="20"/>
          <w:color w:val="auto"/>
        </w:rPr>
      </w:pPr>
    </w:p>
    <w:p>
      <w:pPr>
        <w:ind w:firstLine="1138"/>
        <w:spacing w:after="0" w:line="276" w:lineRule="auto"/>
        <w:tabs>
          <w:tab w:leader="none" w:pos="1615" w:val="left"/>
        </w:tabs>
        <w:numPr>
          <w:ilvl w:val="0"/>
          <w:numId w:val="547"/>
        </w:numPr>
        <w:rPr>
          <w:rFonts w:ascii="Arial" w:cs="Arial" w:eastAsia="Arial" w:hAnsi="Arial"/>
          <w:sz w:val="18"/>
          <w:szCs w:val="18"/>
          <w:b w:val="1"/>
          <w:bCs w:val="1"/>
          <w:color w:val="auto"/>
        </w:rPr>
      </w:pPr>
      <w:r>
        <w:rPr>
          <w:rFonts w:ascii="Arial" w:cs="Arial" w:eastAsia="Arial" w:hAnsi="Arial"/>
          <w:sz w:val="18"/>
          <w:szCs w:val="18"/>
          <w:color w:val="auto"/>
        </w:rPr>
        <w:t>In the event of any default or breach of this Lease by Tenant, Landlord may, at any time thereafter, with or without notice or demand, and without limiting Landlord in the exercise of any right or remedy which Landlord may have by reason of such default:</w:t>
      </w:r>
    </w:p>
    <w:p>
      <w:pPr>
        <w:spacing w:after="0" w:line="169" w:lineRule="exact"/>
        <w:rPr>
          <w:rFonts w:ascii="Arial" w:cs="Arial" w:eastAsia="Arial" w:hAnsi="Arial"/>
          <w:sz w:val="18"/>
          <w:szCs w:val="18"/>
          <w:b w:val="1"/>
          <w:bCs w:val="1"/>
          <w:color w:val="auto"/>
        </w:rPr>
      </w:pPr>
    </w:p>
    <w:p>
      <w:pPr>
        <w:jc w:val="both"/>
        <w:ind w:firstLine="1623"/>
        <w:spacing w:after="0" w:line="285" w:lineRule="auto"/>
        <w:tabs>
          <w:tab w:leader="none" w:pos="2076" w:val="left"/>
        </w:tabs>
        <w:numPr>
          <w:ilvl w:val="1"/>
          <w:numId w:val="547"/>
        </w:numPr>
        <w:rPr>
          <w:rFonts w:ascii="Arial" w:cs="Arial" w:eastAsia="Arial" w:hAnsi="Arial"/>
          <w:sz w:val="16"/>
          <w:szCs w:val="16"/>
          <w:b w:val="1"/>
          <w:bCs w:val="1"/>
          <w:color w:val="auto"/>
        </w:rPr>
      </w:pPr>
      <w:r>
        <w:rPr>
          <w:rFonts w:ascii="Arial" w:cs="Arial" w:eastAsia="Arial" w:hAnsi="Arial"/>
          <w:sz w:val="16"/>
          <w:szCs w:val="16"/>
          <w:color w:val="auto"/>
        </w:rPr>
        <w:t>terminate Tenant’s right to possession of the Premises by any lawful means, in which case this Lease and the term hereof shall terminate and Tenant shall immediately surrender possession of the Premises to Landlord. If Landlord terminates this Lease, Landlord may recover from Tenant (A) the worth at the time of award of the unpaid rent which had been earned at the time of termination; (B) the worth at the time of award of the amount by which the unpaid rent which would have been earned after termination until the time of award exceeds the amount of such rental loss that Tenant proves could have been reasonably avoided; (C) the worth at the time of award of the amount by which the unpaid rent for the balance of the term after the time of award exceeds the amount of such rental loss that Tenant proves could have been reasonably avoided; and (D) any other amount necessary to compensate Landlord for all detriment proximately caused by Tenant’s failure to perform its obligations under the Lease or which in the ordinary course of things would be likely to result therefrom, including, but not limited to, the cost of recovering possession of the Premises, expenses of releasing, including necessary renovation and alteration of the Premises, reasonable attorneys’ fees, any real estate commissions actually paid by Landlord and the unamortized value of any free rent, reduced rent, tenant improvement allowance or other economic concessions provided by Landlord. The “</w:t>
      </w:r>
      <w:r>
        <w:rPr>
          <w:rFonts w:ascii="Arial" w:cs="Arial" w:eastAsia="Arial" w:hAnsi="Arial"/>
          <w:sz w:val="16"/>
          <w:szCs w:val="16"/>
          <w:b w:val="1"/>
          <w:bCs w:val="1"/>
          <w:i w:val="1"/>
          <w:iCs w:val="1"/>
          <w:color w:val="auto"/>
        </w:rPr>
        <w:t>worth at time of award</w:t>
      </w:r>
      <w:r>
        <w:rPr>
          <w:rFonts w:ascii="Arial" w:cs="Arial" w:eastAsia="Arial" w:hAnsi="Arial"/>
          <w:sz w:val="16"/>
          <w:szCs w:val="16"/>
          <w:color w:val="auto"/>
        </w:rPr>
        <w:t>” of the amounts referred to in Section 17.2(a)(i)(A) and (B) shall be computed by allowing interest at the lesser of ten percent (10%) per annum or the maximum interest rate permitted by applicable Legal Requirements. The worth at the time of award of the amount referred to in Section 17.2(a)(i)(C) shall be computed by discounting such amount at the discount rate of the Federal Reserve Bank of San Francisco at the time of award plus one percent (1%). For purposes of this Section 17.2(a)(i), “</w:t>
      </w:r>
      <w:r>
        <w:rPr>
          <w:rFonts w:ascii="Arial" w:cs="Arial" w:eastAsia="Arial" w:hAnsi="Arial"/>
          <w:sz w:val="16"/>
          <w:szCs w:val="16"/>
          <w:b w:val="1"/>
          <w:bCs w:val="1"/>
          <w:i w:val="1"/>
          <w:iCs w:val="1"/>
          <w:color w:val="auto"/>
        </w:rPr>
        <w:t>rent</w:t>
      </w:r>
      <w:r>
        <w:rPr>
          <w:rFonts w:ascii="Arial" w:cs="Arial" w:eastAsia="Arial" w:hAnsi="Arial"/>
          <w:sz w:val="16"/>
          <w:szCs w:val="16"/>
          <w:color w:val="auto"/>
        </w:rPr>
        <w:t>” shall be deemed to be all monetary obligations required to be paid by Tenant pursuant to the terms of this Lease.</w:t>
      </w:r>
    </w:p>
    <w:p>
      <w:pPr>
        <w:spacing w:after="0" w:line="171" w:lineRule="exact"/>
        <w:rPr>
          <w:rFonts w:ascii="Arial" w:cs="Arial" w:eastAsia="Arial" w:hAnsi="Arial"/>
          <w:sz w:val="16"/>
          <w:szCs w:val="16"/>
          <w:b w:val="1"/>
          <w:bCs w:val="1"/>
          <w:color w:val="auto"/>
        </w:rPr>
      </w:pPr>
    </w:p>
    <w:p>
      <w:pPr>
        <w:jc w:val="both"/>
        <w:ind w:firstLine="1623"/>
        <w:spacing w:after="0" w:line="295" w:lineRule="auto"/>
        <w:tabs>
          <w:tab w:leader="none" w:pos="2081" w:val="left"/>
        </w:tabs>
        <w:numPr>
          <w:ilvl w:val="1"/>
          <w:numId w:val="547"/>
        </w:numPr>
        <w:rPr>
          <w:rFonts w:ascii="Arial" w:cs="Arial" w:eastAsia="Arial" w:hAnsi="Arial"/>
          <w:sz w:val="16"/>
          <w:szCs w:val="16"/>
          <w:b w:val="1"/>
          <w:bCs w:val="1"/>
          <w:color w:val="auto"/>
        </w:rPr>
      </w:pPr>
      <w:r>
        <w:rPr>
          <w:rFonts w:ascii="Arial" w:cs="Arial" w:eastAsia="Arial" w:hAnsi="Arial"/>
          <w:sz w:val="16"/>
          <w:szCs w:val="16"/>
          <w:color w:val="auto"/>
        </w:rPr>
        <w:t xml:space="preserve">maintain Tenant’s right of possession, in which event Landlord shall have the remedy described in California Civil Code Section 1951.4 which permits Landlord to continue this Lease in effect after Tenant’s breach and abandonment and recover rent as it becomes due. In the event Landlord elects to continue this Lease in effect, Tenant shall have the right to sublet the Premises or assign Tenant’s interest in the Lease subject to the reasonable requirements contained in Section 16 of this Lease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Landlord shall not require compliance with any standard or condition contained in Section 16 that has become unreasonable at the time Tenant seeks to sublet or assign the Premises pursuant to this Section 17.2(a)(ii).</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6" w:name="page577"/>
    <w:bookmarkEnd w:id="576"/>
    <w:p>
      <w:pPr>
        <w:ind w:firstLine="1623"/>
        <w:spacing w:after="0" w:line="306" w:lineRule="auto"/>
        <w:tabs>
          <w:tab w:leader="none" w:pos="2158" w:val="left"/>
        </w:tabs>
        <w:numPr>
          <w:ilvl w:val="1"/>
          <w:numId w:val="548"/>
        </w:numPr>
        <w:rPr>
          <w:rFonts w:ascii="Arial" w:cs="Arial" w:eastAsia="Arial" w:hAnsi="Arial"/>
          <w:sz w:val="17"/>
          <w:szCs w:val="17"/>
          <w:b w:val="1"/>
          <w:bCs w:val="1"/>
          <w:color w:val="auto"/>
        </w:rPr>
      </w:pPr>
      <w:r>
        <w:rPr>
          <w:rFonts w:ascii="Arial" w:cs="Arial" w:eastAsia="Arial" w:hAnsi="Arial"/>
          <w:sz w:val="17"/>
          <w:szCs w:val="17"/>
          <w:color w:val="auto"/>
        </w:rPr>
        <w:t>collect sublease rents (or appoint a receiver to collect such rent) and otherwise perform Tenant’s obligations at the Premises, it being agreed, however, that the appointment of a receiver for Tenant shall not constitute an election by Landlord to terminate this Lease.</w:t>
      </w:r>
    </w:p>
    <w:p>
      <w:pPr>
        <w:spacing w:after="0" w:line="147" w:lineRule="exact"/>
        <w:rPr>
          <w:rFonts w:ascii="Arial" w:cs="Arial" w:eastAsia="Arial" w:hAnsi="Arial"/>
          <w:sz w:val="17"/>
          <w:szCs w:val="17"/>
          <w:b w:val="1"/>
          <w:bCs w:val="1"/>
          <w:color w:val="auto"/>
        </w:rPr>
      </w:pPr>
    </w:p>
    <w:p>
      <w:pPr>
        <w:ind w:left="2180" w:hanging="557"/>
        <w:spacing w:after="0"/>
        <w:tabs>
          <w:tab w:leader="none" w:pos="2180" w:val="left"/>
        </w:tabs>
        <w:numPr>
          <w:ilvl w:val="1"/>
          <w:numId w:val="548"/>
        </w:numPr>
        <w:rPr>
          <w:rFonts w:ascii="Arial" w:cs="Arial" w:eastAsia="Arial" w:hAnsi="Arial"/>
          <w:sz w:val="16"/>
          <w:szCs w:val="16"/>
          <w:b w:val="1"/>
          <w:bCs w:val="1"/>
          <w:color w:val="auto"/>
        </w:rPr>
      </w:pPr>
      <w:r>
        <w:rPr>
          <w:rFonts w:ascii="Arial" w:cs="Arial" w:eastAsia="Arial" w:hAnsi="Arial"/>
          <w:sz w:val="16"/>
          <w:szCs w:val="16"/>
          <w:color w:val="auto"/>
        </w:rPr>
        <w:t>pursue any other remedy now or hereafter available to Landlord under the laws or judicial decisions of the state in which the</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Premises are located.</w:t>
      </w:r>
    </w:p>
    <w:p>
      <w:pPr>
        <w:spacing w:after="0" w:line="209" w:lineRule="exact"/>
        <w:rPr>
          <w:rFonts w:ascii="Arial" w:cs="Arial" w:eastAsia="Arial" w:hAnsi="Arial"/>
          <w:sz w:val="16"/>
          <w:szCs w:val="16"/>
          <w:b w:val="1"/>
          <w:bCs w:val="1"/>
          <w:color w:val="auto"/>
        </w:rPr>
      </w:pPr>
    </w:p>
    <w:p>
      <w:pPr>
        <w:jc w:val="both"/>
        <w:ind w:firstLine="1138"/>
        <w:spacing w:after="0" w:line="258" w:lineRule="auto"/>
        <w:tabs>
          <w:tab w:leader="none" w:pos="1609" w:val="left"/>
        </w:tabs>
        <w:numPr>
          <w:ilvl w:val="0"/>
          <w:numId w:val="549"/>
        </w:numPr>
        <w:rPr>
          <w:rFonts w:ascii="Arial" w:cs="Arial" w:eastAsia="Arial" w:hAnsi="Arial"/>
          <w:sz w:val="18"/>
          <w:szCs w:val="18"/>
          <w:b w:val="1"/>
          <w:bCs w:val="1"/>
          <w:color w:val="auto"/>
        </w:rPr>
      </w:pPr>
      <w:r>
        <w:rPr>
          <w:rFonts w:ascii="Arial" w:cs="Arial" w:eastAsia="Arial" w:hAnsi="Arial"/>
          <w:sz w:val="18"/>
          <w:szCs w:val="18"/>
          <w:color w:val="auto"/>
        </w:rPr>
        <w:t>No remedy or election hereunder shall be deemed exclusive, but shall, wherever possible, be cumulative with all other remedies at law or in equity. The expiration or termination of this Lease and/or the termination of Tenant’s right to possession of the Premises shall not relieve Tenant of liability under any indemnity provisions of this Lease as to matters occurring or accruing during the term of the Lease or by reason of Tenant’s occupancy of the Premises.</w:t>
      </w:r>
    </w:p>
    <w:p>
      <w:pPr>
        <w:spacing w:after="0" w:line="186" w:lineRule="exact"/>
        <w:rPr>
          <w:rFonts w:ascii="Arial" w:cs="Arial" w:eastAsia="Arial" w:hAnsi="Arial"/>
          <w:sz w:val="18"/>
          <w:szCs w:val="18"/>
          <w:b w:val="1"/>
          <w:bCs w:val="1"/>
          <w:color w:val="auto"/>
        </w:rPr>
      </w:pPr>
    </w:p>
    <w:p>
      <w:pPr>
        <w:jc w:val="both"/>
        <w:ind w:firstLine="1138"/>
        <w:spacing w:after="0" w:line="256" w:lineRule="auto"/>
        <w:tabs>
          <w:tab w:leader="none" w:pos="1618" w:val="left"/>
        </w:tabs>
        <w:numPr>
          <w:ilvl w:val="0"/>
          <w:numId w:val="549"/>
        </w:numPr>
        <w:rPr>
          <w:rFonts w:ascii="Arial" w:cs="Arial" w:eastAsia="Arial" w:hAnsi="Arial"/>
          <w:sz w:val="18"/>
          <w:szCs w:val="18"/>
          <w:b w:val="1"/>
          <w:bCs w:val="1"/>
          <w:color w:val="auto"/>
        </w:rPr>
      </w:pPr>
      <w:r>
        <w:rPr>
          <w:rFonts w:ascii="Arial" w:cs="Arial" w:eastAsia="Arial" w:hAnsi="Arial"/>
          <w:sz w:val="18"/>
          <w:szCs w:val="18"/>
          <w:color w:val="auto"/>
        </w:rPr>
        <w:t>If Tenant abandons the Premises, Landlord may re-enter the Premises, and such re-entry shall not be deemed to constitute Landlord’s election to accept a surrender of the Premises or to otherwise relieve Tenant from liability for its breach of this Lease. No surrender of the Premises shall be effective against Landlord unless Landlord has entered into a written agreement with Tenant in which Landlord expressly agrees to (i) accept a surrender of the Premises and (ii) relieve Tenant of liability under the Lease. The delivery by Tenant to Landlord of possession of the Premises shall not constitute the termination of the Lease or the surrender of the Premises.</w:t>
      </w:r>
    </w:p>
    <w:p>
      <w:pPr>
        <w:spacing w:after="0" w:line="184"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6"/>
          <w:szCs w:val="16"/>
          <w:b w:val="1"/>
          <w:bCs w:val="1"/>
          <w:color w:val="auto"/>
        </w:rPr>
        <w:t>17.3 Default by Landlord</w:t>
      </w:r>
      <w:r>
        <w:rPr>
          <w:rFonts w:ascii="Arial" w:cs="Arial" w:eastAsia="Arial" w:hAnsi="Arial"/>
          <w:sz w:val="16"/>
          <w:szCs w:val="16"/>
          <w:color w:val="auto"/>
        </w:rPr>
        <w:t>. Landlord shall not be in default under this Lease unless Landlord fails to perform obligations required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within thirty (30) days after written notice by Tenant to Landlord and to the holder of any mortgage or deed of trust encumbering the Project whose name and address shall have theretofore been furnished to Tenant in writing, specifying wherein Landlord has failed to perform such obligation;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nature of Landlord’s obligation is such that more than thirty (30) days are required for its cure, then Landlord shall not be in default if Landlord commences performance within such thirty (30) day period and thereafter diligently pursues the same to completion. In no event shall Tenant have the right to terminate this Lease as a result of Landlord’s default, and Tenant’s remedies shall be limited to damages and/or an injunction. Tenant hereby waives its right to recover consequential damages (including, but not limited to, lost profits) or punitive damages arising out of a Landlord default. This Lease and the obligations of Tenant hereunder shall not be affected or impaired because Landlord is unable to fulfill any of its obligations hereunder or is delayed in doing so, if such inability or delay is caused by reason of a Force Majeure Event, and the time for Landlord’s performance shall be extended for the period of any such delay. Any claim, demand, right or defense by Tenant that arises out of this Lease or the negotiations which preceded this Lease shall be barred unless Tenant commences an action thereon, or interposes a defense by reason thereof, within one (1) year after the date on which Tenant becomes aware of the inaction, omission, event or action that gave rise to such claim, demand, right or defense.</w:t>
      </w:r>
    </w:p>
    <w:p>
      <w:pPr>
        <w:spacing w:after="0" w:line="168"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b w:val="1"/>
          <w:bCs w:val="1"/>
          <w:color w:val="auto"/>
        </w:rPr>
        <w:t>17.4 Late Charges</w:t>
      </w:r>
      <w:r>
        <w:rPr>
          <w:rFonts w:ascii="Arial" w:cs="Arial" w:eastAsia="Arial" w:hAnsi="Arial"/>
          <w:sz w:val="16"/>
          <w:szCs w:val="16"/>
          <w:color w:val="auto"/>
        </w:rPr>
        <w:t>. Tenant hereby acknowledges that late payment by Tenant to Landlord of Base Rent, Tenant’s Percentage Share of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or other sums due hereunder will cause Landlord to incur costs not contemplated by this Lease, the exact amount of which will be extremely difficult to ascertain. Such costs include, but are not limited to, processing and accounting charges and late charges which may be imposed on Landlord by the terms of any mortgage or trust deed encumbering the Project. Accordingly, if any installment of Base Rent, Tenant’s Percentage Share of Operating Expenses or any other sum due from Tenant shall not be received by Landlord when such amount shall be due, then, without any requirement for notice or demand to Tenant, Tenant shall immediately pay to Landlord a late charge equal to ten percent (10%)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including the assessment of interest under Section 17.5.</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77" w:name="page578"/>
    <w:bookmarkEnd w:id="577"/>
    <w:p>
      <w:pPr>
        <w:jc w:val="both"/>
        <w:ind w:firstLine="646"/>
        <w:spacing w:after="0" w:line="260" w:lineRule="auto"/>
        <w:rPr>
          <w:sz w:val="20"/>
          <w:szCs w:val="20"/>
          <w:color w:val="auto"/>
        </w:rPr>
      </w:pPr>
      <w:r>
        <w:rPr>
          <w:rFonts w:ascii="Arial" w:cs="Arial" w:eastAsia="Arial" w:hAnsi="Arial"/>
          <w:sz w:val="18"/>
          <w:szCs w:val="18"/>
          <w:b w:val="1"/>
          <w:bCs w:val="1"/>
          <w:color w:val="auto"/>
        </w:rPr>
        <w:t>17.5 Interest on Past-Due Obligations</w:t>
      </w:r>
      <w:r>
        <w:rPr>
          <w:rFonts w:ascii="Arial" w:cs="Arial" w:eastAsia="Arial" w:hAnsi="Arial"/>
          <w:sz w:val="18"/>
          <w:szCs w:val="18"/>
          <w:color w:val="auto"/>
        </w:rPr>
        <w:t>. Except as expressly herein provided, any amount due to Landlord that is not paid when due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 at the lesser of ten percent (10%) per annum or the maximum rate permitted by applicable Legal Requirements. Payment of such interest shall not excuse or cure any default by Tenant under this Lease;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interest shall not be payable on late charges incurred by Tenant nor on any amounts upon which late charges are paid by Tenant.</w:t>
      </w:r>
    </w:p>
    <w:p>
      <w:pPr>
        <w:spacing w:after="0" w:line="180"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17.6 Payment of Rent and Security Deposit after Default</w:t>
      </w:r>
      <w:r>
        <w:rPr>
          <w:rFonts w:ascii="Arial" w:cs="Arial" w:eastAsia="Arial" w:hAnsi="Arial"/>
          <w:sz w:val="16"/>
          <w:szCs w:val="16"/>
          <w:color w:val="auto"/>
        </w:rPr>
        <w:t>. If Tenant fails to pay Base Rent, Tenant’s Percentage Share of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parking charges or any other monetary obligation due hereunder on the date it is due, and such failure is not cured within the applicable three (3) day cure period, after Tenant’s third failure to pay any monetary obligation on the date it is due, at Landlord’s option, all monetary obligations of Tenant hereunder shall thereafter be paid by cashier’s check, and Tenant shall, upon demand, provide Landlord with an additional security deposit equal to three (3) multiplied by the monthly Base Rent due on the date of Landlord’s demand. If Landlord has required Tenant to make said payments by cashier’s check or to provide an additional security deposit, Tenant’s failure to make a payment by cashier’s check or to provide the additional security deposit shall be a default hereunder.</w:t>
      </w:r>
    </w:p>
    <w:p>
      <w:pPr>
        <w:spacing w:after="0" w:line="160" w:lineRule="exact"/>
        <w:rPr>
          <w:sz w:val="20"/>
          <w:szCs w:val="20"/>
          <w:color w:val="auto"/>
        </w:rPr>
      </w:pPr>
    </w:p>
    <w:p>
      <w:pPr>
        <w:jc w:val="both"/>
        <w:ind w:firstLine="8"/>
        <w:spacing w:after="0" w:line="293" w:lineRule="auto"/>
        <w:tabs>
          <w:tab w:leader="none" w:pos="475" w:val="left"/>
        </w:tabs>
        <w:numPr>
          <w:ilvl w:val="0"/>
          <w:numId w:val="550"/>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1"/>
          <w:szCs w:val="11"/>
          <w:b w:val="1"/>
          <w:bCs w:val="1"/>
          <w:color w:val="auto"/>
        </w:rPr>
        <w:t>ANDLORD</w:t>
      </w:r>
      <w:r>
        <w:rPr>
          <w:rFonts w:ascii="Arial" w:cs="Arial" w:eastAsia="Arial" w:hAnsi="Arial"/>
          <w:sz w:val="16"/>
          <w:szCs w:val="16"/>
          <w:b w:val="1"/>
          <w:bCs w:val="1"/>
          <w:color w:val="auto"/>
        </w:rPr>
        <w:t>’</w:t>
      </w:r>
      <w:r>
        <w:rPr>
          <w:rFonts w:ascii="Arial" w:cs="Arial" w:eastAsia="Arial" w:hAnsi="Arial"/>
          <w:sz w:val="11"/>
          <w:szCs w:val="11"/>
          <w:b w:val="1"/>
          <w:bCs w:val="1"/>
          <w:color w:val="auto"/>
        </w:rPr>
        <w:t>S</w:t>
      </w:r>
      <w:r>
        <w:rPr>
          <w:rFonts w:ascii="Arial" w:cs="Arial" w:eastAsia="Arial" w:hAnsi="Arial"/>
          <w:sz w:val="16"/>
          <w:szCs w:val="16"/>
          <w:b w:val="1"/>
          <w:bCs w:val="1"/>
          <w:color w:val="auto"/>
        </w:rPr>
        <w:t xml:space="preserve"> R</w:t>
      </w:r>
      <w:r>
        <w:rPr>
          <w:rFonts w:ascii="Arial" w:cs="Arial" w:eastAsia="Arial" w:hAnsi="Arial"/>
          <w:sz w:val="11"/>
          <w:szCs w:val="11"/>
          <w:b w:val="1"/>
          <w:bCs w:val="1"/>
          <w:color w:val="auto"/>
        </w:rPr>
        <w:t>IGHT TO</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URE</w:t>
      </w:r>
      <w:r>
        <w:rPr>
          <w:rFonts w:ascii="Arial" w:cs="Arial" w:eastAsia="Arial" w:hAnsi="Arial"/>
          <w:sz w:val="16"/>
          <w:szCs w:val="16"/>
          <w:b w:val="1"/>
          <w:bCs w:val="1"/>
          <w:color w:val="auto"/>
        </w:rPr>
        <w:t xml:space="preserve"> D</w:t>
      </w:r>
      <w:r>
        <w:rPr>
          <w:rFonts w:ascii="Arial" w:cs="Arial" w:eastAsia="Arial" w:hAnsi="Arial"/>
          <w:sz w:val="11"/>
          <w:szCs w:val="11"/>
          <w:b w:val="1"/>
          <w:bCs w:val="1"/>
          <w:color w:val="auto"/>
        </w:rPr>
        <w:t>EFAULT</w:t>
      </w:r>
      <w:r>
        <w:rPr>
          <w:rFonts w:ascii="Arial" w:cs="Arial" w:eastAsia="Arial" w:hAnsi="Arial"/>
          <w:sz w:val="16"/>
          <w:szCs w:val="16"/>
          <w:b w:val="1"/>
          <w:bCs w:val="1"/>
          <w:color w:val="auto"/>
        </w:rPr>
        <w:t>; P</w:t>
      </w:r>
      <w:r>
        <w:rPr>
          <w:rFonts w:ascii="Arial" w:cs="Arial" w:eastAsia="Arial" w:hAnsi="Arial"/>
          <w:sz w:val="11"/>
          <w:szCs w:val="11"/>
          <w:b w:val="1"/>
          <w:bCs w:val="1"/>
          <w:color w:val="auto"/>
        </w:rPr>
        <w:t>AYMENTS BY</w:t>
      </w:r>
      <w:r>
        <w:rPr>
          <w:rFonts w:ascii="Arial" w:cs="Arial" w:eastAsia="Arial" w:hAnsi="Arial"/>
          <w:sz w:val="16"/>
          <w:szCs w:val="16"/>
          <w:b w:val="1"/>
          <w:bCs w:val="1"/>
          <w:color w:val="auto"/>
        </w:rPr>
        <w:t xml:space="preserve"> T</w:t>
      </w:r>
      <w:r>
        <w:rPr>
          <w:rFonts w:ascii="Arial" w:cs="Arial" w:eastAsia="Arial" w:hAnsi="Arial"/>
          <w:sz w:val="11"/>
          <w:szCs w:val="11"/>
          <w:b w:val="1"/>
          <w:bCs w:val="1"/>
          <w:color w:val="auto"/>
        </w:rPr>
        <w:t>ENANT</w:t>
      </w:r>
      <w:r>
        <w:rPr>
          <w:rFonts w:ascii="Arial" w:cs="Arial" w:eastAsia="Arial" w:hAnsi="Arial"/>
          <w:sz w:val="16"/>
          <w:szCs w:val="16"/>
          <w:color w:val="auto"/>
        </w:rPr>
        <w:t>. All covenants and agreements to be kept or performed by Tenant under this Lease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performed by Tenant at Tenant’s sole cost and expense and without any reduction of rent, except as expressly set forth in this Lease. If Tenant shall fail to perform any of its obligations under this Lease, Landlord may, but shall not be obligated to, after three (3) business days’ prior written notice to Tenant, make any such payment or perform any such act on Tenant’s behalf without waiving its rights based upon any default of Tenant and without releasing Tenant from any obligations hereunder. Tenant shall pay to Landlord, within ten (10) days after delivery by Landlord to Tenant of statements therefore, an amount equal to the expenditures reasonably made by Landlord in connection with the remedying by Landlord of Tenant’s defaults pursuant to the provisions of this section.</w:t>
      </w:r>
    </w:p>
    <w:p>
      <w:pPr>
        <w:spacing w:after="0" w:line="159" w:lineRule="exact"/>
        <w:rPr>
          <w:rFonts w:ascii="Arial" w:cs="Arial" w:eastAsia="Arial" w:hAnsi="Arial"/>
          <w:sz w:val="16"/>
          <w:szCs w:val="16"/>
          <w:b w:val="1"/>
          <w:bCs w:val="1"/>
          <w:color w:val="auto"/>
        </w:rPr>
      </w:pPr>
    </w:p>
    <w:p>
      <w:pPr>
        <w:jc w:val="both"/>
        <w:ind w:firstLine="8"/>
        <w:spacing w:after="0" w:line="283" w:lineRule="auto"/>
        <w:tabs>
          <w:tab w:leader="none" w:pos="462" w:val="left"/>
        </w:tabs>
        <w:numPr>
          <w:ilvl w:val="0"/>
          <w:numId w:val="550"/>
        </w:numPr>
        <w:rPr>
          <w:rFonts w:ascii="Arial" w:cs="Arial" w:eastAsia="Arial" w:hAnsi="Arial"/>
          <w:sz w:val="16"/>
          <w:szCs w:val="16"/>
          <w:b w:val="1"/>
          <w:bCs w:val="1"/>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NDEMNITY</w:t>
      </w:r>
      <w:r>
        <w:rPr>
          <w:rFonts w:ascii="Arial" w:cs="Arial" w:eastAsia="Arial" w:hAnsi="Arial"/>
          <w:sz w:val="16"/>
          <w:szCs w:val="16"/>
          <w:color w:val="auto"/>
        </w:rPr>
        <w:t>. Tenant hereby agrees to indemnify, defend and hold harmless Landlord and its employees, partners, agents, property managers,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and ground lessors (said persons and entities are hereinafter collectively referred to as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or “</w:t>
      </w:r>
      <w:r>
        <w:rPr>
          <w:rFonts w:ascii="Arial" w:cs="Arial" w:eastAsia="Arial" w:hAnsi="Arial"/>
          <w:sz w:val="16"/>
          <w:szCs w:val="16"/>
          <w:b w:val="1"/>
          <w:bCs w:val="1"/>
          <w:i w:val="1"/>
          <w:iCs w:val="1"/>
          <w:color w:val="auto"/>
        </w:rPr>
        <w:t>Landlord Parties</w:t>
      </w:r>
      <w:r>
        <w:rPr>
          <w:rFonts w:ascii="Arial" w:cs="Arial" w:eastAsia="Arial" w:hAnsi="Arial"/>
          <w:sz w:val="16"/>
          <w:szCs w:val="16"/>
          <w:color w:val="auto"/>
        </w:rPr>
        <w:t>”) from and against any and all liability, loss, cost, damage, claims, loss of rents, liens, judgments, penalties, fines, settlement costs, investigation costs, cost of consultants and experts, attorney’s fees, court costs and other legal expenses, effects of environmental contamination caused by Tenant or any Tenant Party, cost of environmental testing, removal, remediation and/or abatement of Tenant’s Hazardous Materials (as said term are defined below), commercially reasonable insurance policy deductibles and other expenses (hereinafter collectively referred to as “</w:t>
      </w:r>
      <w:r>
        <w:rPr>
          <w:rFonts w:ascii="Arial" w:cs="Arial" w:eastAsia="Arial" w:hAnsi="Arial"/>
          <w:sz w:val="16"/>
          <w:szCs w:val="16"/>
          <w:b w:val="1"/>
          <w:bCs w:val="1"/>
          <w:i w:val="1"/>
          <w:iCs w:val="1"/>
          <w:color w:val="auto"/>
        </w:rPr>
        <w:t>Damages</w:t>
      </w:r>
      <w:r>
        <w:rPr>
          <w:rFonts w:ascii="Arial" w:cs="Arial" w:eastAsia="Arial" w:hAnsi="Arial"/>
          <w:sz w:val="16"/>
          <w:szCs w:val="16"/>
          <w:color w:val="auto"/>
        </w:rPr>
        <w:t>”) arising out of or related to an Indemnified Matter (as defined below). For purposes of this section, an “</w:t>
      </w:r>
      <w:r>
        <w:rPr>
          <w:rFonts w:ascii="Arial" w:cs="Arial" w:eastAsia="Arial" w:hAnsi="Arial"/>
          <w:sz w:val="16"/>
          <w:szCs w:val="16"/>
          <w:b w:val="1"/>
          <w:bCs w:val="1"/>
          <w:i w:val="1"/>
          <w:iCs w:val="1"/>
          <w:color w:val="auto"/>
        </w:rPr>
        <w:t>Indemnified Matter</w:t>
      </w:r>
      <w:r>
        <w:rPr>
          <w:rFonts w:ascii="Arial" w:cs="Arial" w:eastAsia="Arial" w:hAnsi="Arial"/>
          <w:sz w:val="16"/>
          <w:szCs w:val="16"/>
          <w:color w:val="auto"/>
        </w:rPr>
        <w:t>” shall mean any matter for which one or more of the Indemnified Parties incurs liability or Damages if the liability or Damages arise out of or involve, directly or indirectly, (a) Tenant and/or any agents, employees, contractors, vendors, suppliers, licensees, subtenants, and invitees of Tenant (Tenant and all of said persons or entities are hereinafter individually referred to as a “</w:t>
      </w:r>
      <w:r>
        <w:rPr>
          <w:rFonts w:ascii="Arial" w:cs="Arial" w:eastAsia="Arial" w:hAnsi="Arial"/>
          <w:sz w:val="16"/>
          <w:szCs w:val="16"/>
          <w:b w:val="1"/>
          <w:bCs w:val="1"/>
          <w:i w:val="1"/>
          <w:iCs w:val="1"/>
          <w:color w:val="auto"/>
        </w:rPr>
        <w:t>Tenant Party</w:t>
      </w:r>
      <w:r>
        <w:rPr>
          <w:rFonts w:ascii="Arial" w:cs="Arial" w:eastAsia="Arial" w:hAnsi="Arial"/>
          <w:sz w:val="16"/>
          <w:szCs w:val="16"/>
          <w:color w:val="auto"/>
        </w:rPr>
        <w:t>” and collectively referred to as “</w:t>
      </w:r>
      <w:r>
        <w:rPr>
          <w:rFonts w:ascii="Arial" w:cs="Arial" w:eastAsia="Arial" w:hAnsi="Arial"/>
          <w:sz w:val="16"/>
          <w:szCs w:val="16"/>
          <w:b w:val="1"/>
          <w:bCs w:val="1"/>
          <w:i w:val="1"/>
          <w:iCs w:val="1"/>
          <w:color w:val="auto"/>
        </w:rPr>
        <w:t>Tenant Parties</w:t>
      </w:r>
      <w:r>
        <w:rPr>
          <w:rFonts w:ascii="Arial" w:cs="Arial" w:eastAsia="Arial" w:hAnsi="Arial"/>
          <w:sz w:val="16"/>
          <w:szCs w:val="16"/>
          <w:color w:val="auto"/>
        </w:rPr>
        <w:t>”) use or occupancy of the Premises or the Project, (b) any act, omission or neglect of a Tenant Party, (c) Tenant’s failure to perform any of its obligations under the Lease, (d) the existence, use or disposal of any Hazardous Materials (as defined below) brought on to the project by a Tenant Party (“T</w:t>
      </w:r>
      <w:r>
        <w:rPr>
          <w:rFonts w:ascii="Arial" w:cs="Arial" w:eastAsia="Arial" w:hAnsi="Arial"/>
          <w:sz w:val="16"/>
          <w:szCs w:val="16"/>
          <w:b w:val="1"/>
          <w:bCs w:val="1"/>
          <w:i w:val="1"/>
          <w:iCs w:val="1"/>
          <w:color w:val="auto"/>
        </w:rPr>
        <w:t>enant’s Hazardous Material</w:t>
      </w:r>
      <w:r>
        <w:rPr>
          <w:rFonts w:ascii="Arial" w:cs="Arial" w:eastAsia="Arial" w:hAnsi="Arial"/>
          <w:sz w:val="16"/>
          <w:szCs w:val="16"/>
          <w:color w:val="auto"/>
        </w:rPr>
        <w:t>”) or (e) any other matters for which Tenant has agreed to indemnify Landlord pursuant to any other provision of this Lease. Tenant’s obligations hereunder shall include, but shall not be limited to (f) compensating the Indemnified Parties for Damages arising out of Indemnified Matters within ten (10) days after written demand from an Indemnified Party and (g) providing a defense, with counsel reasonably satisfactory to the Indemnified Party, at Tenant’s sole expense, within ten (10) days after written demand from the Indemnified Party, of any claims, action or proceeding arising out of or relating to an Indemnified Matter whether or not litigated or reduced to judgment and whether or not well founded. If Tenant is obligated to compensate an Indemnified Party for Damages arising out of an Indemnified Matter, Landlord shall have the immediate and unconditional right, but not the obligation, without notice or demand to Tenant, to pay the damages, and Tenant shall, upon ten (10) days’ advance written notice from Landlord, reimburse Landlord for the costs incurred by Landlord. By way of example, and not limitation, Landlord shall have the immediate and unconditional right to cause any damages to the Common Areas, another tenant’s premises or to any other part of the Project to be repaired and to compensate other tenants of the Project or other persons or entities for Damages arising out of an Indemnified Matter. The Indemnified Parties need not first pay any Damages to be indemnified hereunder. Tenant’s obligations under this section shall not be released, reduced or otherwise limited because one or more of the Indemnified Parties are or may be actively or passively negligent with respect to an Indemnified Matter or because an Indemnified Party is or was partially responsible for the Damages incurred. This indemnity is intended to apply to the fullest extent permitted by applicable Legal Requirements. Tenant’s obligations under this section shall survive the expiration or termination of this Lease unless specifically waived in writing by Landlord after said expiration or termination. Notwithstanding anything to the contrary contained in this section, Tenant shall not be obligated to indemnify any Indemnified Party from liability to the extent such liability arises out of any Indemnified Party’s negligence, willful misconduct or Landlord’s breach of this 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78" w:name="page579"/>
    <w:bookmarkEnd w:id="578"/>
    <w:p>
      <w:pPr>
        <w:jc w:val="both"/>
        <w:ind w:firstLine="8"/>
        <w:spacing w:after="0" w:line="268" w:lineRule="auto"/>
        <w:tabs>
          <w:tab w:leader="none" w:pos="610" w:val="left"/>
        </w:tabs>
        <w:numPr>
          <w:ilvl w:val="0"/>
          <w:numId w:val="551"/>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XEMPTION OF</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ANDLORD FROM</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IABILITY</w:t>
      </w:r>
      <w:r>
        <w:rPr>
          <w:rFonts w:ascii="Arial" w:cs="Arial" w:eastAsia="Arial" w:hAnsi="Arial"/>
          <w:sz w:val="17"/>
          <w:szCs w:val="17"/>
          <w:color w:val="auto"/>
        </w:rPr>
        <w:t>. Tenant hereby agrees that Landlord and its property manager and their respective officers,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representatives and agents (collectively, “</w:t>
      </w:r>
      <w:r>
        <w:rPr>
          <w:rFonts w:ascii="Arial" w:cs="Arial" w:eastAsia="Arial" w:hAnsi="Arial"/>
          <w:sz w:val="17"/>
          <w:szCs w:val="17"/>
          <w:b w:val="1"/>
          <w:bCs w:val="1"/>
          <w:i w:val="1"/>
          <w:iCs w:val="1"/>
          <w:color w:val="auto"/>
        </w:rPr>
        <w:t>Landlord Parties</w:t>
      </w:r>
      <w:r>
        <w:rPr>
          <w:rFonts w:ascii="Arial" w:cs="Arial" w:eastAsia="Arial" w:hAnsi="Arial"/>
          <w:sz w:val="17"/>
          <w:szCs w:val="17"/>
          <w:color w:val="auto"/>
        </w:rPr>
        <w:t>”) shall not be liable for injury to Tenant’s business or any loss of income therefrom or for loss of or damage to the merchandise, tenant improvements, fixtures, furniture, equipment, computers, files, automobiles, or other property of Tenant, Tenant’s employees, agents, contractors or invitees, or any other person in or about the Project, nor shall Landlord Parties be liable for injury to the person of Tenant, Tenant’s employees, agents, contractors or invitees, whether such damage or injury is caused by or results from any cause whatsoever including, but not limited to, theft, criminal activity at the Project, negligent security measures, bombings or bomb scares, acts of terrorism, Hazardous Substances, fire, steam, electricity, gas, water or rain, flooding, breakage of pipes, sprinklers, plumbing, air conditioning or lighting fixtures, or from any other cause, whether said damage or injury results from conditions arising upon the Premises or upon other portions of the Project, or from other sources or places, or from new construction or the repair, alteration or improvement of any part of the Project, except to the extent caused by Landlord’s breach of this Lease or the gross negligence or willful misconduct of any Landlord Party. Landlord Parties shall not be liable for any damages arising from any act or neglect of any employees, agents, contractors or invitees of any other tenant, occupant or user of the Project, nor from the failure of Landlord Parties to enforce the provisions of the lease of any other tenant of the Project. Tenant, as a material part of the consideration to Landlord hereunder, hereby assumes all risk of damage to Tenant’s business arising from any cause, including the active or passive negligence of Landlord Parties, and Tenant hereby waives all claims in respect thereof against Landlord Parties.</w:t>
      </w:r>
    </w:p>
    <w:p>
      <w:pPr>
        <w:spacing w:after="0" w:line="174" w:lineRule="exact"/>
        <w:rPr>
          <w:rFonts w:ascii="Arial" w:cs="Arial" w:eastAsia="Arial" w:hAnsi="Arial"/>
          <w:sz w:val="17"/>
          <w:szCs w:val="17"/>
          <w:b w:val="1"/>
          <w:bCs w:val="1"/>
          <w:color w:val="auto"/>
        </w:rPr>
      </w:pPr>
    </w:p>
    <w:p>
      <w:pPr>
        <w:jc w:val="both"/>
        <w:ind w:firstLine="8"/>
        <w:spacing w:after="0" w:line="284" w:lineRule="auto"/>
        <w:tabs>
          <w:tab w:leader="none" w:pos="489" w:val="left"/>
        </w:tabs>
        <w:numPr>
          <w:ilvl w:val="0"/>
          <w:numId w:val="551"/>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1"/>
          <w:szCs w:val="11"/>
          <w:b w:val="1"/>
          <w:bCs w:val="1"/>
          <w:color w:val="auto"/>
        </w:rPr>
        <w:t>ANDLORD</w:t>
      </w:r>
      <w:r>
        <w:rPr>
          <w:rFonts w:ascii="Arial" w:cs="Arial" w:eastAsia="Arial" w:hAnsi="Arial"/>
          <w:sz w:val="16"/>
          <w:szCs w:val="16"/>
          <w:b w:val="1"/>
          <w:bCs w:val="1"/>
          <w:color w:val="auto"/>
        </w:rPr>
        <w:t>’</w:t>
      </w:r>
      <w:r>
        <w:rPr>
          <w:rFonts w:ascii="Arial" w:cs="Arial" w:eastAsia="Arial" w:hAnsi="Arial"/>
          <w:sz w:val="11"/>
          <w:szCs w:val="11"/>
          <w:b w:val="1"/>
          <w:bCs w:val="1"/>
          <w:color w:val="auto"/>
        </w:rPr>
        <w:t>S</w:t>
      </w:r>
      <w:r>
        <w:rPr>
          <w:rFonts w:ascii="Arial" w:cs="Arial" w:eastAsia="Arial" w:hAnsi="Arial"/>
          <w:sz w:val="16"/>
          <w:szCs w:val="16"/>
          <w:b w:val="1"/>
          <w:bCs w:val="1"/>
          <w:color w:val="auto"/>
        </w:rPr>
        <w:t xml:space="preserve"> L</w:t>
      </w:r>
      <w:r>
        <w:rPr>
          <w:rFonts w:ascii="Arial" w:cs="Arial" w:eastAsia="Arial" w:hAnsi="Arial"/>
          <w:sz w:val="11"/>
          <w:szCs w:val="11"/>
          <w:b w:val="1"/>
          <w:bCs w:val="1"/>
          <w:color w:val="auto"/>
        </w:rPr>
        <w:t>IABILITY</w:t>
      </w:r>
      <w:r>
        <w:rPr>
          <w:rFonts w:ascii="Arial" w:cs="Arial" w:eastAsia="Arial" w:hAnsi="Arial"/>
          <w:sz w:val="16"/>
          <w:szCs w:val="16"/>
          <w:color w:val="auto"/>
        </w:rPr>
        <w:t>. Tenant acknowledges that Landlord shall have the right to transfer all or any portion of its interest in the Project and to assign</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to the transferee. Tenant agrees that in the event of such a transfer Landlord shall automatically be released from all liability accruing under this Lease after the date of such transfer; and Tenant hereby agrees to look solely to Landlord’s transferee for the performance of Landlord’s obligations hereunder after the date of the transfer. Upon such a transfer, Landlord shall, at its option, return Tenant’s security deposit to Tenant or transfer Tenant’s security deposit to Landlord’s transferee and, in either event, Landlord shall have no further liability to Tenant for the return of its security deposit. Subject to the rights of any lender holding a mortgage or deed of trust encumbering all or part of the Project, Tenant agrees to look solely to Landlord’s equity interest in the Project for the collection of any judgment requiring the payment of money by Landlord arising out of (a) Landlord’s failure to perform its obligations under this Lease or</w:t>
      </w:r>
    </w:p>
    <w:p>
      <w:pPr>
        <w:spacing w:after="0" w:line="1" w:lineRule="exact"/>
        <w:rPr>
          <w:rFonts w:ascii="Arial" w:cs="Arial" w:eastAsia="Arial" w:hAnsi="Arial"/>
          <w:sz w:val="16"/>
          <w:szCs w:val="16"/>
          <w:b w:val="1"/>
          <w:bCs w:val="1"/>
          <w:color w:val="auto"/>
        </w:rPr>
      </w:pPr>
    </w:p>
    <w:p>
      <w:pPr>
        <w:jc w:val="both"/>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(b) the negligence or willful misconduct of Landlord, its partners, employees and agents. No other property or assets of Landlord shall be subject to levy, execution or other enforcement procedure for the satisfaction of any judgment or writ obtained by Tenant against Landlord. No partner, employee or agent of Landlord shall be personally liable for the performance of Landlord’s obligations hereunder or be named as a party in any lawsuit arising out of or related to, directly or indirectly, this Lease and the obligations of Landlord hereunder. The obligations under this Lease do not constitute personal obligations of the individual partners of Landlord, if any, and Tenant shall not seek recourse against the individual partners of Landlord or their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79" w:name="page580"/>
    <w:bookmarkEnd w:id="579"/>
    <w:p>
      <w:pPr>
        <w:jc w:val="both"/>
        <w:ind w:firstLine="8"/>
        <w:spacing w:after="0" w:line="254" w:lineRule="auto"/>
        <w:tabs>
          <w:tab w:leader="none" w:pos="489"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IGNS</w:t>
      </w:r>
      <w:r>
        <w:rPr>
          <w:rFonts w:ascii="Arial" w:cs="Arial" w:eastAsia="Arial" w:hAnsi="Arial"/>
          <w:sz w:val="18"/>
          <w:szCs w:val="18"/>
          <w:color w:val="auto"/>
        </w:rPr>
        <w:t>. Tenant shall not make any changes to the exterior of the Premises, install any exterior lights, decorations, balloons, flags, pennants, banners or</w:t>
      </w:r>
      <w:r>
        <w:rPr>
          <w:rFonts w:ascii="Arial" w:cs="Arial" w:eastAsia="Arial" w:hAnsi="Arial"/>
          <w:sz w:val="18"/>
          <w:szCs w:val="18"/>
          <w:b w:val="1"/>
          <w:bCs w:val="1"/>
          <w:color w:val="auto"/>
        </w:rPr>
        <w:t xml:space="preserve"> </w:t>
      </w:r>
      <w:r>
        <w:rPr>
          <w:rFonts w:ascii="Arial" w:cs="Arial" w:eastAsia="Arial" w:hAnsi="Arial"/>
          <w:sz w:val="18"/>
          <w:szCs w:val="18"/>
          <w:color w:val="auto"/>
        </w:rPr>
        <w:t>painting, or erect or install any signs, windows or door lettering, placards, decorations or advertising media of any type which can be viewed from the exterior of the Premises, without Landlord’s prior written consent, which may be given or withheld in Landlord’s sole discretion. Upon vacation of the Premises, Tenant shall remove all signs and repair, paint and/or replace the building facia surface to which its signs are attached. Tenant shall obtain all applicable governmental permits and approvals for signs and exterior treatments. All signs, decorations, advertising media, blinds, draperies and other window treatment or bars or other security installations visible from outside the Premises shall be subject to Landlord’s approval and conform in all respects to Landlord’s requirements.</w:t>
      </w:r>
    </w:p>
    <w:p>
      <w:pPr>
        <w:spacing w:after="0" w:line="189" w:lineRule="exact"/>
        <w:rPr>
          <w:rFonts w:ascii="Arial" w:cs="Arial" w:eastAsia="Arial" w:hAnsi="Arial"/>
          <w:sz w:val="18"/>
          <w:szCs w:val="18"/>
          <w:b w:val="1"/>
          <w:bCs w:val="1"/>
          <w:color w:val="auto"/>
        </w:rPr>
      </w:pPr>
    </w:p>
    <w:p>
      <w:pPr>
        <w:jc w:val="both"/>
        <w:ind w:firstLine="8"/>
        <w:spacing w:after="0" w:line="287" w:lineRule="auto"/>
        <w:tabs>
          <w:tab w:leader="none" w:pos="448" w:val="left"/>
        </w:tabs>
        <w:numPr>
          <w:ilvl w:val="0"/>
          <w:numId w:val="552"/>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1"/>
          <w:szCs w:val="11"/>
          <w:b w:val="1"/>
          <w:bCs w:val="1"/>
          <w:color w:val="auto"/>
        </w:rPr>
        <w:t>ARKING</w:t>
      </w:r>
      <w:r>
        <w:rPr>
          <w:rFonts w:ascii="Arial" w:cs="Arial" w:eastAsia="Arial" w:hAnsi="Arial"/>
          <w:sz w:val="16"/>
          <w:szCs w:val="16"/>
          <w:color w:val="auto"/>
        </w:rPr>
        <w:t>. During the term and subject to the rules and regulations attached hereto as Exhibit C as modified by Landlord from time to time (the “</w:t>
      </w:r>
      <w:r>
        <w:rPr>
          <w:rFonts w:ascii="Arial" w:cs="Arial" w:eastAsia="Arial" w:hAnsi="Arial"/>
          <w:sz w:val="16"/>
          <w:szCs w:val="16"/>
          <w:b w:val="1"/>
          <w:bCs w:val="1"/>
          <w:i w:val="1"/>
          <w:iCs w:val="1"/>
          <w:color w:val="auto"/>
        </w:rPr>
        <w:t>Rules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be entitled to use the number of parking spaces set forth in Section 1.18 in the Common Area parking lot of the Project. Tenant’s parking rights are in common with the parking rights of any other tenants of the Project, and all of Tenant’s parking spaces are unreserved parking spaces. Landlord reserves the right at any time to designate areas in the Common Areas where Tenant may or may not park. If Tenant commits or allows in the parking lot any of the activities prohibited by the Lease or the Rules, then Landlord shall have the right, without notice, in addition to such other rights and remedies that it may have, to remove or tow away the vehicle involved and charge the cost to Tenant, which cost shall be immediately payable by Tenant upon demand by Landlord. Tenant’s parking rights are the personal rights of Tenant, and Tenant shall not transfer, assign or otherwise convey its parking rights separate and apart from this Lease. All parking spaces may only be used for parking vehicles no larger than full-size passenger automobiles or pick-up trucks. Landlord, in addition to its other remedies, shall have the right to remove or tow away any other vehicles. Landlord shall not be responsible for enforcing Tenant’s parking rights against any third parties. Tenant shall not permit or allow any vehicles that belong to or are controlled by Tenant or Tenant’s employees, suppliers, shippers, customers or invitees to be loaded, unloaded or parked in areas other than those designated by Landlord for such activities.</w:t>
      </w:r>
    </w:p>
    <w:p>
      <w:pPr>
        <w:spacing w:after="0" w:line="163" w:lineRule="exact"/>
        <w:rPr>
          <w:rFonts w:ascii="Arial" w:cs="Arial" w:eastAsia="Arial" w:hAnsi="Arial"/>
          <w:sz w:val="16"/>
          <w:szCs w:val="16"/>
          <w:b w:val="1"/>
          <w:bCs w:val="1"/>
          <w:color w:val="auto"/>
        </w:rPr>
      </w:pPr>
    </w:p>
    <w:p>
      <w:pPr>
        <w:jc w:val="both"/>
        <w:ind w:firstLine="8"/>
        <w:spacing w:after="0" w:line="253" w:lineRule="auto"/>
        <w:tabs>
          <w:tab w:leader="none" w:pos="475"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ROKER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w:t>
      </w:r>
      <w:r>
        <w:rPr>
          <w:rFonts w:ascii="Arial" w:cs="Arial" w:eastAsia="Arial" w:hAnsi="Arial"/>
          <w:sz w:val="18"/>
          <w:szCs w:val="18"/>
          <w:color w:val="auto"/>
        </w:rPr>
        <w:t>. Tenant and Landlord each represent and warrant to the other that neither has had any dealings or entered into any agreements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entity, broker or finder other than the persons, if any, listed in Section 1.20, in connection with the negotiation of this Lease, and no other broker, person, or entity is entitled to any commission or finder’s fee in connection with the negotiation of this Lease, and Tenant and Landlord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 The commission payable to Landlord’s broker with respect to this Lease shall be pursuant to the terms of the separate commission agreement in effect between Landlord and Landlord’s broker. Landlord’s broker shall pay a portion of its commission to Tenant’s broker, if so provided in any agreement between Landlord’s broker and Tenant’s broker. Nothing in this Lease shall impose any obligation on Landlord to pay a commission or fee to any party other than Landlord’s broker.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80" w:name="page581"/>
    <w:bookmarkEnd w:id="580"/>
    <w:p>
      <w:pPr>
        <w:ind w:left="660" w:hanging="652"/>
        <w:spacing w:after="0"/>
        <w:tabs>
          <w:tab w:leader="none" w:pos="660"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STOPPEL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ERTIFICATE</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84" w:lineRule="auto"/>
        <w:rPr>
          <w:sz w:val="20"/>
          <w:szCs w:val="20"/>
          <w:color w:val="auto"/>
        </w:rPr>
      </w:pPr>
      <w:r>
        <w:rPr>
          <w:rFonts w:ascii="Arial" w:cs="Arial" w:eastAsia="Arial" w:hAnsi="Arial"/>
          <w:sz w:val="16"/>
          <w:szCs w:val="16"/>
          <w:b w:val="1"/>
          <w:bCs w:val="1"/>
          <w:color w:val="auto"/>
        </w:rPr>
        <w:t>25.1 Delivery of Certificate</w:t>
      </w:r>
      <w:r>
        <w:rPr>
          <w:rFonts w:ascii="Arial" w:cs="Arial" w:eastAsia="Arial" w:hAnsi="Arial"/>
          <w:sz w:val="16"/>
          <w:szCs w:val="16"/>
          <w:color w:val="auto"/>
        </w:rPr>
        <w:t>. Tenant shall from time to time, upon not less than ten (10) days’ prior written notice from Landlord,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 and deliver to Landlord a statement in writing certifying such information as Landlord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so payable, (c) that there are not, to Tenant’s knowledge, any uncured defaults or unfulfilled obligations on the part of Landlord, or specifying such defaults or unfulfilled obligations, if any are claimed, (d) that all tenant improvements to be constructed by Landlord, if any, have been completed in accordance with Landlord’s obligations, and</w:t>
      </w:r>
    </w:p>
    <w:p>
      <w:pPr>
        <w:spacing w:after="0" w:line="4" w:lineRule="exact"/>
        <w:rPr>
          <w:sz w:val="20"/>
          <w:szCs w:val="20"/>
          <w:color w:val="auto"/>
        </w:rPr>
      </w:pPr>
    </w:p>
    <w:p>
      <w:pPr>
        <w:ind w:firstLine="8"/>
        <w:spacing w:after="0" w:line="259" w:lineRule="auto"/>
        <w:tabs>
          <w:tab w:leader="none" w:pos="253"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that Tenant has taken possession of the Premises. Any such statement may be conclusively relied upon by any prospective purchaser or encumbrancer of the Project.</w:t>
      </w:r>
    </w:p>
    <w:p>
      <w:pPr>
        <w:spacing w:after="0" w:line="181"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25.2 Failure to Deliver Certificate</w:t>
      </w:r>
      <w:r>
        <w:rPr>
          <w:rFonts w:ascii="Arial" w:cs="Arial" w:eastAsia="Arial" w:hAnsi="Arial"/>
          <w:sz w:val="18"/>
          <w:szCs w:val="18"/>
          <w:color w:val="auto"/>
        </w:rPr>
        <w:t>. At Landlord’s option, the failure of Tenant to deliver such statement within such time shall constitute a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of Tenant hereunder, or it shall be conclusive upon Tenant that (a) this Lease is in full force and effect, without modification except as may be represented by Landlord, (b) there are no uncured defaults in Landlord’s performance, (c) not more than one month’s Base Rent has been paid in advance, (d) all tenant improvements to be constructed by Landlord, if any, have been completed in accordance with Landlord’s obligations, and (e) Tenant has taken possession of the Premises.</w:t>
      </w:r>
    </w:p>
    <w:p>
      <w:pPr>
        <w:spacing w:after="0" w:line="184" w:lineRule="exact"/>
        <w:rPr>
          <w:sz w:val="20"/>
          <w:szCs w:val="20"/>
          <w:color w:val="auto"/>
        </w:rPr>
      </w:pPr>
    </w:p>
    <w:p>
      <w:pPr>
        <w:jc w:val="both"/>
        <w:ind w:firstLine="8"/>
        <w:spacing w:after="0" w:line="291" w:lineRule="auto"/>
        <w:tabs>
          <w:tab w:leader="none" w:pos="462" w:val="left"/>
        </w:tabs>
        <w:numPr>
          <w:ilvl w:val="0"/>
          <w:numId w:val="555"/>
        </w:numPr>
        <w:rPr>
          <w:rFonts w:ascii="Arial" w:cs="Arial" w:eastAsia="Arial" w:hAnsi="Arial"/>
          <w:sz w:val="16"/>
          <w:szCs w:val="16"/>
          <w:b w:val="1"/>
          <w:bCs w:val="1"/>
          <w:color w:val="auto"/>
        </w:rPr>
      </w:pPr>
      <w:r>
        <w:rPr>
          <w:rFonts w:ascii="Arial" w:cs="Arial" w:eastAsia="Arial" w:hAnsi="Arial"/>
          <w:sz w:val="16"/>
          <w:szCs w:val="16"/>
          <w:b w:val="1"/>
          <w:bCs w:val="1"/>
          <w:color w:val="auto"/>
        </w:rPr>
        <w:t>F</w:t>
      </w:r>
      <w:r>
        <w:rPr>
          <w:rFonts w:ascii="Arial" w:cs="Arial" w:eastAsia="Arial" w:hAnsi="Arial"/>
          <w:sz w:val="11"/>
          <w:szCs w:val="11"/>
          <w:b w:val="1"/>
          <w:bCs w:val="1"/>
          <w:color w:val="auto"/>
        </w:rPr>
        <w:t>INANCIAL</w:t>
      </w:r>
      <w:r>
        <w:rPr>
          <w:rFonts w:ascii="Arial" w:cs="Arial" w:eastAsia="Arial" w:hAnsi="Arial"/>
          <w:sz w:val="16"/>
          <w:szCs w:val="16"/>
          <w:b w:val="1"/>
          <w:bCs w:val="1"/>
          <w:color w:val="auto"/>
        </w:rPr>
        <w:t xml:space="preserve"> I</w:t>
      </w:r>
      <w:r>
        <w:rPr>
          <w:rFonts w:ascii="Arial" w:cs="Arial" w:eastAsia="Arial" w:hAnsi="Arial"/>
          <w:sz w:val="11"/>
          <w:szCs w:val="11"/>
          <w:b w:val="1"/>
          <w:bCs w:val="1"/>
          <w:color w:val="auto"/>
        </w:rPr>
        <w:t>NFORMATION</w:t>
      </w:r>
      <w:r>
        <w:rPr>
          <w:rFonts w:ascii="Arial" w:cs="Arial" w:eastAsia="Arial" w:hAnsi="Arial"/>
          <w:sz w:val="16"/>
          <w:szCs w:val="16"/>
          <w:color w:val="auto"/>
        </w:rPr>
        <w:t>. From time to time, at Landlord’s request, Tenant shall cause the following financial information to be delivered to Landlord, at</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sole cost and expense, upon not less than ten (10) days’ advance written notice from Landlord: (a) a current financial statement for Tenant and Tenant’s financial statements for the previous two accounting years, (b) a current financial statement for any guarantor(s) of this Lease and the guarantor’(s) financial statements for the previous two accounting years and (c) such other financial information pertaining to Tenant or any guarantor as Landlord or any lender or purchaser of Landlord may reasonably request. All financial statements shall be prepared in accordance with generally accepted accounting principles consistently applied and, if such is the normal practice of Tenant, shall be audited by an independent certified public accountant. Tenant hereby authorizes Landlord, from time to time, without notice to Tenant, to obtain a credit report or credit history on Tenant from any credit reporting company.</w:t>
      </w:r>
    </w:p>
    <w:p>
      <w:pPr>
        <w:spacing w:after="0" w:line="161" w:lineRule="exact"/>
        <w:rPr>
          <w:rFonts w:ascii="Arial" w:cs="Arial" w:eastAsia="Arial" w:hAnsi="Arial"/>
          <w:sz w:val="16"/>
          <w:szCs w:val="16"/>
          <w:b w:val="1"/>
          <w:bCs w:val="1"/>
          <w:color w:val="auto"/>
        </w:rPr>
      </w:pPr>
    </w:p>
    <w:p>
      <w:pPr>
        <w:ind w:left="660" w:hanging="652"/>
        <w:spacing w:after="0"/>
        <w:tabs>
          <w:tab w:leader="none" w:pos="660"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NVIRONMENTAL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r>
        <w:rPr>
          <w:rFonts w:ascii="Arial" w:cs="Arial" w:eastAsia="Arial" w:hAnsi="Arial"/>
          <w:sz w:val="18"/>
          <w:szCs w:val="18"/>
          <w:b w:val="1"/>
          <w:bCs w:val="1"/>
          <w:color w:val="auto"/>
        </w:rPr>
        <w:t>/H</w:t>
      </w:r>
      <w:r>
        <w:rPr>
          <w:rFonts w:ascii="Arial" w:cs="Arial" w:eastAsia="Arial" w:hAnsi="Arial"/>
          <w:sz w:val="12"/>
          <w:szCs w:val="12"/>
          <w:b w:val="1"/>
          <w:bCs w:val="1"/>
          <w:color w:val="auto"/>
        </w:rPr>
        <w:t>AZARDOUS</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ATERIALS</w:t>
      </w:r>
      <w:r>
        <w:rPr>
          <w:rFonts w:ascii="Arial" w:cs="Arial" w:eastAsia="Arial" w:hAnsi="Arial"/>
          <w:sz w:val="18"/>
          <w:szCs w:val="18"/>
          <w:color w:val="auto"/>
        </w:rPr>
        <w:t>.</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27.1   Definitions</w:t>
      </w:r>
      <w:r>
        <w:rPr>
          <w:rFonts w:ascii="Arial" w:cs="Arial" w:eastAsia="Arial" w:hAnsi="Arial"/>
          <w:sz w:val="18"/>
          <w:szCs w:val="18"/>
          <w:color w:val="auto"/>
        </w:rPr>
        <w:t>. The following terms shall have the following meanings for purposes of this Lease:</w:t>
      </w:r>
    </w:p>
    <w:p>
      <w:pPr>
        <w:spacing w:after="0" w:line="228"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Biohazardous Materials</w:t>
      </w:r>
      <w:r>
        <w:rPr>
          <w:rFonts w:ascii="Arial" w:cs="Arial" w:eastAsia="Arial" w:hAnsi="Arial"/>
          <w:sz w:val="17"/>
          <w:szCs w:val="17"/>
          <w:color w:val="auto"/>
        </w:rPr>
        <w:t xml:space="preserve">” means any and all substances and materials defined or referred to as a “medical waste,” “biological waste,” “biohazardous waste,” “biohazardous material” or any other term of similar import under any Hazardous Materials Laws, including (but not limited to) California Health &amp; Safety Code Sections 25105 </w:t>
      </w:r>
      <w:r>
        <w:rPr>
          <w:rFonts w:ascii="Arial" w:cs="Arial" w:eastAsia="Arial" w:hAnsi="Arial"/>
          <w:sz w:val="17"/>
          <w:szCs w:val="17"/>
          <w:i w:val="1"/>
          <w:iCs w:val="1"/>
          <w:color w:val="auto"/>
        </w:rPr>
        <w:t>et seq.</w:t>
      </w:r>
      <w:r>
        <w:rPr>
          <w:rFonts w:ascii="Arial" w:cs="Arial" w:eastAsia="Arial" w:hAnsi="Arial"/>
          <w:sz w:val="17"/>
          <w:szCs w:val="17"/>
          <w:color w:val="auto"/>
        </w:rPr>
        <w:t>, and any regulations promulgated thereunder, as amended from time to time.</w:t>
      </w:r>
    </w:p>
    <w:p>
      <w:pPr>
        <w:spacing w:after="0" w:line="165"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Condition</w:t>
      </w:r>
      <w:r>
        <w:rPr>
          <w:rFonts w:ascii="Arial" w:cs="Arial" w:eastAsia="Arial" w:hAnsi="Arial"/>
          <w:sz w:val="18"/>
          <w:szCs w:val="18"/>
          <w:color w:val="auto"/>
        </w:rPr>
        <w:t>” means the Release of any Hazardous Materials in, over, on, under, through, from or about the Project (including, but not limited to, the Premises).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1" w:name="page582"/>
    <w:bookmarkEnd w:id="581"/>
    <w:p>
      <w:pPr>
        <w:jc w:val="both"/>
        <w:ind w:firstLine="64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Damages</w:t>
      </w:r>
      <w:r>
        <w:rPr>
          <w:rFonts w:ascii="Arial" w:cs="Arial" w:eastAsia="Arial" w:hAnsi="Arial"/>
          <w:sz w:val="17"/>
          <w:szCs w:val="17"/>
          <w:color w:val="auto"/>
        </w:rPr>
        <w:t>” means all claims, suits, judgments, damages, losses, penalties, fines, liabilities, encumbrances, liens, costs and expenses of whatever kind or nature, contingent or otherwise, matured or unmatured, foreseeable or unforeseeable, arising out of or in connection with any Environmental Condition, including, to the extent arising out of an Environmental Condition, without limitation: (A) damages for personal injury, or for injury to Project or natural resources occurring on or off the Project, including without limitation (1) any claims brought by or on behalf of any person, (2) any loss of, lost use of, damage to or diminution in value of any Project or natural resource, and (3) costs of any investigation, remediation, removal, abatement. containment, closure, restoration or monitoring work required by any federal, state or local governmental agency or political subdivision, or otherwise reasonably necessary to protect the public health or safety or to make full economic use of the affected Project or natural resource, whether on or off the Project; (B) reasonable fees incurred for the services of attorneys, consultants, contractors, experts and laboratories in connection with the preparation of any feasibility studies, investigations or reports or the performance of any work described above; (C) any liability to any third person or governmental agency to indemnify such person or agency for costs expended or liabilities incurred in connection with any items described in clause (A) or (B) above; (D) any diminution of the value of the Project, restrictions on use of the Project or adverse impacts on marketing or leasing rentable or useable space on the Project; and (E) the amount of any penalties, damages or costs a party is required to pay or incur in excess of that which the party otherwise would reasonably have expected to pay or incur absent the existence of the applicable Environmental Condition.</w:t>
      </w:r>
    </w:p>
    <w:p>
      <w:pPr>
        <w:spacing w:after="0" w:line="188"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Handling,</w:t>
      </w:r>
      <w:r>
        <w:rPr>
          <w:rFonts w:ascii="Arial" w:cs="Arial" w:eastAsia="Arial" w:hAnsi="Arial"/>
          <w:sz w:val="18"/>
          <w:szCs w:val="18"/>
          <w:color w:val="auto"/>
        </w:rPr>
        <w:t>” when used with reference to any substance or material, includes (but is not limited to) any receipt, storage, use, generation, Release, transportation, treatment, handling or disposal of such substance or material.</w:t>
      </w:r>
    </w:p>
    <w:p>
      <w:pPr>
        <w:spacing w:after="0" w:line="170" w:lineRule="exact"/>
        <w:rPr>
          <w:sz w:val="20"/>
          <w:szCs w:val="20"/>
          <w:color w:val="auto"/>
        </w:rPr>
      </w:pPr>
    </w:p>
    <w:p>
      <w:pPr>
        <w:jc w:val="both"/>
        <w:ind w:firstLine="64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and all chemical, explosive, biohazardous, radioactive or otherwise toxic or hazardous materials or hazardous wastes, including without limitation any asbestos containing materials, PCB’s. CFC’s, petroleum and derivatives thereof, Radioactive Materials, Biohazardous Materials, Hazardous Wastes, any other substances defined or listed as or meeting the characteristics of a hazardous substance, hazardous material, hazardous waste, extremely hazardous waste, restricted hazardous waste, toxic substance, toxic waste, biohazardous material, biohazardous waste, biological waste, medical waste, radiation, radioactive substance, radioactive waste, or other similar term, as applicable, under any law, statute, ordinance, code, rule, regulation, directive, order, condition or other written requirement enacted, promulgated or issued by any public officer or governmental or quasi-governmental authority, whether now in force or hereafter in force at any time or from time to time to protect the environment or human health, and/or any mixed materials, substances or wastes containing more than one of the foregoing categories of materials, substances or wastes.</w:t>
      </w:r>
    </w:p>
    <w:p>
      <w:pPr>
        <w:spacing w:after="0" w:line="166"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 Laws</w:t>
      </w:r>
      <w:r>
        <w:rPr>
          <w:rFonts w:ascii="Arial" w:cs="Arial" w:eastAsia="Arial" w:hAnsi="Arial"/>
          <w:sz w:val="16"/>
          <w:szCs w:val="16"/>
          <w:color w:val="auto"/>
        </w:rPr>
        <w:t>” means, collectively, (A) the Comprehensive Environmental Response, Compensation and Liability Act of 1980, 42 U.S.C. Sections 9601-9657, (B) the Hazardous Materials Transportation Act of 1975, 49 U.S.C. Sections 1801-1812, (C) the Resource Conservation and Recovery Act of 1976, 42 U.S.C. Sections 6901-6987 (together with any amendments thereto, any regulations thereunder and any amendments to any such regulations as in effect from time to time, “</w:t>
      </w:r>
      <w:r>
        <w:rPr>
          <w:rFonts w:ascii="Arial" w:cs="Arial" w:eastAsia="Arial" w:hAnsi="Arial"/>
          <w:sz w:val="16"/>
          <w:szCs w:val="16"/>
          <w:b w:val="1"/>
          <w:bCs w:val="1"/>
          <w:i w:val="1"/>
          <w:iCs w:val="1"/>
          <w:color w:val="auto"/>
        </w:rPr>
        <w:t>RCRA</w:t>
      </w:r>
      <w:r>
        <w:rPr>
          <w:rFonts w:ascii="Arial" w:cs="Arial" w:eastAsia="Arial" w:hAnsi="Arial"/>
          <w:sz w:val="16"/>
          <w:szCs w:val="16"/>
          <w:color w:val="auto"/>
        </w:rPr>
        <w:t xml:space="preserve">”), (D) the California Carpenter-Presley-Tanner Hazardous Substance Account Act, California Health &amp; Safety Code Sections 25300 </w:t>
      </w:r>
      <w:r>
        <w:rPr>
          <w:rFonts w:ascii="Arial" w:cs="Arial" w:eastAsia="Arial" w:hAnsi="Arial"/>
          <w:sz w:val="16"/>
          <w:szCs w:val="16"/>
          <w:i w:val="1"/>
          <w:iCs w:val="1"/>
          <w:color w:val="auto"/>
        </w:rPr>
        <w:t>et seq.</w:t>
      </w:r>
      <w:r>
        <w:rPr>
          <w:rFonts w:ascii="Arial" w:cs="Arial" w:eastAsia="Arial" w:hAnsi="Arial"/>
          <w:sz w:val="16"/>
          <w:szCs w:val="16"/>
          <w:color w:val="auto"/>
        </w:rPr>
        <w:t xml:space="preserve">, (E) the Hazardous Materials Release Response Plans and Inventory Act, California Health &amp; Safety Code Sections 25500 </w:t>
      </w:r>
      <w:r>
        <w:rPr>
          <w:rFonts w:ascii="Arial" w:cs="Arial" w:eastAsia="Arial" w:hAnsi="Arial"/>
          <w:sz w:val="16"/>
          <w:szCs w:val="16"/>
          <w:i w:val="1"/>
          <w:iCs w:val="1"/>
          <w:color w:val="auto"/>
        </w:rPr>
        <w:t>et seq.</w:t>
      </w:r>
      <w:r>
        <w:rPr>
          <w:rFonts w:ascii="Arial" w:cs="Arial" w:eastAsia="Arial" w:hAnsi="Arial"/>
          <w:sz w:val="16"/>
          <w:szCs w:val="16"/>
          <w:color w:val="auto"/>
        </w:rPr>
        <w:t>, (F) the California Hazardous Waste Control Law, California Health &amp; Safety Code Sections 25100</w:t>
      </w:r>
      <w:r>
        <w:rPr>
          <w:rFonts w:ascii="Arial" w:cs="Arial" w:eastAsia="Arial" w:hAnsi="Arial"/>
          <w:sz w:val="16"/>
          <w:szCs w:val="16"/>
          <w:i w:val="1"/>
          <w:iCs w:val="1"/>
          <w:color w:val="auto"/>
        </w:rPr>
        <w:t xml:space="preserve"> et seq. </w:t>
      </w:r>
      <w:r>
        <w:rPr>
          <w:rFonts w:ascii="Arial" w:cs="Arial" w:eastAsia="Arial" w:hAnsi="Arial"/>
          <w:sz w:val="16"/>
          <w:szCs w:val="16"/>
          <w:color w:val="auto"/>
        </w:rPr>
        <w:t>(together with any amendments thereto, any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thereunder and any amendments to any such regulations as in effect from time to time, the “</w:t>
      </w:r>
      <w:r>
        <w:rPr>
          <w:rFonts w:ascii="Arial" w:cs="Arial" w:eastAsia="Arial" w:hAnsi="Arial"/>
          <w:sz w:val="16"/>
          <w:szCs w:val="16"/>
          <w:b w:val="1"/>
          <w:bCs w:val="1"/>
          <w:i w:val="1"/>
          <w:iCs w:val="1"/>
          <w:color w:val="auto"/>
        </w:rPr>
        <w:t>CHWCL</w:t>
      </w:r>
      <w:r>
        <w:rPr>
          <w:rFonts w:ascii="Arial" w:cs="Arial" w:eastAsia="Arial" w:hAnsi="Arial"/>
          <w:sz w:val="16"/>
          <w:szCs w:val="16"/>
          <w:color w:val="auto"/>
        </w:rPr>
        <w:t>”), (G) California Health &amp; Safety Code Sections 25015-25027.8, (H) any amendments to or successor statutes to any of the foregoing, as adopted or enacted from time to time, (I) any regulations or amendments thereto promulgated pursuant to any of the foregoing from time to time, (J) any statutes, laws, ordinances, codes, regulations or other Legal Requirements relating to Biohazardous Materials, including (but not limited to) any regulations or requirements with respect to the shipping, use, decontamination and disposal thereof, and (K) any other Legal Requirement now or at any time hereafter in effect regulating, relating to or imposing liability or standards of conduct concerning any Hazardous Materials, including (but not limited to) any requirements or conditions imposed pursuant to the terms of any orders, permits, licenses, registrations or operating plans issued or approved by any governmental or quasi-governmental authority from time to time either on a Project-wide basis or in connection with any Handling of Hazardous Materials in, on or about the Premises or the Project.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82" w:name="page583"/>
    <w:bookmarkEnd w:id="582"/>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Waste Facility</w:t>
      </w:r>
      <w:r>
        <w:rPr>
          <w:rFonts w:ascii="Arial" w:cs="Arial" w:eastAsia="Arial" w:hAnsi="Arial"/>
          <w:sz w:val="18"/>
          <w:szCs w:val="18"/>
          <w:color w:val="auto"/>
        </w:rPr>
        <w:t>” means a hazardous waste facility as defined under the CHWCL or any successor statute as in effect from time to time which requires any permit or approvals issued by a governmental agency or regulatory agency (other than a permit for the Handling by Tenant of the Permitted Hazardous Materials).</w:t>
      </w:r>
    </w:p>
    <w:p>
      <w:pPr>
        <w:spacing w:after="0" w:line="183"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Wastes</w:t>
      </w:r>
      <w:r>
        <w:rPr>
          <w:rFonts w:ascii="Arial" w:cs="Arial" w:eastAsia="Arial" w:hAnsi="Arial"/>
          <w:sz w:val="18"/>
          <w:szCs w:val="18"/>
          <w:color w:val="auto"/>
        </w:rPr>
        <w:t>” means (A) any waste listed as or meeting the identified characteristics of a “</w:t>
      </w:r>
      <w:r>
        <w:rPr>
          <w:rFonts w:ascii="Arial" w:cs="Arial" w:eastAsia="Arial" w:hAnsi="Arial"/>
          <w:sz w:val="18"/>
          <w:szCs w:val="18"/>
          <w:b w:val="1"/>
          <w:bCs w:val="1"/>
          <w:i w:val="1"/>
          <w:iCs w:val="1"/>
          <w:color w:val="auto"/>
        </w:rPr>
        <w:t>hazardous waste</w:t>
      </w:r>
      <w:r>
        <w:rPr>
          <w:rFonts w:ascii="Arial" w:cs="Arial" w:eastAsia="Arial" w:hAnsi="Arial"/>
          <w:sz w:val="18"/>
          <w:szCs w:val="18"/>
          <w:color w:val="auto"/>
        </w:rPr>
        <w:t>” or terms of similar import under RCRA, (B) any waste meeting the identified characteristics of a “</w:t>
      </w:r>
      <w:r>
        <w:rPr>
          <w:rFonts w:ascii="Arial" w:cs="Arial" w:eastAsia="Arial" w:hAnsi="Arial"/>
          <w:sz w:val="18"/>
          <w:szCs w:val="18"/>
          <w:b w:val="1"/>
          <w:bCs w:val="1"/>
          <w:i w:val="1"/>
          <w:iCs w:val="1"/>
          <w:color w:val="auto"/>
        </w:rPr>
        <w:t>hazardous waste,</w:t>
      </w:r>
      <w:r>
        <w:rPr>
          <w:rFonts w:ascii="Arial" w:cs="Arial" w:eastAsia="Arial" w:hAnsi="Arial"/>
          <w:sz w:val="18"/>
          <w:szCs w:val="18"/>
          <w:color w:val="auto"/>
        </w:rPr>
        <w:t>” “</w:t>
      </w:r>
      <w:r>
        <w:rPr>
          <w:rFonts w:ascii="Arial" w:cs="Arial" w:eastAsia="Arial" w:hAnsi="Arial"/>
          <w:sz w:val="18"/>
          <w:szCs w:val="18"/>
          <w:b w:val="1"/>
          <w:bCs w:val="1"/>
          <w:i w:val="1"/>
          <w:iCs w:val="1"/>
          <w:color w:val="auto"/>
        </w:rPr>
        <w:t>extremely hazardous waste</w:t>
      </w:r>
      <w:r>
        <w:rPr>
          <w:rFonts w:ascii="Arial" w:cs="Arial" w:eastAsia="Arial" w:hAnsi="Arial"/>
          <w:sz w:val="18"/>
          <w:szCs w:val="18"/>
          <w:color w:val="auto"/>
        </w:rPr>
        <w:t>” or “</w:t>
      </w:r>
      <w:r>
        <w:rPr>
          <w:rFonts w:ascii="Arial" w:cs="Arial" w:eastAsia="Arial" w:hAnsi="Arial"/>
          <w:sz w:val="18"/>
          <w:szCs w:val="18"/>
          <w:b w:val="1"/>
          <w:bCs w:val="1"/>
          <w:i w:val="1"/>
          <w:iCs w:val="1"/>
          <w:color w:val="auto"/>
        </w:rPr>
        <w:t>restricted hazardous waste</w:t>
      </w:r>
      <w:r>
        <w:rPr>
          <w:rFonts w:ascii="Arial" w:cs="Arial" w:eastAsia="Arial" w:hAnsi="Arial"/>
          <w:sz w:val="18"/>
          <w:szCs w:val="18"/>
          <w:color w:val="auto"/>
        </w:rPr>
        <w:t>” under the CHWCL, and/or (C) any and all other substances and materials defined or referred to as a “</w:t>
      </w:r>
      <w:r>
        <w:rPr>
          <w:rFonts w:ascii="Arial" w:cs="Arial" w:eastAsia="Arial" w:hAnsi="Arial"/>
          <w:sz w:val="18"/>
          <w:szCs w:val="18"/>
          <w:b w:val="1"/>
          <w:bCs w:val="1"/>
          <w:i w:val="1"/>
          <w:iCs w:val="1"/>
          <w:color w:val="auto"/>
        </w:rPr>
        <w:t>hazardous waste</w:t>
      </w:r>
      <w:r>
        <w:rPr>
          <w:rFonts w:ascii="Arial" w:cs="Arial" w:eastAsia="Arial" w:hAnsi="Arial"/>
          <w:sz w:val="18"/>
          <w:szCs w:val="18"/>
          <w:color w:val="auto"/>
        </w:rPr>
        <w:t>” or other term of similar import under any Hazardous Materials Laws.</w:t>
      </w:r>
    </w:p>
    <w:p>
      <w:pPr>
        <w:spacing w:after="0" w:line="187"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Radioactive Materials</w:t>
      </w:r>
      <w:r>
        <w:rPr>
          <w:rFonts w:ascii="Arial" w:cs="Arial" w:eastAsia="Arial" w:hAnsi="Arial"/>
          <w:sz w:val="18"/>
          <w:szCs w:val="18"/>
          <w:color w:val="auto"/>
        </w:rPr>
        <w:t>” means (A) any and all substances and materials the Handling of which requires an approval, consent, permit or license from the Nuclear Regulatory Commission, (B) any and all substances and materials the Handling of which requires a Radioactive Material License or other similar approval, consent, permit or license from the State of California. and (C) any and all other substances and materials defined or referred to as “</w:t>
      </w:r>
      <w:r>
        <w:rPr>
          <w:rFonts w:ascii="Arial" w:cs="Arial" w:eastAsia="Arial" w:hAnsi="Arial"/>
          <w:sz w:val="18"/>
          <w:szCs w:val="18"/>
          <w:b w:val="1"/>
          <w:bCs w:val="1"/>
          <w:i w:val="1"/>
          <w:iCs w:val="1"/>
          <w:color w:val="auto"/>
        </w:rPr>
        <w:t>radiation,</w:t>
      </w:r>
      <w:r>
        <w:rPr>
          <w:rFonts w:ascii="Arial" w:cs="Arial" w:eastAsia="Arial" w:hAnsi="Arial"/>
          <w:sz w:val="18"/>
          <w:szCs w:val="18"/>
          <w:color w:val="auto"/>
        </w:rPr>
        <w:t>” a “</w:t>
      </w:r>
      <w:r>
        <w:rPr>
          <w:rFonts w:ascii="Arial" w:cs="Arial" w:eastAsia="Arial" w:hAnsi="Arial"/>
          <w:sz w:val="18"/>
          <w:szCs w:val="18"/>
          <w:b w:val="1"/>
          <w:bCs w:val="1"/>
          <w:i w:val="1"/>
          <w:iCs w:val="1"/>
          <w:color w:val="auto"/>
        </w:rPr>
        <w:t>radioactive material</w:t>
      </w:r>
      <w:r>
        <w:rPr>
          <w:rFonts w:ascii="Arial" w:cs="Arial" w:eastAsia="Arial" w:hAnsi="Arial"/>
          <w:sz w:val="18"/>
          <w:szCs w:val="18"/>
          <w:color w:val="auto"/>
        </w:rPr>
        <w:t>” or “</w:t>
      </w:r>
      <w:r>
        <w:rPr>
          <w:rFonts w:ascii="Arial" w:cs="Arial" w:eastAsia="Arial" w:hAnsi="Arial"/>
          <w:sz w:val="18"/>
          <w:szCs w:val="18"/>
          <w:b w:val="1"/>
          <w:bCs w:val="1"/>
          <w:i w:val="1"/>
          <w:iCs w:val="1"/>
          <w:color w:val="auto"/>
        </w:rPr>
        <w:t>radioactive waste,</w:t>
      </w:r>
      <w:r>
        <w:rPr>
          <w:rFonts w:ascii="Arial" w:cs="Arial" w:eastAsia="Arial" w:hAnsi="Arial"/>
          <w:sz w:val="18"/>
          <w:szCs w:val="18"/>
          <w:color w:val="auto"/>
        </w:rPr>
        <w:t>” or any other term of similar import under any Hazardous Materials Laws, including (but not limited to) Title 26, California Code of Regulations Section 17-30100, and any statutes, regulations or other laws administered, enforced or promulgated by the Nuclear Regulatory Commission.</w:t>
      </w:r>
    </w:p>
    <w:p>
      <w:pPr>
        <w:spacing w:after="0" w:line="193"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accidental or intentional spilling, leaking, pumping, pouring, emitting, discharging, injecting, escaping, leaching, migrating, dumping or disposing into the air, land, Surface water, groundwater or the environment (including without limitation the abandonment or discarding of receptacles containing any Hazardous Materials).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Tenant’s Contamination</w:t>
      </w:r>
      <w:r>
        <w:rPr>
          <w:rFonts w:ascii="Arial" w:cs="Arial" w:eastAsia="Arial" w:hAnsi="Arial"/>
          <w:sz w:val="18"/>
          <w:szCs w:val="18"/>
          <w:color w:val="auto"/>
        </w:rPr>
        <w:t>” means any Hazardous Material Release on or about the Project by Tenant or a Tenant Party.</w:t>
      </w:r>
    </w:p>
    <w:p>
      <w:pPr>
        <w:spacing w:after="0" w:line="220" w:lineRule="exact"/>
        <w:rPr>
          <w:sz w:val="20"/>
          <w:szCs w:val="20"/>
          <w:color w:val="auto"/>
        </w:rPr>
      </w:pPr>
    </w:p>
    <w:p>
      <w:pPr>
        <w:jc w:val="both"/>
        <w:ind w:firstLine="646"/>
        <w:spacing w:after="0" w:line="282" w:lineRule="auto"/>
        <w:rPr>
          <w:sz w:val="20"/>
          <w:szCs w:val="20"/>
          <w:color w:val="auto"/>
        </w:rPr>
      </w:pPr>
      <w:r>
        <w:rPr>
          <w:rFonts w:ascii="Arial" w:cs="Arial" w:eastAsia="Arial" w:hAnsi="Arial"/>
          <w:sz w:val="16"/>
          <w:szCs w:val="16"/>
          <w:b w:val="1"/>
          <w:bCs w:val="1"/>
          <w:color w:val="auto"/>
        </w:rPr>
        <w:t>27.2 Handling of Hazardous Materials</w:t>
      </w:r>
      <w:r>
        <w:rPr>
          <w:rFonts w:ascii="Arial" w:cs="Arial" w:eastAsia="Arial" w:hAnsi="Arial"/>
          <w:sz w:val="16"/>
          <w:szCs w:val="16"/>
          <w:color w:val="auto"/>
        </w:rPr>
        <w:t>. Tenant shall not cause or permit the presence or Handling of any Hazardous Materials in, on or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or the Project by any Tenant Party, except that Tenant shall be permitted to use in the Premises in a normal and customary manner necessary and reasonable quantities of office supplies or products (such as copier fluids or cleaning supplies) customarily used in the conduct of general business office activities (“</w:t>
      </w:r>
      <w:r>
        <w:rPr>
          <w:rFonts w:ascii="Arial" w:cs="Arial" w:eastAsia="Arial" w:hAnsi="Arial"/>
          <w:sz w:val="16"/>
          <w:szCs w:val="16"/>
          <w:b w:val="1"/>
          <w:bCs w:val="1"/>
          <w:i w:val="1"/>
          <w:iCs w:val="1"/>
          <w:color w:val="auto"/>
        </w:rPr>
        <w:t>Common Office Chemicals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Handling of such Common Office Chemicals by all Tenant Parties shall at all times comply with and be subject to all provisions of this Lease and all Legal Requirements, including all Hazardous Materials Laws. In addition, the parties acknowledge that Tenant wishes and intends to use all or a portion of the Premises as a laboratory for the conduct by Tenant’s business in accordance with the use described in Section 1.8, that such use, as conducted or proposed to be conducted by Tenant, would customarily include the Handling of Hazardous Materials, and that subject to all state, local and federal laws, the Legal Requirements, the terms of this Lease and the Rules and Regulations, Tenant shall therefore be permitted to engage in the Handling in the Premises only of necessary and reasonable quantities of Hazardous Materials customarily used in or incidental to such operation in the manner conducted or proposed to be conducted by Tenant hereunder (“</w:t>
      </w:r>
      <w:r>
        <w:rPr>
          <w:rFonts w:ascii="Arial" w:cs="Arial" w:eastAsia="Arial" w:hAnsi="Arial"/>
          <w:sz w:val="16"/>
          <w:szCs w:val="16"/>
          <w:b w:val="1"/>
          <w:bCs w:val="1"/>
          <w:i w:val="1"/>
          <w:iCs w:val="1"/>
          <w:color w:val="auto"/>
        </w:rPr>
        <w:t>Permitted Hazardous Materials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Handling of such Permitted Hazardous Materials by all Tenant Parties shall at all times comply with and be subject to all provisions of this Lease and all Legal Requirements, including all Hazardous Materials Laws. Without limiting the generality of the foregoing, Tenant shall comply at all times with all Hazardous Materials Laws applicable to any aspect of Tenant’s use of the Premises and the Project and of Tenant’s operations and activities in, on and about the Premises and the Project, and shall ensure at all times that Tenant’s Handling of Hazardous Materials on and about the Premises does not violate (x) the terms of any governmental licenses or permits applicable to the Building (including, but not limited to, any discharge permit obtained by Tenant) or Premises or to Tenant’s Handling of any Hazardous Materials therein, (y) any applicable requirements or restrictions relating to the occupancy classification of the Building and the Premises, or</w:t>
      </w:r>
    </w:p>
    <w:p>
      <w:pPr>
        <w:spacing w:after="0" w:line="5" w:lineRule="exact"/>
        <w:rPr>
          <w:sz w:val="20"/>
          <w:szCs w:val="20"/>
          <w:color w:val="auto"/>
        </w:rPr>
      </w:pPr>
    </w:p>
    <w:p>
      <w:pPr>
        <w:jc w:val="both"/>
        <w:ind w:firstLine="8"/>
        <w:spacing w:after="0" w:line="291" w:lineRule="auto"/>
        <w:tabs>
          <w:tab w:leader="none" w:pos="245" w:val="left"/>
        </w:tabs>
        <w:numPr>
          <w:ilvl w:val="0"/>
          <w:numId w:val="556"/>
        </w:numPr>
        <w:rPr>
          <w:rFonts w:ascii="Arial" w:cs="Arial" w:eastAsia="Arial" w:hAnsi="Arial"/>
          <w:sz w:val="16"/>
          <w:szCs w:val="16"/>
          <w:color w:val="auto"/>
        </w:rPr>
      </w:pPr>
      <w:r>
        <w:rPr>
          <w:rFonts w:ascii="Arial" w:cs="Arial" w:eastAsia="Arial" w:hAnsi="Arial"/>
          <w:sz w:val="16"/>
          <w:szCs w:val="16"/>
          <w:color w:val="auto"/>
        </w:rPr>
        <w:t>any Legal Requirements. To the extent Tenant’s suppliers or vendors or any other Tenant Party moves any Hazardous Materials through the Building or the Project (including, but not limited to, any elevators, if any, common hallways, shared loading docks or other shared or common facilities within the Building, but not including the movement thereof between non-contiguous portions of the Premises), Tenant shall maintain or cause to be maintained detailed records regarding the particular Hazardous Materials thus moved and the time of and route and method of transportation for such movement, and shall make such records available for inspection by Landlord and its consultants upon reasonable notice at any time and from time to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83" w:name="page584"/>
    <w:bookmarkEnd w:id="583"/>
    <w:p>
      <w:pPr>
        <w:jc w:val="both"/>
        <w:ind w:firstLine="646"/>
        <w:spacing w:after="0" w:line="254" w:lineRule="auto"/>
        <w:rPr>
          <w:sz w:val="20"/>
          <w:szCs w:val="20"/>
          <w:color w:val="auto"/>
        </w:rPr>
      </w:pPr>
      <w:r>
        <w:rPr>
          <w:rFonts w:ascii="Arial" w:cs="Arial" w:eastAsia="Arial" w:hAnsi="Arial"/>
          <w:sz w:val="18"/>
          <w:szCs w:val="18"/>
          <w:b w:val="1"/>
          <w:bCs w:val="1"/>
          <w:color w:val="auto"/>
        </w:rPr>
        <w:t>27.3 No Waste Facility</w:t>
      </w:r>
      <w:r>
        <w:rPr>
          <w:rFonts w:ascii="Arial" w:cs="Arial" w:eastAsia="Arial" w:hAnsi="Arial"/>
          <w:sz w:val="18"/>
          <w:szCs w:val="18"/>
          <w:color w:val="auto"/>
        </w:rPr>
        <w:t>. Tenant shall not (A) operate on or about the Premises any facility required to be permitted or licensed as a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 Facility or for which interim status as such is required, nor (B) store any Hazardous Wastes on or about the Premises for longer than the lesser of applicable Legal Requirements and ninety (90) days or more, nor (C) conduct any other activities on or about the Premises that could result in the Premises or the Project or any portion thereof being deemed to be a Hazardous Waste Facility (including, but not limited to, any storage or treatment of any Hazardous Wastes which could have such a result), nor (D) store any Hazardous Wastes on or about the Premises in violation of any Legal Requirements or in violation of the terms of any governmental or quasi-governmental licenses, permits or registrations held by Tenant in connection with the conduct of its business in and about the Premises.</w:t>
      </w:r>
    </w:p>
    <w:p>
      <w:pPr>
        <w:spacing w:after="0" w:line="189"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b w:val="1"/>
          <w:bCs w:val="1"/>
          <w:color w:val="auto"/>
        </w:rPr>
        <w:t>27.4 Disposition of Hazardous Materials; Laboratory Sewer</w:t>
      </w:r>
      <w:r>
        <w:rPr>
          <w:rFonts w:ascii="Arial" w:cs="Arial" w:eastAsia="Arial" w:hAnsi="Arial"/>
          <w:sz w:val="18"/>
          <w:szCs w:val="18"/>
          <w:color w:val="auto"/>
        </w:rPr>
        <w:t>. Tenant shall not Release or dispose of any Hazardous Wastes or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at the Premises or on the Project in violation of any Hazardous Materials Laws, and Tenant shall, to the extent required by Hazardous Materials Laws, arrange for off-site disposal under Tenant’s own name and EPA waste generator number (or other similar identifying information issued or prescribed by any other governmental authority and at Tenant’s sole expense, in compliance with all applicable Hazardous Materials Laws, and with all other applicable legal and regulatory requirements. Without limiting the generality of the foregoing restrictions, Tenant shall not do any of the following in violation of any Hazardous Materials Laws: (i) Release or discharge on, about or from the Project any water or waste that at its point of origin contains a Hazardous Waste, as defined in Title 42, U.S.C. Section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or under any other Hazardous Materials Law, or (ii) Release on, about or from the Project any Hazardous Air Pollutants, as defined in Section 112(b) of the Clean Air Act (42 U.S.C. Section 7412(b)) in violation of any Hazardous Material Law or other legal requirement, or (iii) Release or discharge any Hazardous Materials or Hazardous Wastes into the sanitary sewer system serving the Premises, the Building and/or the Project.</w:t>
      </w:r>
    </w:p>
    <w:p>
      <w:pPr>
        <w:spacing w:after="0" w:line="187"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b w:val="1"/>
          <w:bCs w:val="1"/>
          <w:color w:val="auto"/>
        </w:rPr>
        <w:t>27.5 Specific Prohibitions</w:t>
      </w:r>
      <w:r>
        <w:rPr>
          <w:rFonts w:ascii="Arial" w:cs="Arial" w:eastAsia="Arial" w:hAnsi="Arial"/>
          <w:sz w:val="17"/>
          <w:szCs w:val="17"/>
          <w:color w:val="auto"/>
        </w:rPr>
        <w:t>. Notwithstanding any other provisions of this Section or of this Lease, the following specific prohibitions shall apply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use and occupancy of the Premises by Tenant: (x) Tenant shall not install or cause to be installed any underground storage tanks in, on or about the Project at any time and (y) Tenant shall not Handle or bring onto the Project, or cause or permit any Tenant Party to Handle or bring onto the Project, (A) any Biohazardous Materials the use or presence of which requires a Biosafety Level 3 or 4 designation, or (B) any biological agents or biological materials designated as “</w:t>
      </w:r>
      <w:r>
        <w:rPr>
          <w:rFonts w:ascii="Arial" w:cs="Arial" w:eastAsia="Arial" w:hAnsi="Arial"/>
          <w:sz w:val="17"/>
          <w:szCs w:val="17"/>
          <w:b w:val="1"/>
          <w:bCs w:val="1"/>
          <w:i w:val="1"/>
          <w:iCs w:val="1"/>
          <w:color w:val="auto"/>
        </w:rPr>
        <w:t>select agents</w:t>
      </w:r>
      <w:r>
        <w:rPr>
          <w:rFonts w:ascii="Arial" w:cs="Arial" w:eastAsia="Arial" w:hAnsi="Arial"/>
          <w:sz w:val="17"/>
          <w:szCs w:val="17"/>
          <w:color w:val="auto"/>
        </w:rPr>
        <w:t>” or by any other similar designation applied by the US Food &amp; Drug Administration or by any other federal governmental agency or authority to denote agents or materials associated with possible bioterrorism risks.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84" w:name="page585"/>
    <w:bookmarkEnd w:id="584"/>
    <w:p>
      <w:pPr>
        <w:jc w:val="both"/>
        <w:ind w:firstLine="646"/>
        <w:spacing w:after="0" w:line="281" w:lineRule="auto"/>
        <w:rPr>
          <w:sz w:val="20"/>
          <w:szCs w:val="20"/>
          <w:color w:val="auto"/>
        </w:rPr>
      </w:pPr>
      <w:r>
        <w:rPr>
          <w:rFonts w:ascii="Arial" w:cs="Arial" w:eastAsia="Arial" w:hAnsi="Arial"/>
          <w:sz w:val="16"/>
          <w:szCs w:val="16"/>
          <w:b w:val="1"/>
          <w:bCs w:val="1"/>
          <w:color w:val="auto"/>
        </w:rPr>
        <w:t>27.6 Information Regarding Hazardous Materials</w:t>
      </w:r>
      <w:r>
        <w:rPr>
          <w:rFonts w:ascii="Arial" w:cs="Arial" w:eastAsia="Arial" w:hAnsi="Arial"/>
          <w:sz w:val="16"/>
          <w:szCs w:val="16"/>
          <w:color w:val="auto"/>
        </w:rPr>
        <w:t>. Tenant shall provide the following information and/or documentation to Landlord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execution of this Lease, and thereafter shall update such information and/or documentation (y) upon any material change in Tenant’s Hazardous Materials inventory or in Tenant’s business operations involving Hazardous Materials, and (z) at such other times as Landlord may reasonably request in writing from time to time, which updates shall reflect any material changes in such information and/or documentation: (1) a then current inventory of all Hazardous Materials that Tenant receives, uses, handles, generates, transports, stores, treats or disposes of from time to time, or at the time of preparation of such inventory proposes or expects to use, handle, generate, transport, store, treat or dispose of from time to time, in connection with its operations at the Premises. Such inventory shall include, but shall separately identify, any Hazardous Wastes, Biohazardous Materials and Radioactive Materials covered by the foregoing description. If such inventory includes any Biohazardous Materials, Tenant shall also disclose in writing to Landlord the Biosafety Level designation associated with the use of such materials and shall complete a hazardous material disclosure certificate in a form reasonably requested by Landlord; (2) copies of all then existing permits, licenses, registrations and other similar documents issued by any governmental or quasi-governmental authority that authorize any Handling of Hazardous Materials in, on or about the Premises or the Project by any Tenant Party; (3) all Safety Data Sheets (“</w:t>
      </w:r>
      <w:r>
        <w:rPr>
          <w:rFonts w:ascii="Arial" w:cs="Arial" w:eastAsia="Arial" w:hAnsi="Arial"/>
          <w:sz w:val="16"/>
          <w:szCs w:val="16"/>
          <w:b w:val="1"/>
          <w:bCs w:val="1"/>
          <w:i w:val="1"/>
          <w:iCs w:val="1"/>
          <w:color w:val="auto"/>
        </w:rPr>
        <w:t>SDS’s</w:t>
      </w:r>
      <w:r>
        <w:rPr>
          <w:rFonts w:ascii="Arial" w:cs="Arial" w:eastAsia="Arial" w:hAnsi="Arial"/>
          <w:sz w:val="16"/>
          <w:szCs w:val="16"/>
          <w:color w:val="auto"/>
        </w:rPr>
        <w:t xml:space="preserve">”), if any, required to be completed with respect to operations of Tenant at the Premises from time to time in accordance with California Code of Regulations Title 8, Section 5191, Occupational Exposure to Hazardous Chemicals in Laboratories or 42 U.S.C. Section 11021, or any amendments thereto, and any hazardous materials inventory that detail the SDS’s if required by Legal Requirements or then otherwise maintained by Tenant; (4) all hazardous waste manifests (as defined in Title 26, California Code of Regulations Section 22-66481), if any, that Tenant is required to complete from time to time in connection with its operations at the Premises; (5) a copy of any Hazardous Materials Business Plan required from time to time with respect to Tenant’s operations at the Premises pursuant to California Health &amp; Safety Code Sections 25500 </w:t>
      </w:r>
      <w:r>
        <w:rPr>
          <w:rFonts w:ascii="Arial" w:cs="Arial" w:eastAsia="Arial" w:hAnsi="Arial"/>
          <w:sz w:val="16"/>
          <w:szCs w:val="16"/>
          <w:i w:val="1"/>
          <w:iCs w:val="1"/>
          <w:color w:val="auto"/>
        </w:rPr>
        <w:t>et seq.</w:t>
      </w:r>
      <w:r>
        <w:rPr>
          <w:rFonts w:ascii="Arial" w:cs="Arial" w:eastAsia="Arial" w:hAnsi="Arial"/>
          <w:sz w:val="16"/>
          <w:szCs w:val="16"/>
          <w:color w:val="auto"/>
        </w:rPr>
        <w:t>, and any regulations promulgated thereunder, as amended from time to time, or in connection with Tenant’s application for a business license from the City of South San Francisco (the “</w:t>
      </w:r>
      <w:r>
        <w:rPr>
          <w:rFonts w:ascii="Arial" w:cs="Arial" w:eastAsia="Arial" w:hAnsi="Arial"/>
          <w:sz w:val="16"/>
          <w:szCs w:val="16"/>
          <w:b w:val="1"/>
          <w:bCs w:val="1"/>
          <w:i w:val="1"/>
          <w:iCs w:val="1"/>
          <w:color w:val="auto"/>
        </w:rPr>
        <w:t>City</w:t>
      </w:r>
      <w:r>
        <w:rPr>
          <w:rFonts w:ascii="Arial" w:cs="Arial" w:eastAsia="Arial" w:hAnsi="Arial"/>
          <w:sz w:val="16"/>
          <w:szCs w:val="16"/>
          <w:color w:val="auto"/>
        </w:rPr>
        <w:t xml:space="preserve">”), or, if not required, to the extent maintained by Tenant; (6) any Contingency Plans and Emergency Procedures required of Tenant from time to time, in connection with its operations at the Premises, pursuant to Title 26, California Code of Regulations Sections 22-67140 </w:t>
      </w:r>
      <w:r>
        <w:rPr>
          <w:rFonts w:ascii="Arial" w:cs="Arial" w:eastAsia="Arial" w:hAnsi="Arial"/>
          <w:sz w:val="16"/>
          <w:szCs w:val="16"/>
          <w:i w:val="1"/>
          <w:iCs w:val="1"/>
          <w:color w:val="auto"/>
        </w:rPr>
        <w:t>et seq.</w:t>
      </w:r>
      <w:r>
        <w:rPr>
          <w:rFonts w:ascii="Arial" w:cs="Arial" w:eastAsia="Arial" w:hAnsi="Arial"/>
          <w:sz w:val="16"/>
          <w:szCs w:val="16"/>
          <w:color w:val="auto"/>
        </w:rPr>
        <w:t>, and any amendments thereto, and any Training Programs and Records required under Title 26, California Code of Regulations Section 22-66493, and any amendments thereto from time to time, or, if not required, to the extent then maintained by Tenant; (7) copies of any biennial or other periodic reports furnished or required to be furnished to the California Department of Health Services from time to time, pursuant to Title 26, California Code of Regulations Section 22-66493 and any amendments thereto, relating to any Hazardous Materials; (8) copies of any industrial wastewater discharge permits issued to or held by Tenant from time to time in connection with its operations at the Premises; (9) copies of any other lists, reports, studies, or inventories of Hazardous Materials or of any subcategories of materials included in Hazardous Materials that Tenant is otherwise required to prepare and file from time to time with any governmental or quasi-governmental authority in connection with Tenant’s operations at the Premises, including (but not limited to) any forms or reports filed by Tenant with the federal Food &amp; Drug Administration or any other regulatory authorities in connection with the presence (or lack thereof) of any “</w:t>
      </w:r>
      <w:r>
        <w:rPr>
          <w:rFonts w:ascii="Arial" w:cs="Arial" w:eastAsia="Arial" w:hAnsi="Arial"/>
          <w:sz w:val="16"/>
          <w:szCs w:val="16"/>
          <w:b w:val="1"/>
          <w:bCs w:val="1"/>
          <w:i w:val="1"/>
          <w:iCs w:val="1"/>
          <w:color w:val="auto"/>
        </w:rPr>
        <w:t>select agents</w:t>
      </w:r>
      <w:r>
        <w:rPr>
          <w:rFonts w:ascii="Arial" w:cs="Arial" w:eastAsia="Arial" w:hAnsi="Arial"/>
          <w:sz w:val="16"/>
          <w:szCs w:val="16"/>
          <w:color w:val="auto"/>
        </w:rPr>
        <w:t>” or other Biohazardous Materials on the Premises, together with proof of filing thereof; (10) any other information reasonably requested by Landlord in writing from time to time in connection with (A) Landlord’s monitoring (in Landlord’s reasonable discretion) and enforcement of Tenant’s obligations under this Section and of compliance with applicable Legal Requirements in connection with any Handling or Release of Hazardous Materials in the Premises or Building or on or about the Project by any Tenant Party,</w:t>
      </w:r>
    </w:p>
    <w:p>
      <w:pPr>
        <w:spacing w:after="0" w:line="16" w:lineRule="exact"/>
        <w:rPr>
          <w:sz w:val="20"/>
          <w:szCs w:val="20"/>
          <w:color w:val="auto"/>
        </w:rPr>
      </w:pPr>
    </w:p>
    <w:p>
      <w:pPr>
        <w:jc w:val="both"/>
        <w:ind w:firstLine="8"/>
        <w:spacing w:after="0" w:line="267" w:lineRule="auto"/>
        <w:tabs>
          <w:tab w:leader="none" w:pos="312" w:val="left"/>
        </w:tabs>
        <w:numPr>
          <w:ilvl w:val="0"/>
          <w:numId w:val="557"/>
        </w:numPr>
        <w:rPr>
          <w:rFonts w:ascii="Arial" w:cs="Arial" w:eastAsia="Arial" w:hAnsi="Arial"/>
          <w:sz w:val="17"/>
          <w:szCs w:val="17"/>
          <w:color w:val="auto"/>
        </w:rPr>
      </w:pPr>
      <w:r>
        <w:rPr>
          <w:rFonts w:ascii="Arial" w:cs="Arial" w:eastAsia="Arial" w:hAnsi="Arial"/>
          <w:sz w:val="17"/>
          <w:szCs w:val="17"/>
          <w:color w:val="auto"/>
        </w:rPr>
        <w:t xml:space="preserve">any inspections or enforcement actions by any governmental authority pursuant to any Hazardous Materials Laws or any other Legal Requirements relating to the presence or Handling of Hazardous Materials in the Premises or Building or on or about the Project by any Tenant Party, and/or (C) Landlord’s preparation (in Landlord’s reasonable discretion) and enforcement of any reasonable rules and procedures relating to the presence or Handling by Tenant or any Tenant Party of Hazardous Materials in the Premises or Building or on or about the Project, including (but not limited to) any contingency plans or emergency response plans as described above. Landlord shall keep confidential any information supplied to Landlord by Tenant pursuant to the foregoing;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foregoing shall not apply to any information filed with any governmental authority, available to the public at large or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Landlord is required by Legal Requirements to disclose such information (in which case disclosure shall be permitted only in accordance with such Legal Requirements). Landlord may provide such information to its lenders, consultants, investors, consultants and prospective lenders or purchasers on an as needed basis provided such entities agree to keep such information confidential.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85" w:name="page586"/>
    <w:bookmarkEnd w:id="585"/>
    <w:p>
      <w:pPr>
        <w:jc w:val="both"/>
        <w:ind w:firstLine="646"/>
        <w:spacing w:after="0" w:line="269" w:lineRule="auto"/>
        <w:rPr>
          <w:sz w:val="20"/>
          <w:szCs w:val="20"/>
          <w:color w:val="auto"/>
        </w:rPr>
      </w:pPr>
      <w:r>
        <w:rPr>
          <w:rFonts w:ascii="Arial" w:cs="Arial" w:eastAsia="Arial" w:hAnsi="Arial"/>
          <w:sz w:val="17"/>
          <w:szCs w:val="17"/>
          <w:b w:val="1"/>
          <w:bCs w:val="1"/>
          <w:color w:val="auto"/>
        </w:rPr>
        <w:t>27.7 Indemnification; Notice of Release</w:t>
      </w:r>
      <w:r>
        <w:rPr>
          <w:rFonts w:ascii="Arial" w:cs="Arial" w:eastAsia="Arial" w:hAnsi="Arial"/>
          <w:sz w:val="17"/>
          <w:szCs w:val="17"/>
          <w:color w:val="auto"/>
        </w:rPr>
        <w:t>. Tenant shall be responsible for and shall indemnify, defend and hold Landlord harmless from and</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all Environmental Damages to the extent arising out of or in connection with, or otherwise relating to, (i) any Handling of Hazardous Materials by any Tenant Party in, on or about the Premises or the Project in violation of this Section, (ii) any breach of Tenant’s obligations under this Section or of any Hazardous Materials Laws by any Tenant Party, or (iii) the existence of any Tenant Contamination in violation of Hazardous Materials Laws in, on or about the Premises or the Project to the extent caused by any Tenant Party, including without limitation any removal, cleanup or restoration work and materials necessary to return the Project or any improvements of whatever nature located on the Project to the condition required under Hazardous Materials Laws. In the event of any Tenant Contamination in, on or about the Premises or any other portion of the Project or any adjacent lands, Tenant shall promptly remedy the problem to the extent required by Hazardous Materials Laws and Legal Requirements, shall give Landlord oral notice of any such non-standard or non-customary Release promptly after Tenant becomes aware of such Release, followed by written notice to Landlord within five (5) days after Tenant becomes aware of such Release, and shall furnish Landlord with concurrent copies of any and all notices, reports and other written materials filed by any Tenant Party with any governmental authority in connection with such Release.</w:t>
      </w:r>
    </w:p>
    <w:p>
      <w:pPr>
        <w:spacing w:after="0" w:line="17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27.8 Governmental Notices</w:t>
      </w:r>
      <w:r>
        <w:rPr>
          <w:rFonts w:ascii="Arial" w:cs="Arial" w:eastAsia="Arial" w:hAnsi="Arial"/>
          <w:sz w:val="18"/>
          <w:szCs w:val="18"/>
          <w:color w:val="auto"/>
        </w:rPr>
        <w:t>. Tenant shall promptly provide Landlord with copies of all notices received by Tenant relating to any actual or alleged</w:t>
      </w:r>
      <w:r>
        <w:rPr>
          <w:rFonts w:ascii="Arial" w:cs="Arial" w:eastAsia="Arial" w:hAnsi="Arial"/>
          <w:sz w:val="18"/>
          <w:szCs w:val="18"/>
          <w:b w:val="1"/>
          <w:bCs w:val="1"/>
          <w:color w:val="auto"/>
        </w:rPr>
        <w:t xml:space="preserve"> </w:t>
      </w:r>
      <w:r>
        <w:rPr>
          <w:rFonts w:ascii="Arial" w:cs="Arial" w:eastAsia="Arial" w:hAnsi="Arial"/>
          <w:sz w:val="18"/>
          <w:szCs w:val="18"/>
          <w:color w:val="auto"/>
        </w:rPr>
        <w:t>presence or Handling by any Tenant Party of Hazardous Materials in, on or about the Premises or any other portion of the Project, including, without limitation, any notice of violation, notice of responsibility or demand for action from any federal, state or local governmental authority or official in connection with any actual or alleged presence or Handling by any Tenant Party of Hazardous Materials in or about the Premises or any other portion of the Project.</w:t>
      </w:r>
    </w:p>
    <w:p>
      <w:pPr>
        <w:spacing w:after="0" w:line="184"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b w:val="1"/>
          <w:bCs w:val="1"/>
          <w:color w:val="auto"/>
        </w:rPr>
        <w:t>27.9 Inspection by Landlord</w:t>
      </w:r>
      <w:r>
        <w:rPr>
          <w:rFonts w:ascii="Arial" w:cs="Arial" w:eastAsia="Arial" w:hAnsi="Arial"/>
          <w:sz w:val="17"/>
          <w:szCs w:val="17"/>
          <w:color w:val="auto"/>
        </w:rPr>
        <w:t>. In addition to, and not in limitation of, Landlord’s rights under this Lease, upon reasonable prior request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subject to Landlord’s compliance with Tenant’s security procedures, Tenant shall grant Landlord and its consultants, as well as any governmental authorities having jurisdiction over the Premises or over any aspect of Tenant’s use thereof, reasonable access to the Premises at reasonable times to inspect Tenant’s Handling of Hazardous Materials in, on and about the Premises, and Landlord shall not thereby incur any liability to Tenant or be deemed guilty of any disturbance of Tenant’s use or possession of the Premises by reason of such entry; provided that Landlord uses commercially reasonable efforts to minimize interference with Tenant’s use. Notwithstanding Landlord’s rights of inspection and review of documents, materials and physical conditions under this Section with respect to Tenant’s Handling of Hazardous Materials, Landlord shall have no duty or obligation to perform any such inspection or review or to monitor in any way any documents, materials, physical conditions or compliance with Legal Requirements in connection with Tenant’s Handling of Hazardous Materials, and no third Party shall be entitled to rely on Landlord to conduct any such inspection, review or monitoring by reason of the provisions of this Section.</w:t>
      </w:r>
    </w:p>
    <w:p>
      <w:pPr>
        <w:spacing w:after="0" w:line="178"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b w:val="1"/>
          <w:bCs w:val="1"/>
          <w:color w:val="auto"/>
        </w:rPr>
        <w:t>27.10 Monitoring by Landlord</w:t>
      </w:r>
      <w:r>
        <w:rPr>
          <w:rFonts w:ascii="Arial" w:cs="Arial" w:eastAsia="Arial" w:hAnsi="Arial"/>
          <w:sz w:val="17"/>
          <w:szCs w:val="17"/>
          <w:color w:val="auto"/>
        </w:rPr>
        <w:t>. Landlord reserves the absolute right to monitor, in Landlord’s reasonable discretion and at Landlord’s cost (the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cost of which shall be recoverable as an Operating Expense hereunder (except in the case of a breach of any of Tenant’s obligations under this Section, in which event such monitoring costs may be charged back entirely to Tenant and shall be reimbursed by Tenant to Landlord within ten (10) days after written demand by Landlord from time to time, accompanied by supporting documentation reasonably evidencing the costs for which such reimbursement is claimed)), at such times and from time to time as Landlord in its reasonable discretion may determine, through consultants engaged by Landlord or otherwise as Landlord in its reasonable discretion may determine, (x) all aqueous and atmospheric discharges and emissions from the Premises during the term of this Lease by a Tenant Party, (y) Tenant’s compliance and the collective compliance of all tenants in the Building with requirements and restrictions relating to the occupancy classification of the Building (including, but not limited to, Hazardous Materials inventory levels of Tenant and all other tenants in the Building), and (z) Tenant’s compliance with all other requirements of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6" w:name="page587"/>
    <w:bookmarkEnd w:id="586"/>
    <w:p>
      <w:pPr>
        <w:jc w:val="both"/>
        <w:ind w:firstLine="646"/>
        <w:spacing w:after="0" w:line="289" w:lineRule="auto"/>
        <w:rPr>
          <w:sz w:val="20"/>
          <w:szCs w:val="20"/>
          <w:color w:val="auto"/>
        </w:rPr>
      </w:pPr>
      <w:r>
        <w:rPr>
          <w:rFonts w:ascii="Arial" w:cs="Arial" w:eastAsia="Arial" w:hAnsi="Arial"/>
          <w:sz w:val="16"/>
          <w:szCs w:val="16"/>
          <w:b w:val="1"/>
          <w:bCs w:val="1"/>
          <w:color w:val="auto"/>
        </w:rPr>
        <w:t>27.11 Discovery of Discharge</w:t>
      </w:r>
      <w:r>
        <w:rPr>
          <w:rFonts w:ascii="Arial" w:cs="Arial" w:eastAsia="Arial" w:hAnsi="Arial"/>
          <w:sz w:val="16"/>
          <w:szCs w:val="16"/>
          <w:color w:val="auto"/>
        </w:rPr>
        <w:t>. If Landlord, Tenant or any governmental or quasigovernmental authority discovers any Release from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by a Tenant Party that, in Landlord’s reasonable determination, jeopardizes the ability of the Building or the Project to meet applicable Legal Requirements or otherwise adversely affects the Building’s or the Project’s compliance with applicable discharge or emission standards, or if Landlord discovers any other breach of Tenant’s obligations under this Section, then upon receipt of written notice from Landlord or at such earlier time as Tenant obtains actual knowledge of the applicable discharge, emission or breach, Tenant at its sole expense shall immediately (x) in the case of a Release, cease the applicable discharge or emission and remediate any continuing effects of the discharge or emission until such time, if any, as Tenant demonstrates to Landlord’s reasonable satisfaction that the applicable discharge or emission is in compliance with all applicable Legal Requirements and any other applicable regulatory commitments and obligations, and (y) in the case of any breach of Tenant’s obligations under this Section, take such corrective measures as Landlord may request in writing in order to cure or eliminate the breach as promptly as practicable and to remediate any continuing effects of the breach.</w:t>
      </w:r>
    </w:p>
    <w:p>
      <w:pPr>
        <w:spacing w:after="0" w:line="159" w:lineRule="exact"/>
        <w:rPr>
          <w:sz w:val="20"/>
          <w:szCs w:val="20"/>
          <w:color w:val="auto"/>
        </w:rPr>
      </w:pPr>
    </w:p>
    <w:p>
      <w:pPr>
        <w:jc w:val="both"/>
        <w:ind w:firstLine="646"/>
        <w:spacing w:after="0" w:line="291" w:lineRule="auto"/>
        <w:rPr>
          <w:sz w:val="20"/>
          <w:szCs w:val="20"/>
          <w:color w:val="auto"/>
        </w:rPr>
      </w:pPr>
      <w:r>
        <w:rPr>
          <w:rFonts w:ascii="Arial" w:cs="Arial" w:eastAsia="Arial" w:hAnsi="Arial"/>
          <w:sz w:val="16"/>
          <w:szCs w:val="16"/>
          <w:b w:val="1"/>
          <w:bCs w:val="1"/>
          <w:color w:val="auto"/>
        </w:rPr>
        <w:t>27.12 End of Term Study</w:t>
      </w:r>
      <w:r>
        <w:rPr>
          <w:rFonts w:ascii="Arial" w:cs="Arial" w:eastAsia="Arial" w:hAnsi="Arial"/>
          <w:sz w:val="16"/>
          <w:szCs w:val="16"/>
          <w:color w:val="auto"/>
        </w:rPr>
        <w:t>. If Tenant or any Tenant Party Handles any Hazardous Materials in, on or about the Premises or the Project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of this Lease, then prior to the termination or expiration of this Lease, Tenant at its sole cost and expense shall obtain and deliver to Landlord an environmental study, performed by an expert reasonably satisfactory to Landlord, evaluating, the presence or absence of any Tenant Contamination in violation of Hazardous Materials Laws in, on and about the Premises and the Project. Such study shall be based on a reasonable and prudent level of tests and investigations of the Premises and surrounding portions of the Project (if appropriate). Liability for any remedial actions required or recommended on the basis of such study shall be allocated in accordance with the applicable provisions of this Lease. To the extent any such remedial actions are the responsibility of Tenant, Tenant at its sole expense shall promptly commence and diligently pursue to completion the required remedial actions.</w:t>
      </w:r>
    </w:p>
    <w:p>
      <w:pPr>
        <w:spacing w:after="0" w:line="161"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27.13 Emergency Response Plans</w:t>
      </w:r>
      <w:r>
        <w:rPr>
          <w:rFonts w:ascii="Arial" w:cs="Arial" w:eastAsia="Arial" w:hAnsi="Arial"/>
          <w:sz w:val="17"/>
          <w:szCs w:val="17"/>
          <w:color w:val="auto"/>
        </w:rPr>
        <w:t>. If Landlord in its reasonable discretion adopts any emergency response plan and/or any Contingency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Emergency Procedures for the Building or for multiple Buildings on the Project, Landlord shall provide copies of any such plans and procedures to Tenant and, so long as such plans and procedures are reasonable and do not unreasonably interfere with Tenant’s use of the Premises for the purpose described in Section 1.8 or access to the Premises or materially increase the cost incurred by Tenant at the Premises, Tenant shall, at its sole cost and expense, comply with all of the requirements of such plans and procedures to the extent applicable to Tenant and/or the Premises. Landlord alone shall determine, in its reasonable discretion, the appropriate scope of such plans consultation and nothing in this paragraph shall be construed to give Tenant any right of approval or disapproval over Landlord’s adoption or modification of any such plans or procedures.</w:t>
      </w:r>
    </w:p>
    <w:p>
      <w:pPr>
        <w:spacing w:after="0" w:line="172"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27.14 Radioactive Materials</w:t>
      </w:r>
      <w:r>
        <w:rPr>
          <w:rFonts w:ascii="Arial" w:cs="Arial" w:eastAsia="Arial" w:hAnsi="Arial"/>
          <w:sz w:val="18"/>
          <w:szCs w:val="18"/>
          <w:color w:val="auto"/>
        </w:rPr>
        <w:t>. Without limiting any other applicable provisions of this Section, if Tenant Handles or proposes to Handle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Radioactive Materials in or about the Premises, Tenant shall provide Landlord with copies of Tenant’s licenses or permits for such Radioactive Materials and with copies of all radiation protection programs and procedures required under applicable Legal Requirements or otherwise adopted by Tenant from time to time in connection with Tenant’s Handling of such Radioactive Materials. In addition, Tenant shall comply with any and all rules and procedures issued by Landlord in its good faith discretion from time to time with respect to the Handling of Radioactive Materials on the Project (such as, by way of example but not limitation, rules implementing a label defacement program for decayed waste destined for common trash and/or rules relating to transportation and storage of Radioactive Materials on the Project),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rules and procedures shall be reasonable and in excess of any obligations imposed by any applicable Legal Requirements.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87" w:name="page588"/>
    <w:bookmarkEnd w:id="587"/>
    <w:p>
      <w:pPr>
        <w:jc w:val="both"/>
        <w:ind w:firstLine="646"/>
        <w:spacing w:after="0" w:line="282" w:lineRule="auto"/>
        <w:rPr>
          <w:sz w:val="20"/>
          <w:szCs w:val="20"/>
          <w:color w:val="auto"/>
        </w:rPr>
      </w:pPr>
      <w:r>
        <w:rPr>
          <w:rFonts w:ascii="Arial" w:cs="Arial" w:eastAsia="Arial" w:hAnsi="Arial"/>
          <w:sz w:val="16"/>
          <w:szCs w:val="16"/>
          <w:b w:val="1"/>
          <w:bCs w:val="1"/>
          <w:color w:val="auto"/>
        </w:rPr>
        <w:t>27.15 Deemed Holdover Occupancy</w:t>
      </w:r>
      <w:r>
        <w:rPr>
          <w:rFonts w:ascii="Arial" w:cs="Arial" w:eastAsia="Arial" w:hAnsi="Arial"/>
          <w:sz w:val="16"/>
          <w:szCs w:val="16"/>
          <w:color w:val="auto"/>
        </w:rPr>
        <w:t>. Notwithstanding any other provisions of this Lease, Tenant expressly agrees as follows: (1) If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Handles any Radioactive Materials in or about the Premises during the term of this Lease, then for so long as any license or permit relating to such Radioactive Materials remains open following any otherwise applicable termination or expiration of the term of this Lease and another entity handling Radioactive Materials which is a prospective tenant of Landlord is legally prohibited from occupying the Premises, then and in such event, Tenant shall be deemed to be occupying the Premises on a holdover basis without Landlord’s consent (notwithstanding such otherwise applicable termination or expiration of the term of this Lease) and shall be required to continue to pay Rent and other charges in accordance with the holdover provisions of this Lease until such time as all such Radioactive Materials licenses and permits have been fully closed out in accordance with the requirements of this Lease and with all applicable Hazardous Materials Laws and other Legal Requirements. (2) If Tenant Handles any Hazardous Materials in or about the Premises during the term of this Lease and, at the otherwise applicable termination or expiration of the term of this Lease, Tenant has failed to remove from the Premises, the Building and/or the Project all Hazardous Materials Handled by a Tenant Party or has failed to complete any remediation or removal of Tenant’s Contamination and/or to have fully remediated, in compliance with the requirements of this Lease and with all applicable Hazardous Materials Laws and other Legal Requirements, the Tenant’s Handling and/or Release (if applicable) of any such Hazardous Materials and/or Tenant shall have failed to obtain and deliver to Landlord a written statement from the San Mateo County Department of Health stating that no further action is required for re-occupancy of the Premises, then for so long as such circumstances continue to exist, Tenant shall be deemed to be occupying the Premises on a holdover basis without Landlord’s consent (notwithstanding such otherwise applicable termination or expiration of the term of this Lease) and shall be required to continue pay Rent and other charges in accordance with the holdover provisions of this Lease until such time as all such circumstances have been fully resolved in accordance with the requirements of this Lease and with all applicable Hazardous Materials Laws and other Legal Requirements. For purposes of this Section below, “</w:t>
      </w:r>
      <w:r>
        <w:rPr>
          <w:rFonts w:ascii="Arial" w:cs="Arial" w:eastAsia="Arial" w:hAnsi="Arial"/>
          <w:sz w:val="16"/>
          <w:szCs w:val="16"/>
          <w:b w:val="1"/>
          <w:bCs w:val="1"/>
          <w:i w:val="1"/>
          <w:iCs w:val="1"/>
          <w:color w:val="auto"/>
        </w:rPr>
        <w:t>known</w:t>
      </w:r>
      <w:r>
        <w:rPr>
          <w:rFonts w:ascii="Arial" w:cs="Arial" w:eastAsia="Arial" w:hAnsi="Arial"/>
          <w:sz w:val="16"/>
          <w:szCs w:val="16"/>
          <w:color w:val="auto"/>
        </w:rPr>
        <w:t>” shall include both (A) matters actually known to either Landlord or Tenant at the relevant date and (B) any violation of Legal Requirements disclosed in the post-occupancy environmental study required under this Lease. (3) The parties acknowledge that any failure by Tenant (A) to have fully closed out any and all Radioactive Materials licenses and permits at the otherwise applicable termination or expiration of the term of this Lease to the extent required by Legal Requirements, and/or (B) to have removed from the Premises and the Building, at the otherwise applicable termination or expiration of the term of this Lease, all known Hazardous Materials attributable to Tenant’s use and occupancy of the Premises and to have fully remediated by such date, in compliance with the requirements of this Lease and with all applicable Hazardous Materials Laws and other Legal Requirements, the Tenant’s Handling and/or Release (if applicable) of any such Hazardous Materials in violation of Legal Requirements, in each instance will make it extremely difficult or impossible for Landlord to re-let or otherwise use the Premises while such circumstances continue, and will therefore cause Landlord to incur costs and damages not contemplated by this Lease (including, without limitation, loss of income from re-letting of the Premises and exposure to possible damages claims by successor tenants to which Landlord may have already contracted to re-let the Premises). The parties further acknowledge that it is extremely difficult and impractical to fix the exact amount of such costs and damages, and that the provisions of this Section represent a fair and reasonable estimate of Landlord’s damages from loss of opportunities to re-let the Premises (but do not include potential damages claims by successor tenants or limit Tenant’s liability to Landlord with respect to any such claims, which shall instead be governed by the indemnity provisions in this Lease) and are specifically intended to provide Landlord with reasonable protection against the loss of income associated with being unable to re-let the Premises until all such circumstances have been appropriately resolved, recognizing the long-lived nature of many Radioactive Materials and other Hazardous Materials and the strict Legal Requirements associated with the Handling of such Radioactive Materials and other Hazardous Materials.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88" w:name="page589"/>
    <w:bookmarkEnd w:id="588"/>
    <w:p>
      <w:pPr>
        <w:jc w:val="both"/>
        <w:ind w:firstLine="646"/>
        <w:spacing w:after="0" w:line="254" w:lineRule="auto"/>
        <w:rPr>
          <w:sz w:val="20"/>
          <w:szCs w:val="20"/>
          <w:color w:val="auto"/>
        </w:rPr>
      </w:pPr>
      <w:r>
        <w:rPr>
          <w:rFonts w:ascii="Arial" w:cs="Arial" w:eastAsia="Arial" w:hAnsi="Arial"/>
          <w:sz w:val="18"/>
          <w:szCs w:val="18"/>
          <w:b w:val="1"/>
          <w:bCs w:val="1"/>
          <w:color w:val="auto"/>
        </w:rPr>
        <w:t>27.16 Survival of Obligations</w:t>
      </w:r>
      <w:r>
        <w:rPr>
          <w:rFonts w:ascii="Arial" w:cs="Arial" w:eastAsia="Arial" w:hAnsi="Arial"/>
          <w:sz w:val="18"/>
          <w:szCs w:val="18"/>
          <w:color w:val="auto"/>
        </w:rPr>
        <w:t>. Tenant’s obligations and Landlord’s rights under this Section shall survive the expiration or other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and shall survive any conveyance by Landlord of its interest in the Premises. The provisions of this Section and any exercise by either party of any of the rights and remedies contained herein shall be without prejudice to any other rights and remedies that such party may have under this Lease or under applicable Legal Requirements with respect to any Environmental Conditions and/or any Hazardous Materials with respect to any breach of the other party’s obligations under this Section. Either party’s exercise or failure to exercise, at any time or from time to time, any or all of the rights granted in this Section shall not in any way impose any liability on such party or shift from the other party to such party any responsibility or obligation imposed upon the other party under this Lease or under applicable Legal Requirements with respect to Hazardous Materials, Environmental Conditions and/or compliance with Legal Requirements.</w:t>
      </w:r>
    </w:p>
    <w:p>
      <w:pPr>
        <w:spacing w:after="0" w:line="186" w:lineRule="exact"/>
        <w:rPr>
          <w:sz w:val="20"/>
          <w:szCs w:val="20"/>
          <w:color w:val="auto"/>
        </w:rPr>
      </w:pPr>
    </w:p>
    <w:p>
      <w:pPr>
        <w:ind w:left="660" w:hanging="652"/>
        <w:spacing w:after="0"/>
        <w:tabs>
          <w:tab w:leader="none" w:pos="660"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UBORDINATION</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28.1 Effect of Subordination</w:t>
      </w:r>
      <w:r>
        <w:rPr>
          <w:rFonts w:ascii="Arial" w:cs="Arial" w:eastAsia="Arial" w:hAnsi="Arial"/>
          <w:sz w:val="17"/>
          <w:szCs w:val="17"/>
          <w:color w:val="auto"/>
        </w:rPr>
        <w:t>. This Lease, and any Option (as defined below) granted hereby, upon Landlord’s written election, shall be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and subordinate to any ground lease, mortgage, deed of trust or any other hypothecation or security now or hereafter placed upon the Project and to any and all advances made on the security thereof and to all renewals, modifications, consolidations, replacements and extensions thereof. Notwithstanding such subordination, Tenant’s right to quiet possession of the Premises shall not be disturbed if Tenant is not in default beyond any applicable cure period and so long as Tenant shall pay the rent and observe and perform all of the provisions of this Lease, unless this Lease is otherwise terminated pursuant to its terms. At the request of any mortgagee, trustee or ground lessor, Tenant shall attorn to such person or entity. If any mortgagee, trustee or ground lessor shall elect to have this Lease and any Options granted hereby prior to the lien of its mortgage, deed of trust or ground lease, and shall give written notice thereof to Tenant, this Lease and such Options shall be deemed prior to such mortgage, deed of trust or ground lease, whether this Lease or such Options are dated prior or subsequent to the date of said mortgage, deed of trust or ground lease or the date of recording thereof. In the event of the foreclosure of a security device, the new owner shall not (a) be liable for any act or omission of any prior landlord or with respect to events occurring prior to its acquisition of title, (b) be liable for the breach of this Lease by any prior landlord, (c) be subject to any offsets or defenses which Tenant may have against the prior landlord or (d) be liable to Tenant for the return of its security deposit.</w:t>
      </w:r>
    </w:p>
    <w:p>
      <w:pPr>
        <w:spacing w:after="0" w:line="180"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b w:val="1"/>
          <w:bCs w:val="1"/>
          <w:color w:val="auto"/>
        </w:rPr>
        <w:t>28.2 Execution of Documents</w:t>
      </w:r>
      <w:r>
        <w:rPr>
          <w:rFonts w:ascii="Arial" w:cs="Arial" w:eastAsia="Arial" w:hAnsi="Arial"/>
          <w:sz w:val="18"/>
          <w:szCs w:val="18"/>
          <w:color w:val="auto"/>
        </w:rPr>
        <w:t>. Tenant agrees to execute and acknowledge any documents Landlord reasonably requests that Tenant execute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effectuate an attornment, a subordination, or to make this Lease or any Option granted herein prior to the lien of any mortgage, deed of trust or ground lease, as the case may be. Tenant’s failure to execute such documents within ten (10) days after written demand shall constitute a default by Tenant hereunder or, at Landlord's option, Landlord shall have the right to execute such documents on behalf of Tenant as Tenant’s attorney-in-fact. Tenant does hereby make, constitute and irrevocably appoint Landlord as Tenant’s attorney-in-fact and in Tenant’s name, place and stead to execute such documents in accordance with this section.</w:t>
      </w:r>
    </w:p>
    <w:p>
      <w:pPr>
        <w:spacing w:after="0" w:line="188" w:lineRule="exact"/>
        <w:rPr>
          <w:sz w:val="20"/>
          <w:szCs w:val="20"/>
          <w:color w:val="auto"/>
        </w:rPr>
      </w:pPr>
    </w:p>
    <w:p>
      <w:pPr>
        <w:ind w:left="660" w:hanging="652"/>
        <w:spacing w:after="0"/>
        <w:tabs>
          <w:tab w:leader="none" w:pos="660"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b w:val="1"/>
          <w:bCs w:val="1"/>
          <w:color w:val="auto"/>
        </w:rPr>
        <w:t>29.1 Definition</w:t>
      </w:r>
      <w:r>
        <w:rPr>
          <w:rFonts w:ascii="Arial" w:cs="Arial" w:eastAsia="Arial" w:hAnsi="Arial"/>
          <w:sz w:val="18"/>
          <w:szCs w:val="18"/>
          <w:color w:val="auto"/>
        </w:rPr>
        <w:t>. As used in this Lease, the word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has the following meaning: (1) the right or option to extend the term of this Lease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renew this Lease, (2) the option or right of first refusal to lease the Premises or the right of first offer to lease the Premises or the right of first refusal to lease other space within the Project or the right of first offer to lease other space within the Project, and (3) the right or option to terminate this Lease prior to its expiration date or to reduce the size of the Premises. Any Option granted to Tenant by Landlord must be evidenced by a written option agreement attached to this Lease as a rider or addendum or said option shall be of no force or effect. For purposes of this section, an Option shall also include any Option contained in any subsequent amendment to this Lease.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89" w:name="page590"/>
    <w:bookmarkEnd w:id="589"/>
    <w:p>
      <w:pPr>
        <w:jc w:val="both"/>
        <w:ind w:firstLine="646"/>
        <w:spacing w:after="0" w:line="255" w:lineRule="auto"/>
        <w:rPr>
          <w:sz w:val="20"/>
          <w:szCs w:val="20"/>
          <w:color w:val="auto"/>
        </w:rPr>
      </w:pPr>
      <w:r>
        <w:rPr>
          <w:rFonts w:ascii="Arial" w:cs="Arial" w:eastAsia="Arial" w:hAnsi="Arial"/>
          <w:sz w:val="18"/>
          <w:szCs w:val="18"/>
          <w:b w:val="1"/>
          <w:bCs w:val="1"/>
          <w:color w:val="auto"/>
        </w:rPr>
        <w:t>29.2 Options Personal</w:t>
      </w:r>
      <w:r>
        <w:rPr>
          <w:rFonts w:ascii="Arial" w:cs="Arial" w:eastAsia="Arial" w:hAnsi="Arial"/>
          <w:sz w:val="18"/>
          <w:szCs w:val="18"/>
          <w:color w:val="auto"/>
        </w:rPr>
        <w:t>. Each Option granted to Tenant in this Lease, if any, is personal to the original Tenant and may be exercised only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Tenant while occupying the entire Premises and may not be exercised or be assigned, voluntarily or involuntarily, by or to any person or entity other than Tenant, except as permitted in the Addendum. The Options, if any, herein granted to Tenant are not assignable separate and apart from this Lease, nor may any Option be separated from this Lease in any manner, either by reservation or otherwise. If at any time an Option is exercisable by Tenant, the Lease has been assigned or a sublease exists as to any portion of the Premises, the Option shall be deemed null and void and neither Tenant nor any assignee or subtenant shall have the right to exercise the Option.</w:t>
      </w:r>
    </w:p>
    <w:p>
      <w:pPr>
        <w:spacing w:after="0" w:line="188"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29.3 Multiple Options</w:t>
      </w:r>
      <w:r>
        <w:rPr>
          <w:rFonts w:ascii="Arial" w:cs="Arial" w:eastAsia="Arial" w:hAnsi="Arial"/>
          <w:sz w:val="18"/>
          <w:szCs w:val="18"/>
          <w:color w:val="auto"/>
        </w:rPr>
        <w:t>. In the event that Tenant has multiple Options to extend or renew this Lease, a later Option cannot be exercised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Option to extend or renew this Lease has been so exercised.</w:t>
      </w:r>
    </w:p>
    <w:p>
      <w:pPr>
        <w:spacing w:after="0" w:line="163"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29.4 Effect of Default on Options</w:t>
      </w:r>
      <w:r>
        <w:rPr>
          <w:rFonts w:ascii="Arial" w:cs="Arial" w:eastAsia="Arial" w:hAnsi="Arial"/>
          <w:sz w:val="18"/>
          <w:szCs w:val="18"/>
          <w:color w:val="auto"/>
        </w:rPr>
        <w:t>. Tenant shall have no right to exercise an Option (i) during the time commencing from the date Landlord gives</w:t>
      </w:r>
      <w:r>
        <w:rPr>
          <w:rFonts w:ascii="Arial" w:cs="Arial" w:eastAsia="Arial" w:hAnsi="Arial"/>
          <w:sz w:val="18"/>
          <w:szCs w:val="18"/>
          <w:b w:val="1"/>
          <w:bCs w:val="1"/>
          <w:color w:val="auto"/>
        </w:rPr>
        <w:t xml:space="preserve"> </w:t>
      </w:r>
      <w:r>
        <w:rPr>
          <w:rFonts w:ascii="Arial" w:cs="Arial" w:eastAsia="Arial" w:hAnsi="Arial"/>
          <w:sz w:val="18"/>
          <w:szCs w:val="18"/>
          <w:color w:val="auto"/>
        </w:rPr>
        <w:t>to Tenant a notice of default pursuant to Section 17.1 and continuing until the noncompliance alleged in said notice of default is cured, or (ii) if Tenant is in default of any of the terms, covenants or conditions of this Lease. The period of time within which an Option may be exercised shall not be extended or enlarged by reason of Tenant’s inability to exercise an Option because of the provisions of this section.</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Intentionally Omitted.</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29.6 Guarantees</w:t>
      </w:r>
      <w:r>
        <w:rPr>
          <w:rFonts w:ascii="Arial" w:cs="Arial" w:eastAsia="Arial" w:hAnsi="Arial"/>
          <w:sz w:val="17"/>
          <w:szCs w:val="17"/>
          <w:color w:val="auto"/>
        </w:rPr>
        <w:t>. Notwithstanding anything to the contrary contained in any rider or addendum to this Lease, Tenant’s right to exercise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of an Option is conditioned upon Landlord’s receipt from any prior tenant that has not been expressly released from liability under this Lease, and any guarantor of any obligation of Tenant under this Lease, of a written agreement satisfactory to Landlord, in Landlord’s sole discretion, reaffirming such person’s obligations under this Lease or the guaranty, as modified by Tenant’s exercise of the Option.</w:t>
      </w:r>
    </w:p>
    <w:p>
      <w:pPr>
        <w:spacing w:after="0" w:line="16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29.7 Notice of Exercise of Option</w:t>
      </w:r>
      <w:r>
        <w:rPr>
          <w:rFonts w:ascii="Arial" w:cs="Arial" w:eastAsia="Arial" w:hAnsi="Arial"/>
          <w:sz w:val="18"/>
          <w:szCs w:val="18"/>
          <w:color w:val="auto"/>
        </w:rPr>
        <w:t>. Notwithstanding anything to the contrary contained in Section 43, Tenant shall give written notice exercising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using certified mail return receipt requested or some other method where the person delivering the package containing the notice obtains a signature of the person accepting the package containing the notice (</w:t>
      </w:r>
      <w:r>
        <w:rPr>
          <w:rFonts w:ascii="Arial" w:cs="Arial" w:eastAsia="Arial" w:hAnsi="Arial"/>
          <w:sz w:val="18"/>
          <w:szCs w:val="18"/>
          <w:i w:val="1"/>
          <w:iCs w:val="1"/>
          <w:color w:val="auto"/>
        </w:rPr>
        <w:t>e.g.</w:t>
      </w:r>
      <w:r>
        <w:rPr>
          <w:rFonts w:ascii="Arial" w:cs="Arial" w:eastAsia="Arial" w:hAnsi="Arial"/>
          <w:sz w:val="18"/>
          <w:szCs w:val="18"/>
          <w:color w:val="auto"/>
        </w:rPr>
        <w:t>, by FedEx with the requirement that the FedEx delivery person obtain a signature from the person accepting the package). It shall be the obligation of Tenant to prove that Landlord received the notice exercising the Option in a timely manner.</w:t>
      </w:r>
    </w:p>
    <w:p>
      <w:pPr>
        <w:spacing w:after="0" w:line="184" w:lineRule="exact"/>
        <w:rPr>
          <w:sz w:val="20"/>
          <w:szCs w:val="20"/>
          <w:color w:val="auto"/>
        </w:rPr>
      </w:pPr>
    </w:p>
    <w:p>
      <w:pPr>
        <w:jc w:val="both"/>
        <w:ind w:firstLine="8"/>
        <w:spacing w:after="0" w:line="273" w:lineRule="auto"/>
        <w:tabs>
          <w:tab w:leader="none" w:pos="592" w:val="left"/>
        </w:tabs>
        <w:numPr>
          <w:ilvl w:val="0"/>
          <w:numId w:val="560"/>
        </w:numPr>
        <w:rPr>
          <w:rFonts w:ascii="Arial" w:cs="Arial" w:eastAsia="Arial" w:hAnsi="Arial"/>
          <w:sz w:val="17"/>
          <w:szCs w:val="17"/>
          <w:b w:val="1"/>
          <w:bCs w:val="1"/>
          <w:color w:val="auto"/>
        </w:rPr>
      </w:pPr>
      <w:r>
        <w:rPr>
          <w:rFonts w:ascii="Arial" w:cs="Arial" w:eastAsia="Arial" w:hAnsi="Arial"/>
          <w:sz w:val="17"/>
          <w:szCs w:val="17"/>
          <w:b w:val="1"/>
          <w:bCs w:val="1"/>
          <w:color w:val="auto"/>
        </w:rPr>
        <w:t>L</w:t>
      </w:r>
      <w:r>
        <w:rPr>
          <w:rFonts w:ascii="Arial" w:cs="Arial" w:eastAsia="Arial" w:hAnsi="Arial"/>
          <w:sz w:val="11"/>
          <w:szCs w:val="11"/>
          <w:b w:val="1"/>
          <w:bCs w:val="1"/>
          <w:color w:val="auto"/>
        </w:rPr>
        <w:t>ANDLORD</w:t>
      </w:r>
      <w:r>
        <w:rPr>
          <w:rFonts w:ascii="Arial" w:cs="Arial" w:eastAsia="Arial" w:hAnsi="Arial"/>
          <w:sz w:val="17"/>
          <w:szCs w:val="17"/>
          <w:b w:val="1"/>
          <w:bCs w:val="1"/>
          <w:color w:val="auto"/>
        </w:rPr>
        <w:t xml:space="preserve"> R</w:t>
      </w:r>
      <w:r>
        <w:rPr>
          <w:rFonts w:ascii="Arial" w:cs="Arial" w:eastAsia="Arial" w:hAnsi="Arial"/>
          <w:sz w:val="11"/>
          <w:szCs w:val="11"/>
          <w:b w:val="1"/>
          <w:bCs w:val="1"/>
          <w:color w:val="auto"/>
        </w:rPr>
        <w:t>ESERVATIONS</w:t>
      </w:r>
      <w:r>
        <w:rPr>
          <w:rFonts w:ascii="Arial" w:cs="Arial" w:eastAsia="Arial" w:hAnsi="Arial"/>
          <w:sz w:val="17"/>
          <w:szCs w:val="17"/>
          <w:color w:val="auto"/>
        </w:rPr>
        <w:t>. Landlord shall have the right: (a) to change the name and address of the Project or Building upon not less than ninety (90)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prior written notice; (b) to permit any tenant the exclusive right to conduct any business as long as such exclusive right does not conflict with any rights expressly given herein; and (c) to place signs, notices or displays upon the roof, interior or exterior of the Building or Common Areas of the Project. Landlord reserves the right to use the exterior walls of the Premises, and the area beneath, adjacent to and above the Premises together with the right to install, use, maintain and replace equipment, machinery, pipes, conduits and wiring through the Premises, which serve other parts of the Project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Landlord’s use does not unreasonably interfere with Tenant’s use of the Premises.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90" w:name="page591"/>
    <w:bookmarkEnd w:id="590"/>
    <w:p>
      <w:pPr>
        <w:jc w:val="both"/>
        <w:ind w:firstLine="8"/>
        <w:spacing w:after="0" w:line="269" w:lineRule="auto"/>
        <w:tabs>
          <w:tab w:leader="none" w:pos="632"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HANGES TO</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ROJECT</w:t>
      </w:r>
      <w:r>
        <w:rPr>
          <w:rFonts w:ascii="Arial" w:cs="Arial" w:eastAsia="Arial" w:hAnsi="Arial"/>
          <w:sz w:val="17"/>
          <w:szCs w:val="17"/>
          <w:color w:val="auto"/>
        </w:rPr>
        <w:t>. Landlord shall have the right, in Landlord’s sole discretion, from time to time, to make changes to the size, shape, location,</w:t>
      </w:r>
      <w:r>
        <w:rPr>
          <w:rFonts w:ascii="Arial" w:cs="Arial" w:eastAsia="Arial" w:hAnsi="Arial"/>
          <w:sz w:val="17"/>
          <w:szCs w:val="17"/>
          <w:b w:val="1"/>
          <w:bCs w:val="1"/>
          <w:color w:val="auto"/>
        </w:rPr>
        <w:t xml:space="preserve"> </w:t>
      </w:r>
      <w:r>
        <w:rPr>
          <w:rFonts w:ascii="Arial" w:cs="Arial" w:eastAsia="Arial" w:hAnsi="Arial"/>
          <w:sz w:val="17"/>
          <w:szCs w:val="17"/>
          <w:color w:val="auto"/>
        </w:rPr>
        <w:t>number and extent of the improvements comprising the Project (hereinafter referred to as “</w:t>
      </w:r>
      <w:r>
        <w:rPr>
          <w:rFonts w:ascii="Arial" w:cs="Arial" w:eastAsia="Arial" w:hAnsi="Arial"/>
          <w:sz w:val="17"/>
          <w:szCs w:val="17"/>
          <w:b w:val="1"/>
          <w:bCs w:val="1"/>
          <w:i w:val="1"/>
          <w:iCs w:val="1"/>
          <w:color w:val="auto"/>
        </w:rPr>
        <w:t>Changes</w:t>
      </w:r>
      <w:r>
        <w:rPr>
          <w:rFonts w:ascii="Arial" w:cs="Arial" w:eastAsia="Arial" w:hAnsi="Arial"/>
          <w:sz w:val="17"/>
          <w:szCs w:val="17"/>
          <w:color w:val="auto"/>
        </w:rPr>
        <w:t>”) including, but not limited to, the interior and exterior of buildings, the Common Areas, HVAC, electrical systems, communication systems, fire protection and detection systems, plumbing systems, security systems, parking control systems, driveways, entrances, parking spaces, parking areas and landscaped areas. In connection with the Changes, Landlord may, among other things, erect scaffolding or other necessary structures at the Project, limit or eliminate access to portions of the Project, including portions of the Common Areas, or perform work in the Building, which work may create noise, dust or leave debris in the Building. Tenant hereby agrees that such Changes and Landlord’s actions in connection with such Changes shall in no way constitute a constructive eviction of Tenant or entitle Tenant to any abatement of rent. Landlord shall have no responsibility or for any reason be liable to Tenant for any direct or indirect injury to or interference with Tenant’s business arising from the Changes, nor shall Tenant be entitled to any compensation or damages from Landlord for any inconvenience or annoyance occasioned by such Changes or Landlord’s actions in connection with such Changes. Landlord shall use commercially reasonable efforts to minimize disruption to Tenant’s business operations caused by Changes.</w:t>
      </w:r>
    </w:p>
    <w:p>
      <w:pPr>
        <w:spacing w:after="0" w:line="173" w:lineRule="exact"/>
        <w:rPr>
          <w:rFonts w:ascii="Arial" w:cs="Arial" w:eastAsia="Arial" w:hAnsi="Arial"/>
          <w:sz w:val="17"/>
          <w:szCs w:val="17"/>
          <w:b w:val="1"/>
          <w:bCs w:val="1"/>
          <w:color w:val="auto"/>
        </w:rPr>
      </w:pPr>
    </w:p>
    <w:p>
      <w:pPr>
        <w:ind w:left="660" w:hanging="652"/>
        <w:spacing w:after="0"/>
        <w:tabs>
          <w:tab w:leader="none" w:pos="660"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NTENTIONALLY</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MITTED</w:t>
      </w:r>
    </w:p>
    <w:p>
      <w:pPr>
        <w:spacing w:after="0" w:line="223" w:lineRule="exact"/>
        <w:rPr>
          <w:rFonts w:ascii="Arial" w:cs="Arial" w:eastAsia="Arial" w:hAnsi="Arial"/>
          <w:sz w:val="18"/>
          <w:szCs w:val="18"/>
          <w:b w:val="1"/>
          <w:bCs w:val="1"/>
          <w:color w:val="auto"/>
        </w:rPr>
      </w:pPr>
    </w:p>
    <w:p>
      <w:pPr>
        <w:jc w:val="both"/>
        <w:ind w:firstLine="8"/>
        <w:spacing w:after="0" w:line="269" w:lineRule="auto"/>
        <w:tabs>
          <w:tab w:leader="none" w:pos="623" w:val="left"/>
        </w:tabs>
        <w:numPr>
          <w:ilvl w:val="0"/>
          <w:numId w:val="561"/>
        </w:numPr>
        <w:rPr>
          <w:rFonts w:ascii="Arial" w:cs="Arial" w:eastAsia="Arial" w:hAnsi="Arial"/>
          <w:sz w:val="17"/>
          <w:szCs w:val="17"/>
          <w:b w:val="1"/>
          <w:bCs w:val="1"/>
          <w:color w:val="auto"/>
        </w:rPr>
      </w:pPr>
      <w:r>
        <w:rPr>
          <w:rFonts w:ascii="Arial" w:cs="Arial" w:eastAsia="Arial" w:hAnsi="Arial"/>
          <w:sz w:val="17"/>
          <w:szCs w:val="17"/>
          <w:b w:val="1"/>
          <w:bCs w:val="1"/>
          <w:color w:val="auto"/>
        </w:rPr>
        <w:t>H</w:t>
      </w:r>
      <w:r>
        <w:rPr>
          <w:rFonts w:ascii="Arial" w:cs="Arial" w:eastAsia="Arial" w:hAnsi="Arial"/>
          <w:sz w:val="11"/>
          <w:szCs w:val="11"/>
          <w:b w:val="1"/>
          <w:bCs w:val="1"/>
          <w:color w:val="auto"/>
        </w:rPr>
        <w:t>OLDING</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VER</w:t>
      </w:r>
      <w:r>
        <w:rPr>
          <w:rFonts w:ascii="Arial" w:cs="Arial" w:eastAsia="Arial" w:hAnsi="Arial"/>
          <w:sz w:val="17"/>
          <w:szCs w:val="17"/>
          <w:color w:val="auto"/>
        </w:rPr>
        <w:t>. If Tenant remains in possession of the Premises or any part thereof after the expiration or earlier termination of the term hereof with</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consent, such occupancy shall be a tenancy from month to month upon all the terms and conditions of this Lease pertaining to the obligations of Tenant, except that the Base Rent payable shall be one hundred fifty percent (150%) of the greater of (i) the Base Rent payable immediately preceding the termination date of this Lease, and (ii) the fair market rental rate of the Premises as of the commencement of such holdover period; and all Options, if any, shall be deemed terminated and be of no further effect. If Tenant remains in possession of the Premises or any part thereof, after the expiration of the term hereof without Landlord’s consent, Tenant shall, at Landlord’s option, be treated as a tenant at sufferance or a trespasser. Nothing contained herein shall be construed to constitute Landlord’s consent to Tenant holding over at the expiration or earlier termination of the Lease term or to give Tenant the right to hold over after the expiration or earlier termination of the Lease term. Tenant hereby agrees to indemnify, hold harmless and defend Landlord from any cost, loss, claim or liability (including attorneys’ fees) Landlord may incur as a result of Tenant’s failure to surrender possession of the Premises to Landlord upon the termination of this Lease.</w:t>
      </w:r>
    </w:p>
    <w:p>
      <w:pPr>
        <w:spacing w:after="0" w:line="177" w:lineRule="exact"/>
        <w:rPr>
          <w:rFonts w:ascii="Arial" w:cs="Arial" w:eastAsia="Arial" w:hAnsi="Arial"/>
          <w:sz w:val="17"/>
          <w:szCs w:val="17"/>
          <w:b w:val="1"/>
          <w:bCs w:val="1"/>
          <w:color w:val="auto"/>
        </w:rPr>
      </w:pPr>
    </w:p>
    <w:p>
      <w:pPr>
        <w:ind w:left="660" w:hanging="652"/>
        <w:spacing w:after="0"/>
        <w:tabs>
          <w:tab w:leader="none" w:pos="660"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ANDLORD</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CCESS</w:t>
      </w:r>
      <w:r>
        <w:rPr>
          <w:rFonts w:ascii="Arial" w:cs="Arial" w:eastAsia="Arial" w:hAnsi="Arial"/>
          <w:sz w:val="18"/>
          <w:szCs w:val="18"/>
          <w:color w:val="auto"/>
        </w:rPr>
        <w:t>.</w:t>
      </w:r>
    </w:p>
    <w:p>
      <w:pPr>
        <w:spacing w:after="0" w:line="22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34.1 Access</w:t>
      </w:r>
      <w:r>
        <w:rPr>
          <w:rFonts w:ascii="Arial" w:cs="Arial" w:eastAsia="Arial" w:hAnsi="Arial"/>
          <w:sz w:val="16"/>
          <w:szCs w:val="16"/>
          <w:color w:val="auto"/>
        </w:rPr>
        <w:t>. Landlord and Landlord’s agents, contractors and employees shall have the right to enter the Premises at reasonable times upon</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advance telephonic notice to Tenant of not less than one (1) business day (except in the case of any emergency, where no advance notice shall be required) for the purpose of inspecting the Premises, performing any services required of Landlord, showing the Premises to prospective purchasers, lenders or tenants, undertaking safety measures and making alterations, repairs, improvements or additions to the Premises or to the Project. In the event of an emergency, Landlord may gain access to the Premises by any reasonable means, and Landlord shall not be liable to Tenant for damage to the Premises or to Tenant’s property resulting from such access. Landlord may at any time place on or about the Building or the Project for sale or for lease signs.</w:t>
      </w:r>
    </w:p>
    <w:p>
      <w:pPr>
        <w:spacing w:after="0" w:line="160"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Keys</w:t>
      </w:r>
      <w:r>
        <w:rPr>
          <w:rFonts w:ascii="Arial" w:cs="Arial" w:eastAsia="Arial" w:hAnsi="Arial"/>
          <w:sz w:val="16"/>
          <w:szCs w:val="16"/>
          <w:color w:val="auto"/>
        </w:rPr>
        <w:t>. Landlord shall have the right to retain keys to the locks on the entry doors to the Premises and all interior doors at the Premises.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1" w:name="page592"/>
    <w:bookmarkEnd w:id="591"/>
    <w:p>
      <w:pPr>
        <w:jc w:val="both"/>
        <w:ind w:firstLine="8"/>
        <w:spacing w:after="0" w:line="269" w:lineRule="auto"/>
        <w:tabs>
          <w:tab w:leader="none" w:pos="448" w:val="left"/>
        </w:tabs>
        <w:numPr>
          <w:ilvl w:val="0"/>
          <w:numId w:val="562"/>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ECURITY</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EASURES</w:t>
      </w:r>
      <w:r>
        <w:rPr>
          <w:rFonts w:ascii="Arial" w:cs="Arial" w:eastAsia="Arial" w:hAnsi="Arial"/>
          <w:sz w:val="17"/>
          <w:szCs w:val="17"/>
          <w:color w:val="auto"/>
        </w:rPr>
        <w:t>. Tenant hereby acknowledges that Landlord shall have no obligation whatsoever to provide guard service or other security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benefit of the Premises or the Project, and Landlord shall have no liability to Tenant due to its failure to provide such services. Tenant assumes all responsibility for the protection of Tenant, its agents, employees, contractors and invitees and the property of Tenant and of Tenant’s agents, employees, contractors and invitees from acts of third parties. Nothing herein contained shall prevent Landlord, at Landlord’s sole option, from implementing security measures for the Project or any part thereof, in which event Tenant shall participate in such security measures and the cost thereof shall be included within the definition of Operating Expenses, and Landlord shall have no liability to Tenant and its agents, employees, contractors and invitees arising out of Landlord’s negligent provision of security measures. Landlord shall have the right, but not the obligation, to require all persons entering or leaving the Project to identify themselves to a security guard and to reasonably establish that such person should be permitted access to the Project. In no event shall Tenant or its employees, agents or contractors bring firearms or other weapons to the Project or the Premises, and Tenant shall not have the right to employ armed security guards.</w:t>
      </w:r>
    </w:p>
    <w:p>
      <w:pPr>
        <w:spacing w:after="0" w:line="177" w:lineRule="exact"/>
        <w:rPr>
          <w:rFonts w:ascii="Arial" w:cs="Arial" w:eastAsia="Arial" w:hAnsi="Arial"/>
          <w:sz w:val="17"/>
          <w:szCs w:val="17"/>
          <w:b w:val="1"/>
          <w:bCs w:val="1"/>
          <w:color w:val="auto"/>
        </w:rPr>
      </w:pPr>
    </w:p>
    <w:p>
      <w:pPr>
        <w:jc w:val="both"/>
        <w:ind w:firstLine="8"/>
        <w:spacing w:after="0" w:line="255" w:lineRule="auto"/>
        <w:tabs>
          <w:tab w:leader="none" w:pos="489"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ASEMENTS</w:t>
      </w:r>
      <w:r>
        <w:rPr>
          <w:rFonts w:ascii="Arial" w:cs="Arial" w:eastAsia="Arial" w:hAnsi="Arial"/>
          <w:sz w:val="18"/>
          <w:szCs w:val="18"/>
          <w:color w:val="auto"/>
        </w:rPr>
        <w:t>. Landlord reserves to itself the right, from time to time, to grant such easements, rights and dedications that Landlord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desirable, and to cause the recordation of parcel maps and restrictions, so long as such easements, rights, dedications, maps and restrictions do not unreasonably interfere with the use of the Premises by Tenant. Tenant shall sign any of the aforementioned documents within ten (10) days after Landlord’s request, and Tenant’s failure to do so within five (5) days following Landlord’s second request therefor shall constitute a default by Tenant. The obstruction of Tenant’s view, air or light by any structure erected in the vicinity of the Project, whether by Landlord or third parties, shall in no way affect this Lease or impose any liability upon Landlord.</w:t>
      </w:r>
    </w:p>
    <w:p>
      <w:pPr>
        <w:spacing w:after="0" w:line="187" w:lineRule="exact"/>
        <w:rPr>
          <w:rFonts w:ascii="Arial" w:cs="Arial" w:eastAsia="Arial" w:hAnsi="Arial"/>
          <w:sz w:val="18"/>
          <w:szCs w:val="18"/>
          <w:b w:val="1"/>
          <w:bCs w:val="1"/>
          <w:color w:val="auto"/>
        </w:rPr>
      </w:pPr>
    </w:p>
    <w:p>
      <w:pPr>
        <w:jc w:val="both"/>
        <w:ind w:firstLine="8"/>
        <w:spacing w:after="0" w:line="265" w:lineRule="auto"/>
        <w:tabs>
          <w:tab w:leader="none" w:pos="57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RANSPORTATION</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color w:val="auto"/>
        </w:rPr>
        <w:t>. Tenant shall fully comply at its sole expense with all present or future programs implemented or required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or quasi-governmental entity or Landlord to manage parking, transportation, air pollution or traffic in and around the Project or the metropolitan area in which the Project is located.</w:t>
      </w:r>
    </w:p>
    <w:p>
      <w:pPr>
        <w:spacing w:after="0" w:line="175" w:lineRule="exact"/>
        <w:rPr>
          <w:rFonts w:ascii="Arial" w:cs="Arial" w:eastAsia="Arial" w:hAnsi="Arial"/>
          <w:sz w:val="18"/>
          <w:szCs w:val="18"/>
          <w:b w:val="1"/>
          <w:bCs w:val="1"/>
          <w:color w:val="auto"/>
        </w:rPr>
      </w:pPr>
    </w:p>
    <w:p>
      <w:pPr>
        <w:ind w:firstLine="8"/>
        <w:spacing w:after="0" w:line="280" w:lineRule="auto"/>
        <w:tabs>
          <w:tab w:leader="none" w:pos="462"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color w:val="auto"/>
        </w:rPr>
        <w:t>. The invalidity of any provision of this Lease as determined by a court of competent jurisdiction shall in no way affect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w:t>
      </w:r>
    </w:p>
    <w:p>
      <w:pPr>
        <w:spacing w:after="0" w:line="163" w:lineRule="exact"/>
        <w:rPr>
          <w:rFonts w:ascii="Arial" w:cs="Arial" w:eastAsia="Arial" w:hAnsi="Arial"/>
          <w:sz w:val="18"/>
          <w:szCs w:val="18"/>
          <w:b w:val="1"/>
          <w:bCs w:val="1"/>
          <w:color w:val="auto"/>
        </w:rPr>
      </w:pPr>
    </w:p>
    <w:p>
      <w:pPr>
        <w:ind w:left="460" w:hanging="452"/>
        <w:spacing w:after="0"/>
        <w:tabs>
          <w:tab w:leader="none" w:pos="460"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IME OF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SSENCE</w:t>
      </w:r>
      <w:r>
        <w:rPr>
          <w:rFonts w:ascii="Arial" w:cs="Arial" w:eastAsia="Arial" w:hAnsi="Arial"/>
          <w:sz w:val="18"/>
          <w:szCs w:val="18"/>
          <w:color w:val="auto"/>
        </w:rPr>
        <w:t>. Time is of the essence with respect to each of the obligations to be performed by Tenant and Landlord under this Lease.</w:t>
      </w:r>
    </w:p>
    <w:p>
      <w:pPr>
        <w:spacing w:after="0" w:line="223" w:lineRule="exact"/>
        <w:rPr>
          <w:rFonts w:ascii="Arial" w:cs="Arial" w:eastAsia="Arial" w:hAnsi="Arial"/>
          <w:sz w:val="18"/>
          <w:szCs w:val="18"/>
          <w:b w:val="1"/>
          <w:bCs w:val="1"/>
          <w:color w:val="auto"/>
        </w:rPr>
      </w:pPr>
    </w:p>
    <w:p>
      <w:pPr>
        <w:ind w:firstLine="8"/>
        <w:spacing w:after="0" w:line="280" w:lineRule="auto"/>
        <w:tabs>
          <w:tab w:leader="none" w:pos="462"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ENT</w:t>
      </w:r>
      <w:r>
        <w:rPr>
          <w:rFonts w:ascii="Arial" w:cs="Arial" w:eastAsia="Arial" w:hAnsi="Arial"/>
          <w:sz w:val="18"/>
          <w:szCs w:val="18"/>
          <w:color w:val="auto"/>
        </w:rPr>
        <w:t>. All monetary obligations of Tenant to Landlord under the terms of this Lease, including, but not limited to,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Percentage Share of Operating Expenses and late charges shall be deemed to be rent.</w:t>
      </w:r>
    </w:p>
    <w:p>
      <w:pPr>
        <w:spacing w:after="0" w:line="163" w:lineRule="exact"/>
        <w:rPr>
          <w:rFonts w:ascii="Arial" w:cs="Arial" w:eastAsia="Arial" w:hAnsi="Arial"/>
          <w:sz w:val="18"/>
          <w:szCs w:val="18"/>
          <w:b w:val="1"/>
          <w:bCs w:val="1"/>
          <w:color w:val="auto"/>
        </w:rPr>
      </w:pPr>
    </w:p>
    <w:p>
      <w:pPr>
        <w:jc w:val="both"/>
        <w:ind w:firstLine="8"/>
        <w:spacing w:after="0" w:line="257" w:lineRule="auto"/>
        <w:tabs>
          <w:tab w:leader="none" w:pos="502"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NCORPORATION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GREEMENTS</w:t>
      </w:r>
      <w:r>
        <w:rPr>
          <w:rFonts w:ascii="Arial" w:cs="Arial" w:eastAsia="Arial" w:hAnsi="Arial"/>
          <w:sz w:val="18"/>
          <w:szCs w:val="18"/>
          <w:color w:val="auto"/>
        </w:rPr>
        <w:t>. This Lease and the attachments listed in Section 1.21 contain all agreements of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of the Premises and any other matter mentioned herein. No prior or contemporaneous agreement or understanding pertaining to any such matter shall be effective. Except as otherwise stated in this Lease, Tenant hereby acknowledges that no real estate broker nor Landlord nor any employee or agents of any of said persons has made any oral or written warranties or representations to Tenant concerning the condition or use by Tenant of the Premises or the Project or concerning any other matter addressed by this Lease.</w:t>
      </w:r>
    </w:p>
    <w:p>
      <w:pPr>
        <w:spacing w:after="0" w:line="183" w:lineRule="exact"/>
        <w:rPr>
          <w:rFonts w:ascii="Arial" w:cs="Arial" w:eastAsia="Arial" w:hAnsi="Arial"/>
          <w:sz w:val="18"/>
          <w:szCs w:val="18"/>
          <w:b w:val="1"/>
          <w:bCs w:val="1"/>
          <w:color w:val="auto"/>
        </w:rPr>
      </w:pPr>
    </w:p>
    <w:p>
      <w:pPr>
        <w:ind w:firstLine="8"/>
        <w:spacing w:after="0" w:line="280" w:lineRule="auto"/>
        <w:tabs>
          <w:tab w:leader="none" w:pos="448" w:val="left"/>
        </w:tabs>
        <w:numPr>
          <w:ilvl w:val="0"/>
          <w:numId w:val="56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MENDMENTS</w:t>
      </w:r>
      <w:r>
        <w:rPr>
          <w:rFonts w:ascii="Arial" w:cs="Arial" w:eastAsia="Arial" w:hAnsi="Arial"/>
          <w:sz w:val="18"/>
          <w:szCs w:val="18"/>
          <w:color w:val="auto"/>
        </w:rPr>
        <w:t>. This Lease may be modified in writing only, signed by the parties in interest at the time of the modification. One or more emails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parties shall never constitute a writing signed by the parties that is capable of amending or modifying the Lease.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92" w:name="page593"/>
    <w:bookmarkEnd w:id="592"/>
    <w:p>
      <w:pPr>
        <w:jc w:val="both"/>
        <w:ind w:firstLine="8"/>
        <w:spacing w:after="0" w:line="284" w:lineRule="auto"/>
        <w:tabs>
          <w:tab w:leader="none" w:pos="502" w:val="left"/>
        </w:tabs>
        <w:numPr>
          <w:ilvl w:val="0"/>
          <w:numId w:val="563"/>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1"/>
          <w:szCs w:val="11"/>
          <w:b w:val="1"/>
          <w:bCs w:val="1"/>
          <w:color w:val="auto"/>
        </w:rPr>
        <w:t>OTICES</w:t>
      </w:r>
      <w:r>
        <w:rPr>
          <w:rFonts w:ascii="Arial" w:cs="Arial" w:eastAsia="Arial" w:hAnsi="Arial"/>
          <w:sz w:val="16"/>
          <w:szCs w:val="16"/>
          <w:color w:val="auto"/>
        </w:rPr>
        <w:t>. All notices required or permitted by this Lease shall be in writing and may be delivered (a) in person (by hand, by messenger or by courier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(b) by U.S. Postal Service regular mail, (c) by U.S. Postal Service certified mail, return receipt requested, (d) by U.S. Postal Service Express Mail, Federal Express or other overnight courier, or (e) by facsimile transmission, and shall be deemed sufficiently given if served in a manner specified in this section. Notices may not be given by email, and email notices shall not be binding on Landlord or Tenant for any purpose. Any notice permitted or required hereunder, and any notice to pay rent or quit or similar notice, shall be deemed personally delivered to Tenant on the date the notice is personally delivered to any employee of Tenant at the Premises. The addresses set forth in Section 1.22 of this Lease shall be the address of each party for notice purposes. Landlord or Tenant may by written notice to the other specify a different address for notice purposes, except that upon Tenant’s taking possession of the Premises, the Premises shall constitute Tenant’s address for the purpose of mailing or delivering notices to Tenant. A copy of all notices required or permitted to be given to Landlord hereunder shall be concurrently transmitted to such party or parties at such addresses as Landlord may from time to time hereinafter designate by written notice to Tenant. Any notice sent by regular mail or by certified mail, return receipt requested, shall be deemed given three (3) days after deposited with the U.S. Postal Service. Notices delivered by U.S. Express Mail, Federal Express or other courier shall be deemed given on the date delivered by the carrier to the appropriate party’s address for notice purposes. If any notice is transmitted by facsimile transmission, the notice shall be deemed delivered upon telephone confirmation of receipt of the transmission thereof at the appropriate party’s address for notice purposes. A copy of all notices delivered to a party by facsimile transmission shall also be mailed to the party on the date the facsimile transmission is completed. If notice is received on Saturday, Sunday or a legal holiday, it shall be deemed received on the next business day. Nothing contained herein shall be construed to limit Landlord’s right to serve any notice to pay rent or quit or similar notice by any method permitted by applicable Legal Requirements, and any such notice shall be effective if served in accordance with any method permitted by applicable Legal Requirements whether or not the requirements of this section have been met.</w:t>
      </w:r>
    </w:p>
    <w:p>
      <w:pPr>
        <w:spacing w:after="0" w:line="174" w:lineRule="exact"/>
        <w:rPr>
          <w:rFonts w:ascii="Arial" w:cs="Arial" w:eastAsia="Arial" w:hAnsi="Arial"/>
          <w:sz w:val="16"/>
          <w:szCs w:val="16"/>
          <w:b w:val="1"/>
          <w:bCs w:val="1"/>
          <w:color w:val="auto"/>
        </w:rPr>
      </w:pPr>
    </w:p>
    <w:p>
      <w:pPr>
        <w:jc w:val="both"/>
        <w:ind w:firstLine="8"/>
        <w:spacing w:after="0" w:line="288" w:lineRule="auto"/>
        <w:tabs>
          <w:tab w:leader="none" w:pos="448" w:val="left"/>
        </w:tabs>
        <w:numPr>
          <w:ilvl w:val="0"/>
          <w:numId w:val="563"/>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AIVERS</w:t>
      </w:r>
      <w:r>
        <w:rPr>
          <w:rFonts w:ascii="Arial" w:cs="Arial" w:eastAsia="Arial" w:hAnsi="Arial"/>
          <w:sz w:val="16"/>
          <w:szCs w:val="16"/>
          <w:color w:val="auto"/>
        </w:rPr>
        <w:t>. No waiver by Landlord or Tenant of any provision hereof shall be deemed a waiver of any other provision hereof or of any subsequent breach</w:t>
      </w:r>
      <w:r>
        <w:rPr>
          <w:rFonts w:ascii="Arial" w:cs="Arial" w:eastAsia="Arial" w:hAnsi="Arial"/>
          <w:sz w:val="16"/>
          <w:szCs w:val="16"/>
          <w:b w:val="1"/>
          <w:bCs w:val="1"/>
          <w:color w:val="auto"/>
        </w:rPr>
        <w:t xml:space="preserve"> </w:t>
      </w:r>
      <w:r>
        <w:rPr>
          <w:rFonts w:ascii="Arial" w:cs="Arial" w:eastAsia="Arial" w:hAnsi="Arial"/>
          <w:sz w:val="16"/>
          <w:szCs w:val="16"/>
          <w:color w:val="auto"/>
        </w:rPr>
        <w:t>by Landlord or Tenant of the same or any other provision. Landlord’s consent to, or approval of, any act shall not be deemed to render unnecessary the obtaining of Landlord’s consent to or approval of any subsequent act by Tenant. The acceptance of rent hereunder by Landlord shall not be a waiver of any preceding breach by Tenant of any provision hereof, other than the failure of Tenant to pay the particular rent so accepted, regardless of Landlord’s knowledge of such preceding breach at the time of acceptance of such rent. No acceptance by Landlord of partial payment of any sum due from Tenant shall be deemed a waiver by Landlord of its right to receive the full amount due, nor shall any endorsement or statement on any check or accompanying letter from Tenant be deemed an accord and satisfaction. Tenant hereby waives California Code of Civil Procedure Section 1179 and Civil Code section 3275 which allow tenants to obtain relief from the forfeiture of a lease, and Tenant hereby waives any claim it may have against Landlord based on Landlord’s failure to comply with Section 1938 of the California Civil Code. Tenant hereby waives for Tenant and all those claiming under Tenant all rights now or hereafter existing to redeem by order or judgment of any court or by legal process or writ Tenant’s right of occupancy of the Premises after any termination of this Lease.</w:t>
      </w:r>
    </w:p>
    <w:p>
      <w:pPr>
        <w:spacing w:after="0" w:line="160" w:lineRule="exact"/>
        <w:rPr>
          <w:rFonts w:ascii="Arial" w:cs="Arial" w:eastAsia="Arial" w:hAnsi="Arial"/>
          <w:sz w:val="16"/>
          <w:szCs w:val="16"/>
          <w:b w:val="1"/>
          <w:bCs w:val="1"/>
          <w:color w:val="auto"/>
        </w:rPr>
      </w:pPr>
    </w:p>
    <w:p>
      <w:pPr>
        <w:ind w:right="20" w:firstLine="8"/>
        <w:spacing w:after="0" w:line="345" w:lineRule="auto"/>
        <w:tabs>
          <w:tab w:leader="none" w:pos="543" w:val="left"/>
        </w:tabs>
        <w:numPr>
          <w:ilvl w:val="0"/>
          <w:numId w:val="563"/>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1"/>
          <w:szCs w:val="11"/>
          <w:b w:val="1"/>
          <w:bCs w:val="1"/>
          <w:color w:val="auto"/>
        </w:rPr>
        <w:t>OVENANTS</w:t>
      </w:r>
      <w:r>
        <w:rPr>
          <w:rFonts w:ascii="Arial" w:cs="Arial" w:eastAsia="Arial" w:hAnsi="Arial"/>
          <w:sz w:val="16"/>
          <w:szCs w:val="16"/>
          <w:color w:val="auto"/>
        </w:rPr>
        <w:t>. This Lease shall be construed as though Landlord’s covenants contained herein are independent and not dependent and Tenant hereby</w:t>
      </w:r>
      <w:r>
        <w:rPr>
          <w:rFonts w:ascii="Arial" w:cs="Arial" w:eastAsia="Arial" w:hAnsi="Arial"/>
          <w:sz w:val="16"/>
          <w:szCs w:val="16"/>
          <w:b w:val="1"/>
          <w:bCs w:val="1"/>
          <w:color w:val="auto"/>
        </w:rPr>
        <w:t xml:space="preserve"> </w:t>
      </w:r>
      <w:r>
        <w:rPr>
          <w:rFonts w:ascii="Arial" w:cs="Arial" w:eastAsia="Arial" w:hAnsi="Arial"/>
          <w:sz w:val="16"/>
          <w:szCs w:val="16"/>
          <w:color w:val="auto"/>
        </w:rPr>
        <w:t>waives the benefit of any statute to the contrary. All provisions of this Lease to be observed or performed by Tenant are both covenants and conditions.</w:t>
      </w:r>
    </w:p>
    <w:p>
      <w:pPr>
        <w:spacing w:after="0" w:line="117" w:lineRule="exact"/>
        <w:rPr>
          <w:rFonts w:ascii="Arial" w:cs="Arial" w:eastAsia="Arial" w:hAnsi="Arial"/>
          <w:sz w:val="16"/>
          <w:szCs w:val="16"/>
          <w:b w:val="1"/>
          <w:bCs w:val="1"/>
          <w:color w:val="auto"/>
        </w:rPr>
      </w:pPr>
    </w:p>
    <w:p>
      <w:pPr>
        <w:jc w:val="both"/>
        <w:ind w:firstLine="8"/>
        <w:spacing w:after="0" w:line="287" w:lineRule="auto"/>
        <w:tabs>
          <w:tab w:leader="none" w:pos="475" w:val="left"/>
        </w:tabs>
        <w:numPr>
          <w:ilvl w:val="0"/>
          <w:numId w:val="563"/>
        </w:numPr>
        <w:rPr>
          <w:rFonts w:ascii="Arial" w:cs="Arial" w:eastAsia="Arial" w:hAnsi="Arial"/>
          <w:sz w:val="17"/>
          <w:szCs w:val="17"/>
          <w:b w:val="1"/>
          <w:bCs w:val="1"/>
          <w:color w:val="auto"/>
        </w:rPr>
      </w:pPr>
      <w:r>
        <w:rPr>
          <w:rFonts w:ascii="Arial" w:cs="Arial" w:eastAsia="Arial" w:hAnsi="Arial"/>
          <w:sz w:val="17"/>
          <w:szCs w:val="17"/>
          <w:b w:val="1"/>
          <w:bCs w:val="1"/>
          <w:color w:val="auto"/>
        </w:rPr>
        <w:t>B</w:t>
      </w:r>
      <w:r>
        <w:rPr>
          <w:rFonts w:ascii="Arial" w:cs="Arial" w:eastAsia="Arial" w:hAnsi="Arial"/>
          <w:sz w:val="11"/>
          <w:szCs w:val="11"/>
          <w:b w:val="1"/>
          <w:bCs w:val="1"/>
          <w:color w:val="auto"/>
        </w:rPr>
        <w:t>INDING</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FFECT</w:t>
      </w:r>
      <w:r>
        <w:rPr>
          <w:rFonts w:ascii="Arial" w:cs="Arial" w:eastAsia="Arial" w:hAnsi="Arial"/>
          <w:sz w:val="17"/>
          <w:szCs w:val="17"/>
          <w:b w:val="1"/>
          <w:bCs w:val="1"/>
          <w:color w:val="auto"/>
        </w:rPr>
        <w:t>; C</w:t>
      </w:r>
      <w:r>
        <w:rPr>
          <w:rFonts w:ascii="Arial" w:cs="Arial" w:eastAsia="Arial" w:hAnsi="Arial"/>
          <w:sz w:val="11"/>
          <w:szCs w:val="11"/>
          <w:b w:val="1"/>
          <w:bCs w:val="1"/>
          <w:color w:val="auto"/>
        </w:rPr>
        <w:t>HOICE OF</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AW</w:t>
      </w:r>
      <w:r>
        <w:rPr>
          <w:rFonts w:ascii="Arial" w:cs="Arial" w:eastAsia="Arial" w:hAnsi="Arial"/>
          <w:sz w:val="17"/>
          <w:szCs w:val="17"/>
          <w:color w:val="auto"/>
        </w:rPr>
        <w:t>. Subject to any provision hereof restricting assignment or subletting by Tenant, this Lease shall bind the parties, their</w:t>
      </w:r>
      <w:r>
        <w:rPr>
          <w:rFonts w:ascii="Arial" w:cs="Arial" w:eastAsia="Arial" w:hAnsi="Arial"/>
          <w:sz w:val="17"/>
          <w:szCs w:val="17"/>
          <w:b w:val="1"/>
          <w:bCs w:val="1"/>
          <w:color w:val="auto"/>
        </w:rPr>
        <w:t xml:space="preserve"> </w:t>
      </w:r>
      <w:r>
        <w:rPr>
          <w:rFonts w:ascii="Arial" w:cs="Arial" w:eastAsia="Arial" w:hAnsi="Arial"/>
          <w:sz w:val="17"/>
          <w:szCs w:val="17"/>
          <w:color w:val="auto"/>
        </w:rPr>
        <w:t>heirs, personal representatives, successors and assigns. This Lease shall be governed by the laws of the state in which the Project is located, and any litigation concerning this Lease between the parties hereto shall be initiated in the county in which the Project is located.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93" w:name="page594"/>
    <w:bookmarkEnd w:id="593"/>
    <w:p>
      <w:pPr>
        <w:jc w:val="both"/>
        <w:ind w:firstLine="8"/>
        <w:spacing w:after="0" w:line="291" w:lineRule="auto"/>
        <w:tabs>
          <w:tab w:leader="none" w:pos="448" w:val="left"/>
        </w:tabs>
        <w:numPr>
          <w:ilvl w:val="0"/>
          <w:numId w:val="564"/>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1"/>
          <w:szCs w:val="11"/>
          <w:b w:val="1"/>
          <w:bCs w:val="1"/>
          <w:color w:val="auto"/>
        </w:rPr>
        <w:t>TTORNEYS</w:t>
      </w:r>
      <w:r>
        <w:rPr>
          <w:rFonts w:ascii="Arial" w:cs="Arial" w:eastAsia="Arial" w:hAnsi="Arial"/>
          <w:sz w:val="16"/>
          <w:szCs w:val="16"/>
          <w:b w:val="1"/>
          <w:bCs w:val="1"/>
          <w:color w:val="auto"/>
        </w:rPr>
        <w:t>’ F</w:t>
      </w:r>
      <w:r>
        <w:rPr>
          <w:rFonts w:ascii="Arial" w:cs="Arial" w:eastAsia="Arial" w:hAnsi="Arial"/>
          <w:sz w:val="11"/>
          <w:szCs w:val="11"/>
          <w:b w:val="1"/>
          <w:bCs w:val="1"/>
          <w:color w:val="auto"/>
        </w:rPr>
        <w:t>EES</w:t>
      </w:r>
      <w:r>
        <w:rPr>
          <w:rFonts w:ascii="Arial" w:cs="Arial" w:eastAsia="Arial" w:hAnsi="Arial"/>
          <w:sz w:val="16"/>
          <w:szCs w:val="16"/>
          <w:color w:val="auto"/>
        </w:rPr>
        <w:t>. If Landlord or Tenant brings an action to enforce the terms hereof or declare rights hereunder, the prevailing party in any such action,</w:t>
      </w:r>
      <w:r>
        <w:rPr>
          <w:rFonts w:ascii="Arial" w:cs="Arial" w:eastAsia="Arial" w:hAnsi="Arial"/>
          <w:sz w:val="16"/>
          <w:szCs w:val="16"/>
          <w:b w:val="1"/>
          <w:bCs w:val="1"/>
          <w:color w:val="auto"/>
        </w:rPr>
        <w:t xml:space="preserve"> </w:t>
      </w:r>
      <w:r>
        <w:rPr>
          <w:rFonts w:ascii="Arial" w:cs="Arial" w:eastAsia="Arial" w:hAnsi="Arial"/>
          <w:sz w:val="16"/>
          <w:szCs w:val="16"/>
          <w:color w:val="auto"/>
        </w:rPr>
        <w:t>or appeal 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attorneys’ fees and court costs reasonably incurred in good faith.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 Landlord and Tenant agree that attorneys’ fees incurred with respect to defaults and bankruptcy are actual pecuniary losses within the meaning of Section 365(b)(1)(B) of the Bankruptcy Code or any successor statute.</w:t>
      </w:r>
    </w:p>
    <w:p>
      <w:pPr>
        <w:spacing w:after="0" w:line="161" w:lineRule="exact"/>
        <w:rPr>
          <w:rFonts w:ascii="Arial" w:cs="Arial" w:eastAsia="Arial" w:hAnsi="Arial"/>
          <w:sz w:val="16"/>
          <w:szCs w:val="16"/>
          <w:b w:val="1"/>
          <w:bCs w:val="1"/>
          <w:color w:val="auto"/>
        </w:rPr>
      </w:pPr>
    </w:p>
    <w:p>
      <w:pPr>
        <w:ind w:firstLine="8"/>
        <w:spacing w:after="0" w:line="280" w:lineRule="auto"/>
        <w:tabs>
          <w:tab w:leader="none" w:pos="489"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UCTIONS</w:t>
      </w:r>
      <w:r>
        <w:rPr>
          <w:rFonts w:ascii="Arial" w:cs="Arial" w:eastAsia="Arial" w:hAnsi="Arial"/>
          <w:sz w:val="18"/>
          <w:szCs w:val="18"/>
          <w:color w:val="auto"/>
        </w:rPr>
        <w:t>. Tenant shall not conduct, nor permit to be conducted, either voluntarily or involuntarily, any auction or going-out-of-business sale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or the Common Areas.</w:t>
      </w:r>
    </w:p>
    <w:p>
      <w:pPr>
        <w:spacing w:after="0" w:line="163" w:lineRule="exact"/>
        <w:rPr>
          <w:rFonts w:ascii="Arial" w:cs="Arial" w:eastAsia="Arial" w:hAnsi="Arial"/>
          <w:sz w:val="18"/>
          <w:szCs w:val="18"/>
          <w:b w:val="1"/>
          <w:bCs w:val="1"/>
          <w:color w:val="auto"/>
        </w:rPr>
      </w:pPr>
    </w:p>
    <w:p>
      <w:pPr>
        <w:jc w:val="both"/>
        <w:ind w:firstLine="8"/>
        <w:spacing w:after="0" w:line="265" w:lineRule="auto"/>
        <w:tabs>
          <w:tab w:leader="none" w:pos="462"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ERGER</w:t>
      </w:r>
      <w:r>
        <w:rPr>
          <w:rFonts w:ascii="Arial" w:cs="Arial" w:eastAsia="Arial" w:hAnsi="Arial"/>
          <w:sz w:val="18"/>
          <w:szCs w:val="18"/>
          <w:color w:val="auto"/>
        </w:rPr>
        <w:t>. The voluntary or other surrender of this Lease by Tenant, or a mutual cancellation thereof, or a termination by Landlord, shall not result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of Landlord’s and Tenant’s estates and shall, at the option of Landlord, terminate all or any existing subtenancies or may, at the option of Landlord, operate as an assignment to Landlord of any or all of such subtenancies.</w:t>
      </w:r>
    </w:p>
    <w:p>
      <w:pPr>
        <w:spacing w:after="0" w:line="175" w:lineRule="exact"/>
        <w:rPr>
          <w:rFonts w:ascii="Arial" w:cs="Arial" w:eastAsia="Arial" w:hAnsi="Arial"/>
          <w:sz w:val="18"/>
          <w:szCs w:val="18"/>
          <w:b w:val="1"/>
          <w:bCs w:val="1"/>
          <w:color w:val="auto"/>
        </w:rPr>
      </w:pPr>
    </w:p>
    <w:p>
      <w:pPr>
        <w:ind w:firstLine="8"/>
        <w:spacing w:after="0" w:line="345" w:lineRule="auto"/>
        <w:tabs>
          <w:tab w:leader="none" w:pos="448" w:val="left"/>
        </w:tabs>
        <w:numPr>
          <w:ilvl w:val="0"/>
          <w:numId w:val="564"/>
        </w:numPr>
        <w:rPr>
          <w:rFonts w:ascii="Arial" w:cs="Arial" w:eastAsia="Arial" w:hAnsi="Arial"/>
          <w:sz w:val="16"/>
          <w:szCs w:val="16"/>
          <w:b w:val="1"/>
          <w:bCs w:val="1"/>
          <w:color w:val="auto"/>
        </w:rPr>
      </w:pPr>
      <w:r>
        <w:rPr>
          <w:rFonts w:ascii="Arial" w:cs="Arial" w:eastAsia="Arial" w:hAnsi="Arial"/>
          <w:sz w:val="16"/>
          <w:szCs w:val="16"/>
          <w:b w:val="1"/>
          <w:bCs w:val="1"/>
          <w:color w:val="auto"/>
        </w:rPr>
        <w:t>Q</w:t>
      </w:r>
      <w:r>
        <w:rPr>
          <w:rFonts w:ascii="Arial" w:cs="Arial" w:eastAsia="Arial" w:hAnsi="Arial"/>
          <w:sz w:val="11"/>
          <w:szCs w:val="11"/>
          <w:b w:val="1"/>
          <w:bCs w:val="1"/>
          <w:color w:val="auto"/>
        </w:rPr>
        <w:t>UIET</w:t>
      </w:r>
      <w:r>
        <w:rPr>
          <w:rFonts w:ascii="Arial" w:cs="Arial" w:eastAsia="Arial" w:hAnsi="Arial"/>
          <w:sz w:val="16"/>
          <w:szCs w:val="16"/>
          <w:b w:val="1"/>
          <w:bCs w:val="1"/>
          <w:color w:val="auto"/>
        </w:rPr>
        <w:t xml:space="preserve"> P</w:t>
      </w:r>
      <w:r>
        <w:rPr>
          <w:rFonts w:ascii="Arial" w:cs="Arial" w:eastAsia="Arial" w:hAnsi="Arial"/>
          <w:sz w:val="11"/>
          <w:szCs w:val="11"/>
          <w:b w:val="1"/>
          <w:bCs w:val="1"/>
          <w:color w:val="auto"/>
        </w:rPr>
        <w:t>OSSESSION</w:t>
      </w:r>
      <w:r>
        <w:rPr>
          <w:rFonts w:ascii="Arial" w:cs="Arial" w:eastAsia="Arial" w:hAnsi="Arial"/>
          <w:sz w:val="16"/>
          <w:szCs w:val="16"/>
          <w:color w:val="auto"/>
        </w:rPr>
        <w:t>. Subject to the other terms and conditions of this Lease, and the rights of any lender, and provided Tenant is not in default beyond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cure period hereunder, Tenant shall have quiet possession of the Premises for the entire term hereof subject to all of the provisions of this Lease.</w:t>
      </w:r>
    </w:p>
    <w:p>
      <w:pPr>
        <w:spacing w:after="0" w:line="117" w:lineRule="exact"/>
        <w:rPr>
          <w:rFonts w:ascii="Arial" w:cs="Arial" w:eastAsia="Arial" w:hAnsi="Arial"/>
          <w:sz w:val="16"/>
          <w:szCs w:val="16"/>
          <w:b w:val="1"/>
          <w:bCs w:val="1"/>
          <w:color w:val="auto"/>
        </w:rPr>
      </w:pPr>
    </w:p>
    <w:p>
      <w:pPr>
        <w:jc w:val="both"/>
        <w:ind w:firstLine="8"/>
        <w:spacing w:after="0" w:line="257" w:lineRule="auto"/>
        <w:tabs>
          <w:tab w:leader="none" w:pos="489"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UTHORITY</w:t>
      </w:r>
      <w:r>
        <w:rPr>
          <w:rFonts w:ascii="Arial" w:cs="Arial" w:eastAsia="Arial" w:hAnsi="Arial"/>
          <w:sz w:val="18"/>
          <w:szCs w:val="18"/>
          <w:color w:val="auto"/>
        </w:rPr>
        <w:t>. If Tenant is a corporation, trust, limited liability company, limited liability partnership or general or limited partnership, Tenant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warrants that each individual executing this Lease on behalf of such entity is duly authorized to execute and deliver this Lease on behalf of said entity, that said entity is duly authorized to enter into this Lease, and that this Lease is enforceable against said entity in accordance with its terms. If Tenant is a corporation, trust, limited liability company, limited liability partnership or other partnership, Tenant shall deliver to Landlord upon demand evidence of such authority satisfactory to Landlord.</w:t>
      </w:r>
    </w:p>
    <w:p>
      <w:pPr>
        <w:spacing w:after="0" w:line="183" w:lineRule="exact"/>
        <w:rPr>
          <w:rFonts w:ascii="Arial" w:cs="Arial" w:eastAsia="Arial" w:hAnsi="Arial"/>
          <w:sz w:val="18"/>
          <w:szCs w:val="18"/>
          <w:b w:val="1"/>
          <w:bCs w:val="1"/>
          <w:color w:val="auto"/>
        </w:rPr>
      </w:pPr>
    </w:p>
    <w:p>
      <w:pPr>
        <w:ind w:firstLine="8"/>
        <w:spacing w:after="0" w:line="311" w:lineRule="auto"/>
        <w:tabs>
          <w:tab w:leader="none" w:pos="516" w:val="left"/>
        </w:tabs>
        <w:numPr>
          <w:ilvl w:val="0"/>
          <w:numId w:val="564"/>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ONFLICT</w:t>
      </w:r>
      <w:r>
        <w:rPr>
          <w:rFonts w:ascii="Arial" w:cs="Arial" w:eastAsia="Arial" w:hAnsi="Arial"/>
          <w:sz w:val="17"/>
          <w:szCs w:val="17"/>
          <w:color w:val="auto"/>
        </w:rPr>
        <w:t>. Any conflict between the type written provisions of this Lease and handwritten provisions, if any, shall be controlled by the handwritten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handwritten provisions shall have no force or effect unless separately initialed by both Landlord and Tenant.</w:t>
      </w:r>
    </w:p>
    <w:p>
      <w:pPr>
        <w:spacing w:after="0" w:line="139" w:lineRule="exact"/>
        <w:rPr>
          <w:rFonts w:ascii="Arial" w:cs="Arial" w:eastAsia="Arial" w:hAnsi="Arial"/>
          <w:sz w:val="17"/>
          <w:szCs w:val="17"/>
          <w:b w:val="1"/>
          <w:bCs w:val="1"/>
          <w:color w:val="auto"/>
        </w:rPr>
      </w:pPr>
    </w:p>
    <w:p>
      <w:pPr>
        <w:jc w:val="both"/>
        <w:ind w:firstLine="8"/>
        <w:spacing w:after="0" w:line="265" w:lineRule="auto"/>
        <w:tabs>
          <w:tab w:leader="none" w:pos="462"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ULTIPLE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r>
        <w:rPr>
          <w:rFonts w:ascii="Arial" w:cs="Arial" w:eastAsia="Arial" w:hAnsi="Arial"/>
          <w:sz w:val="18"/>
          <w:szCs w:val="18"/>
          <w:color w:val="auto"/>
        </w:rPr>
        <w:t>. If more than one person or entity is named as Tenant herein, the obligations of Tenant shall be the joint and several responsibility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all persons or entities named herein as Tenant. Service of a notice in accordance with Section 43 on one Tenant shall be deemed service of notice on all Tenants.</w:t>
      </w:r>
    </w:p>
    <w:p>
      <w:pPr>
        <w:spacing w:after="0" w:line="175" w:lineRule="exact"/>
        <w:rPr>
          <w:rFonts w:ascii="Arial" w:cs="Arial" w:eastAsia="Arial" w:hAnsi="Arial"/>
          <w:sz w:val="18"/>
          <w:szCs w:val="18"/>
          <w:b w:val="1"/>
          <w:bCs w:val="1"/>
          <w:color w:val="auto"/>
        </w:rPr>
      </w:pPr>
    </w:p>
    <w:p>
      <w:pPr>
        <w:jc w:val="both"/>
        <w:ind w:firstLine="8"/>
        <w:spacing w:after="0" w:line="260" w:lineRule="auto"/>
        <w:tabs>
          <w:tab w:leader="none" w:pos="448"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NTERPRETATION</w:t>
      </w:r>
      <w:r>
        <w:rPr>
          <w:rFonts w:ascii="Arial" w:cs="Arial" w:eastAsia="Arial" w:hAnsi="Arial"/>
          <w:sz w:val="18"/>
          <w:szCs w:val="18"/>
          <w:color w:val="auto"/>
        </w:rPr>
        <w:t>. This Lease shall be interpreted as if it was prepared by both parties, and ambiguities shall not be resolved in favor of Tenant because all</w:t>
      </w:r>
      <w:r>
        <w:rPr>
          <w:rFonts w:ascii="Arial" w:cs="Arial" w:eastAsia="Arial" w:hAnsi="Arial"/>
          <w:sz w:val="18"/>
          <w:szCs w:val="18"/>
          <w:b w:val="1"/>
          <w:bCs w:val="1"/>
          <w:color w:val="auto"/>
        </w:rPr>
        <w:t xml:space="preserve"> </w:t>
      </w:r>
      <w:r>
        <w:rPr>
          <w:rFonts w:ascii="Arial" w:cs="Arial" w:eastAsia="Arial" w:hAnsi="Arial"/>
          <w:sz w:val="18"/>
          <w:szCs w:val="18"/>
          <w:color w:val="auto"/>
        </w:rPr>
        <w:t>or a portion of this Lease was prepared by Landlord. The captions contained in this Lease are for convenience only and shall not be deemed to limit or alter the meaning of this Lease. As used in this Lease, the words tenant and landlord include the plural as well as the singular. Words used in the neuter gender include the masculine and feminine gender.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94" w:name="page595"/>
    <w:bookmarkEnd w:id="594"/>
    <w:p>
      <w:pPr>
        <w:jc w:val="both"/>
        <w:ind w:firstLine="8"/>
        <w:spacing w:after="0" w:line="265" w:lineRule="auto"/>
        <w:tabs>
          <w:tab w:leader="none" w:pos="475"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ROHIBITION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GAINST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ECORDING</w:t>
      </w:r>
      <w:r>
        <w:rPr>
          <w:rFonts w:ascii="Arial" w:cs="Arial" w:eastAsia="Arial" w:hAnsi="Arial"/>
          <w:sz w:val="18"/>
          <w:szCs w:val="18"/>
          <w:color w:val="auto"/>
        </w:rPr>
        <w:t>. Neither this Lease, nor any memorandum, affidavit or other writing with respect thereto, shall be recorded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or by anyone acting through, under or on behalf of Tenant. Landlord shall have the right to record a memorandum of this Lease, and Tenant shall execute, acknowledge and deliver to Landlord for recording any memorandum prepared by Landlord.</w:t>
      </w:r>
    </w:p>
    <w:p>
      <w:pPr>
        <w:spacing w:after="0" w:line="175" w:lineRule="exact"/>
        <w:rPr>
          <w:rFonts w:ascii="Arial" w:cs="Arial" w:eastAsia="Arial" w:hAnsi="Arial"/>
          <w:sz w:val="18"/>
          <w:szCs w:val="18"/>
          <w:b w:val="1"/>
          <w:bCs w:val="1"/>
          <w:color w:val="auto"/>
        </w:rPr>
      </w:pPr>
    </w:p>
    <w:p>
      <w:pPr>
        <w:ind w:firstLine="8"/>
        <w:spacing w:after="0" w:line="280" w:lineRule="auto"/>
        <w:tabs>
          <w:tab w:leader="none" w:pos="563"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ELATIONSHIP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ARTIES</w:t>
      </w:r>
      <w:r>
        <w:rPr>
          <w:rFonts w:ascii="Arial" w:cs="Arial" w:eastAsia="Arial" w:hAnsi="Arial"/>
          <w:sz w:val="18"/>
          <w:szCs w:val="18"/>
          <w:color w:val="auto"/>
        </w:rPr>
        <w:t>. Nothing contained in this Lease shall be deemed or construed by the parties hereto or by any third party to create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of principal and agent, partnership, joint venturer or any association between Landlord and Tenant.</w:t>
      </w:r>
    </w:p>
    <w:p>
      <w:pPr>
        <w:spacing w:after="0" w:line="163" w:lineRule="exact"/>
        <w:rPr>
          <w:rFonts w:ascii="Arial" w:cs="Arial" w:eastAsia="Arial" w:hAnsi="Arial"/>
          <w:sz w:val="18"/>
          <w:szCs w:val="18"/>
          <w:b w:val="1"/>
          <w:bCs w:val="1"/>
          <w:color w:val="auto"/>
        </w:rPr>
      </w:pPr>
    </w:p>
    <w:p>
      <w:pPr>
        <w:jc w:val="both"/>
        <w:ind w:firstLine="8"/>
        <w:spacing w:after="0" w:line="260" w:lineRule="auto"/>
        <w:tabs>
          <w:tab w:leader="none" w:pos="475"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ULES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EGULATIONS</w:t>
      </w:r>
      <w:r>
        <w:rPr>
          <w:rFonts w:ascii="Arial" w:cs="Arial" w:eastAsia="Arial" w:hAnsi="Arial"/>
          <w:sz w:val="18"/>
          <w:szCs w:val="18"/>
          <w:color w:val="auto"/>
        </w:rPr>
        <w:t>. Tenant agrees to abide by and conform to the Rules and to cause its employees, suppliers, customers and invitees to so abide</w:t>
      </w:r>
      <w:r>
        <w:rPr>
          <w:rFonts w:ascii="Arial" w:cs="Arial" w:eastAsia="Arial" w:hAnsi="Arial"/>
          <w:sz w:val="18"/>
          <w:szCs w:val="18"/>
          <w:b w:val="1"/>
          <w:bCs w:val="1"/>
          <w:color w:val="auto"/>
        </w:rPr>
        <w:t xml:space="preserve"> </w:t>
      </w:r>
      <w:r>
        <w:rPr>
          <w:rFonts w:ascii="Arial" w:cs="Arial" w:eastAsia="Arial" w:hAnsi="Arial"/>
          <w:sz w:val="18"/>
          <w:szCs w:val="18"/>
          <w:color w:val="auto"/>
        </w:rPr>
        <w:t>and conform. Landlord shall have the right, from time to time, to modify, amend and enforce the Rules in a nondiscriminatory manner not in conflict with the terms of this Lease. Landlord shall not be responsible to Tenant for the failure of other persons, including, but not limited to, other tenants, their agents, employees and invitees, to comply with the Rules.</w:t>
      </w:r>
    </w:p>
    <w:p>
      <w:pPr>
        <w:spacing w:after="0" w:line="179" w:lineRule="exact"/>
        <w:rPr>
          <w:rFonts w:ascii="Arial" w:cs="Arial" w:eastAsia="Arial" w:hAnsi="Arial"/>
          <w:sz w:val="18"/>
          <w:szCs w:val="18"/>
          <w:b w:val="1"/>
          <w:bCs w:val="1"/>
          <w:color w:val="auto"/>
        </w:rPr>
      </w:pPr>
    </w:p>
    <w:p>
      <w:pPr>
        <w:ind w:firstLine="8"/>
        <w:spacing w:after="0" w:line="280" w:lineRule="auto"/>
        <w:tabs>
          <w:tab w:leader="none" w:pos="462"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IGHT TO</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EASE</w:t>
      </w:r>
      <w:r>
        <w:rPr>
          <w:rFonts w:ascii="Arial" w:cs="Arial" w:eastAsia="Arial" w:hAnsi="Arial"/>
          <w:sz w:val="18"/>
          <w:szCs w:val="18"/>
          <w:color w:val="auto"/>
        </w:rPr>
        <w:t>. Landlord reserves the absolute right to effect such other tenancies in the Project as Landlord in its sole discretion shall determine,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is not relying on any representation that any specific tenant or number of tenants will occupy the Project.</w:t>
      </w:r>
    </w:p>
    <w:p>
      <w:pPr>
        <w:spacing w:after="0" w:line="163" w:lineRule="exact"/>
        <w:rPr>
          <w:rFonts w:ascii="Arial" w:cs="Arial" w:eastAsia="Arial" w:hAnsi="Arial"/>
          <w:sz w:val="18"/>
          <w:szCs w:val="18"/>
          <w:b w:val="1"/>
          <w:bCs w:val="1"/>
          <w:color w:val="auto"/>
        </w:rPr>
      </w:pPr>
    </w:p>
    <w:p>
      <w:pPr>
        <w:jc w:val="both"/>
        <w:ind w:firstLine="8"/>
        <w:spacing w:after="0" w:line="271" w:lineRule="auto"/>
        <w:tabs>
          <w:tab w:leader="none" w:pos="462"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1"/>
          <w:szCs w:val="11"/>
          <w:b w:val="1"/>
          <w:bCs w:val="1"/>
          <w:color w:val="auto"/>
        </w:rPr>
        <w:t>ATRIOT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CT</w:t>
      </w:r>
      <w:r>
        <w:rPr>
          <w:rFonts w:ascii="Arial" w:cs="Arial" w:eastAsia="Arial" w:hAnsi="Arial"/>
          <w:sz w:val="17"/>
          <w:szCs w:val="17"/>
          <w:color w:val="auto"/>
        </w:rPr>
        <w:t>. Tenant represents to Landlord that, (i) neither Tenant nor any person or entity that directly owns a 10% or greater equity interest in it nor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officers, directors or managing members is a person or entity (each, a “</w:t>
      </w:r>
      <w:r>
        <w:rPr>
          <w:rFonts w:ascii="Arial" w:cs="Arial" w:eastAsia="Arial" w:hAnsi="Arial"/>
          <w:sz w:val="17"/>
          <w:szCs w:val="17"/>
          <w:b w:val="1"/>
          <w:bCs w:val="1"/>
          <w:i w:val="1"/>
          <w:iCs w:val="1"/>
          <w:color w:val="auto"/>
        </w:rPr>
        <w:t>Prohibited Person</w:t>
      </w:r>
      <w:r>
        <w:rPr>
          <w:rFonts w:ascii="Arial" w:cs="Arial" w:eastAsia="Arial" w:hAnsi="Arial"/>
          <w:sz w:val="17"/>
          <w:szCs w:val="17"/>
          <w:color w:val="auto"/>
        </w:rPr>
        <w:t>”) with whom U.S. persons or entities are restricted from doing business under regulations of the Office of Foreign Asset Control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of the Department of the Treasury (including those named on OFAC’s Specially Designated and Blocked Persons List) or under Executive Order 13224 (the “</w:t>
      </w:r>
      <w:r>
        <w:rPr>
          <w:rFonts w:ascii="Arial" w:cs="Arial" w:eastAsia="Arial" w:hAnsi="Arial"/>
          <w:sz w:val="17"/>
          <w:szCs w:val="17"/>
          <w:b w:val="1"/>
          <w:bCs w:val="1"/>
          <w:i w:val="1"/>
          <w:iCs w:val="1"/>
          <w:color w:val="auto"/>
        </w:rPr>
        <w:t>Executive Order</w:t>
      </w:r>
      <w:r>
        <w:rPr>
          <w:rFonts w:ascii="Arial" w:cs="Arial" w:eastAsia="Arial" w:hAnsi="Arial"/>
          <w:sz w:val="17"/>
          <w:szCs w:val="17"/>
          <w:color w:val="auto"/>
        </w:rPr>
        <w:t>”) signed on September 24, 2001, and entitled “Blocking Property and Prohibiting Transactions with Persons Who Commit, Threaten to Commit, or Support Terrorism,” or other governmental action, (ii) Tenant’s activities do not violate the International Money Laundering Abatement and Financial Anti-Terrorism Act of 2001 or the regulations or orders promulgated thereunder (as amended from time to time, the “</w:t>
      </w:r>
      <w:r>
        <w:rPr>
          <w:rFonts w:ascii="Arial" w:cs="Arial" w:eastAsia="Arial" w:hAnsi="Arial"/>
          <w:sz w:val="17"/>
          <w:szCs w:val="17"/>
          <w:b w:val="1"/>
          <w:bCs w:val="1"/>
          <w:i w:val="1"/>
          <w:iCs w:val="1"/>
          <w:color w:val="auto"/>
        </w:rPr>
        <w:t>Money Laundering Act</w:t>
      </w:r>
      <w:r>
        <w:rPr>
          <w:rFonts w:ascii="Arial" w:cs="Arial" w:eastAsia="Arial" w:hAnsi="Arial"/>
          <w:sz w:val="17"/>
          <w:szCs w:val="17"/>
          <w:color w:val="auto"/>
        </w:rPr>
        <w:t>”) and (iii) throughout the term of this Lease, Tenant shall comply with the Executive Order and with the Money Laundering Act.</w:t>
      </w:r>
    </w:p>
    <w:p>
      <w:pPr>
        <w:spacing w:after="0" w:line="172" w:lineRule="exact"/>
        <w:rPr>
          <w:rFonts w:ascii="Arial" w:cs="Arial" w:eastAsia="Arial" w:hAnsi="Arial"/>
          <w:sz w:val="17"/>
          <w:szCs w:val="17"/>
          <w:b w:val="1"/>
          <w:bCs w:val="1"/>
          <w:color w:val="auto"/>
        </w:rPr>
      </w:pPr>
    </w:p>
    <w:p>
      <w:pPr>
        <w:jc w:val="both"/>
        <w:ind w:firstLine="8"/>
        <w:spacing w:after="0" w:line="254" w:lineRule="auto"/>
        <w:tabs>
          <w:tab w:leader="none" w:pos="543"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w:t>
      </w:r>
      <w:r>
        <w:rPr>
          <w:rFonts w:ascii="Arial" w:cs="Arial" w:eastAsia="Arial" w:hAnsi="Arial"/>
          <w:sz w:val="18"/>
          <w:szCs w:val="18"/>
          <w:color w:val="auto"/>
        </w:rPr>
        <w:t>. Tenant acknowledges and agrees that the terms of this Lease are confidential and constitute proprietary information of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of the terms hereof could adversely affect the ability of Landlord to negotiate other leases with respect to the Project and may impair Landlord’s relationship with other tenants of the Project. Except to the extent required by applicable law, Tenant agrees that it and its partners, officers, directors, employees, brokers, accountants, lawyers, existing and prospective investors, existing and prospective lenders, and prospective subtenants, assignees and acquirers, if any, shall not disclose the terms and conditions of this Lease to any other person or entity without the prior written consent of Landlord, which may be given or withheld by Landlord, in Landlord’s sole discretion.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85" w:lineRule="exact"/>
        <w:rPr>
          <w:rFonts w:ascii="Arial" w:cs="Arial" w:eastAsia="Arial" w:hAnsi="Arial"/>
          <w:sz w:val="18"/>
          <w:szCs w:val="18"/>
          <w:b w:val="1"/>
          <w:bCs w:val="1"/>
          <w:color w:val="auto"/>
        </w:rPr>
      </w:pPr>
    </w:p>
    <w:p>
      <w:pPr>
        <w:jc w:val="both"/>
        <w:ind w:firstLine="8"/>
        <w:spacing w:after="0" w:line="273" w:lineRule="auto"/>
        <w:tabs>
          <w:tab w:leader="none" w:pos="513" w:val="left"/>
        </w:tabs>
        <w:numPr>
          <w:ilvl w:val="0"/>
          <w:numId w:val="5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Waiver </w:t>
      </w:r>
      <w:r>
        <w:rPr>
          <w:rFonts w:ascii="Arial" w:cs="Arial" w:eastAsia="Arial" w:hAnsi="Arial"/>
          <w:sz w:val="11"/>
          <w:szCs w:val="11"/>
          <w:b w:val="1"/>
          <w:bCs w:val="1"/>
          <w:color w:val="auto"/>
        </w:rPr>
        <w:t>OF</w:t>
      </w:r>
      <w:r>
        <w:rPr>
          <w:rFonts w:ascii="Arial" w:cs="Arial" w:eastAsia="Arial" w:hAnsi="Arial"/>
          <w:sz w:val="17"/>
          <w:szCs w:val="17"/>
          <w:b w:val="1"/>
          <w:bCs w:val="1"/>
          <w:color w:val="auto"/>
        </w:rPr>
        <w:t xml:space="preserve"> J</w:t>
      </w:r>
      <w:r>
        <w:rPr>
          <w:rFonts w:ascii="Arial" w:cs="Arial" w:eastAsia="Arial" w:hAnsi="Arial"/>
          <w:sz w:val="11"/>
          <w:szCs w:val="11"/>
          <w:b w:val="1"/>
          <w:bCs w:val="1"/>
          <w:color w:val="auto"/>
        </w:rPr>
        <w:t>URY</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RIAL</w:t>
      </w:r>
      <w:r>
        <w:rPr>
          <w:rFonts w:ascii="Arial" w:cs="Arial" w:eastAsia="Arial" w:hAnsi="Arial"/>
          <w:sz w:val="17"/>
          <w:szCs w:val="17"/>
          <w:color w:val="auto"/>
        </w:rPr>
        <w:t>. TO THE EXTENT PERMITTED BY APPLICABLE LEGAL REQUIREMENTS, LANDLORD AND TENANT HEREBY</w:t>
      </w:r>
      <w:r>
        <w:rPr>
          <w:rFonts w:ascii="Arial" w:cs="Arial" w:eastAsia="Arial" w:hAnsi="Arial"/>
          <w:sz w:val="17"/>
          <w:szCs w:val="17"/>
          <w:b w:val="1"/>
          <w:bCs w:val="1"/>
          <w:color w:val="auto"/>
        </w:rPr>
        <w:t xml:space="preserve"> </w:t>
      </w:r>
      <w:r>
        <w:rPr>
          <w:rFonts w:ascii="Arial" w:cs="Arial" w:eastAsia="Arial" w:hAnsi="Arial"/>
          <w:sz w:val="17"/>
          <w:szCs w:val="17"/>
          <w:color w:val="auto"/>
        </w:rPr>
        <w:t>WAIVE THEIR RESPECTIVE RIGHT TO TRIAL BY JURY OF ANY CAUSE OF ACTION, CLAIM, COUNTERCLAIM OR CROSS-COMPLAINT IN ANY ACTION, PROCEEDING AND/OR HEARING BROUGHT BY EITHER LANDLORD AGAINST TENANT OR TENANT AGAINST LANDLORD ON ANY MATTER WHATSOEVER ARISING OUT OF, OR IN ANY WAY CONNECTED WITH, THIS LEASE, THE RELATIONSHIP OF LANDLORD AND TENANT, TENANT’S USE OR OCCUPANCY OF THE PREMISES, OR ANY CLAIM OF INJURY OR DAMAGE, OR THE ENFORCEMENT OF ANY REMEDY UNDER ANY LAW, STATUTE, OR REGULATION, EMERGENCY OR OTHERWISE, NOW OR HEREAFTER IN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95" w:name="page596"/>
    <w:bookmarkEnd w:id="595"/>
    <w:p>
      <w:pPr>
        <w:jc w:val="both"/>
        <w:ind w:firstLine="8"/>
        <w:spacing w:after="0" w:line="289" w:lineRule="auto"/>
        <w:tabs>
          <w:tab w:leader="none" w:pos="475" w:val="left"/>
        </w:tabs>
        <w:numPr>
          <w:ilvl w:val="0"/>
          <w:numId w:val="56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1"/>
          <w:szCs w:val="11"/>
          <w:b w:val="1"/>
          <w:bCs w:val="1"/>
          <w:color w:val="auto"/>
        </w:rPr>
        <w:t>OUNTERPART</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OPIES</w:t>
      </w:r>
      <w:r>
        <w:rPr>
          <w:rFonts w:ascii="Arial" w:cs="Arial" w:eastAsia="Arial" w:hAnsi="Arial"/>
          <w:sz w:val="16"/>
          <w:szCs w:val="16"/>
          <w:b w:val="1"/>
          <w:bCs w:val="1"/>
          <w:color w:val="auto"/>
        </w:rPr>
        <w:t>; E</w:t>
      </w:r>
      <w:r>
        <w:rPr>
          <w:rFonts w:ascii="Arial" w:cs="Arial" w:eastAsia="Arial" w:hAnsi="Arial"/>
          <w:sz w:val="11"/>
          <w:szCs w:val="11"/>
          <w:b w:val="1"/>
          <w:bCs w:val="1"/>
          <w:color w:val="auto"/>
        </w:rPr>
        <w:t>LECTRONIC</w:t>
      </w:r>
      <w:r>
        <w:rPr>
          <w:rFonts w:ascii="Arial" w:cs="Arial" w:eastAsia="Arial" w:hAnsi="Arial"/>
          <w:sz w:val="16"/>
          <w:szCs w:val="16"/>
          <w:b w:val="1"/>
          <w:bCs w:val="1"/>
          <w:color w:val="auto"/>
        </w:rPr>
        <w:t xml:space="preserve"> S</w:t>
      </w:r>
      <w:r>
        <w:rPr>
          <w:rFonts w:ascii="Arial" w:cs="Arial" w:eastAsia="Arial" w:hAnsi="Arial"/>
          <w:sz w:val="11"/>
          <w:szCs w:val="11"/>
          <w:b w:val="1"/>
          <w:bCs w:val="1"/>
          <w:color w:val="auto"/>
        </w:rPr>
        <w:t>IGNATURES</w:t>
      </w:r>
      <w:r>
        <w:rPr>
          <w:rFonts w:ascii="Arial" w:cs="Arial" w:eastAsia="Arial" w:hAnsi="Arial"/>
          <w:sz w:val="16"/>
          <w:szCs w:val="16"/>
          <w:color w:val="auto"/>
        </w:rPr>
        <w:t>. This Lease and any documents or addenda attached hereto may be executed in two or more counterpart</w:t>
      </w:r>
      <w:r>
        <w:rPr>
          <w:rFonts w:ascii="Arial" w:cs="Arial" w:eastAsia="Arial" w:hAnsi="Arial"/>
          <w:sz w:val="16"/>
          <w:szCs w:val="16"/>
          <w:b w:val="1"/>
          <w:bCs w:val="1"/>
          <w:color w:val="auto"/>
        </w:rPr>
        <w:t xml:space="preserve"> </w:t>
      </w:r>
      <w:r>
        <w:rPr>
          <w:rFonts w:ascii="Arial" w:cs="Arial" w:eastAsia="Arial" w:hAnsi="Arial"/>
          <w:sz w:val="16"/>
          <w:szCs w:val="16"/>
          <w:color w:val="auto"/>
        </w:rPr>
        <w:t>copies, each of which shall be deemed to be an original and all of which counterparts shall have the same force and effect as if the parties had executed a single copy of this Lease or the attached document or addenda. The parties acknowledge and agree that notwithstanding any law or presumption to the contrary, Landlord shall have the right to execute this Lease and any documents and addenda attached to this Lease using an electronic signature, and Landlord’s electronic signature shall be deemed valid and binding and admissible by either party against the other as if same were an original ink signature. If Landlord executes this Lease or any documents or addenda attached to this Lease using an electronic signature, Landlord’s electronic signature will appear in Landlord’s signature block. An email from Landlord, its agents, brokers, attorneys, employees or other representatives shall never constitute Landlord’s electronic signature or be otherwise binding on Landlord. Tenant shall not have the right to execute this Lease or any documents or addenda attached hereto using an electronic signature, and Tenant shall execute this Lease and any documents or addenda attached hereto using an original ink signature.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to follow on succeeding page)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96" w:name="page597"/>
    <w:bookmarkEnd w:id="596"/>
    <w:p>
      <w:pPr>
        <w:jc w:val="both"/>
        <w:spacing w:after="0" w:line="252" w:lineRule="auto"/>
        <w:rPr>
          <w:sz w:val="20"/>
          <w:szCs w:val="20"/>
          <w:color w:val="auto"/>
        </w:rPr>
      </w:pPr>
      <w:r>
        <w:rPr>
          <w:rFonts w:ascii="Arial" w:cs="Arial" w:eastAsia="Arial" w:hAnsi="Arial"/>
          <w:sz w:val="18"/>
          <w:szCs w:val="18"/>
          <w:color w:val="auto"/>
        </w:rPr>
        <w:t>LANDLORD AND TENANT ACKNOWLEDGE THAT THEY HAVE CAREFULLY READ AND REVIEWED THIS LEASE AND EACH TERM AND PROVISION CONTAINED HEREIN AND, BY EXECUTION OF THIS LEASE, SHOW THEIR INFORMED AND VOLUNTARY CONSENT THERETO. THE PARTIES HEREBY AGREE THAT, AT THE TIME THIS LEASE IS EXECUTED, THE TERMS OF THIS LEASE ARE COMMERCIALLY REASONABLE AND EFFECTUATE THE INTENT AND PURPOSE OF LANDLORD AND TENANT WITH RESPECT TO THE PREMISES. TENANT ACKNOWLEDGES THAT IT HAS BEEN GIVEN THE OPPORTUNITY TO HAVE THIS LEASE REVIEWED BY ITS LEGAL COUNSEL PRIOR TO ITS EXECUTION. PREPARATION OF THIS LEASE BY LANDLORD OR LANDLORD’S AGENT AND SUBMISSION OF SAME TO TENANT SHALL NOT BE DEEMED AN OFFER BY LANDLORD TO LEASE THE PREMISES TO TENANT OR THE GRANT OF AN OPTION TO TENANT TO LEASE THE PREMISES. THIS LEASE SHALL BECOME BINDING UPON LANDLORD ONLY WHEN FULLY EXECUTED BY BOTH PARTIES AND WHEN LANDLORD HAS DELIVERED A FULLY EXECUTED ORIGINAL OF THIS LEASE TO TENANT IN THE MANNER SET FORTH IN THIS LEASE. THE DELIVERY OF A DRAFT OF THIS LEASE TO TENANT SHALL NOT CONSTITUTE AN AGREEMENT BY LANDLORD TO NEGOTIATE IN GOOD FAITH, AND LANDLORD EXPRESSLY DISCLAIMS ANY LEGAL OBLIGATION TO NEGOTIATE IN GOOD FAITH.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CRP E</w:t>
      </w:r>
      <w:r>
        <w:rPr>
          <w:rFonts w:ascii="Arial" w:cs="Arial" w:eastAsia="Arial" w:hAnsi="Arial"/>
          <w:sz w:val="12"/>
          <w:szCs w:val="12"/>
          <w:b w:val="1"/>
          <w:bCs w:val="1"/>
          <w:color w:val="auto"/>
        </w:rPr>
        <w:t>DGEWATER</w:t>
      </w:r>
      <w:r>
        <w:rPr>
          <w:rFonts w:ascii="Arial" w:cs="Arial" w:eastAsia="Arial" w:hAnsi="Arial"/>
          <w:sz w:val="18"/>
          <w:szCs w:val="18"/>
          <w:b w:val="1"/>
          <w:bCs w:val="1"/>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Name:__________________________________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Its:_____________________________________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AXART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By:_____________________________________</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(print name)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Its:______________________________________</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7255"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color w:val="auto"/>
        </w:rPr>
        <w:t>By:_____________________________________</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(print name)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Its:______________________________________</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(print title)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*If Tenant is a corporation, the authorized officers must sign on behalf of the corporation and indicate the capacity in which they are signing. The Lease must be executed by the president or vice president and the secretary or assistant secretary, </w:t>
      </w:r>
      <w:r>
        <w:rPr>
          <w:rFonts w:ascii="Arial" w:cs="Arial" w:eastAsia="Arial" w:hAnsi="Arial"/>
          <w:sz w:val="17"/>
          <w:szCs w:val="17"/>
          <w:b w:val="1"/>
          <w:bCs w:val="1"/>
          <w:i w:val="1"/>
          <w:iCs w:val="1"/>
          <w:color w:val="auto"/>
        </w:rPr>
        <w:t>unless</w:t>
      </w:r>
      <w:r>
        <w:rPr>
          <w:rFonts w:ascii="Arial" w:cs="Arial" w:eastAsia="Arial" w:hAnsi="Arial"/>
          <w:sz w:val="17"/>
          <w:szCs w:val="17"/>
          <w:color w:val="auto"/>
        </w:rPr>
        <w:t xml:space="preserve"> the bylaws or a resolution of the board of directors shall otherwise provide, in which event, the bylaws or a certified copy of the resolution, as the case may be, must be attached 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7255"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98" w:name="page599"/>
    <w:bookmarkEnd w:id="598"/>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PREMISES</w:t>
      </w:r>
    </w:p>
    <w:p>
      <w:pPr>
        <w:spacing w:after="0" w:line="228"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Exhibit A is intended only to show the general layout of the Premises, and shall not be interpreted to increase or decrease the size of the Premises beyond the number of rentable square feet set forth in Section 1.6. Exhibit A is not to be scaled and any measurements or distances shown on Exhibit A are approximates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7255" cy="520446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9">
                      <a:extLst>
                        <a:ext uri="{28A0092B-C50C-407E-A947-70E740481C1C}"/>
                      </a:extLst>
                    </a:blip>
                    <a:srcRect/>
                    <a:stretch>
                      <a:fillRect/>
                    </a:stretch>
                  </pic:blipFill>
                  <pic:spPr bwMode="auto">
                    <a:xfrm>
                      <a:off x="0" y="0"/>
                      <a:ext cx="7247255" cy="5204460"/>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99" w:name="page600"/>
    <w:bookmarkEnd w:id="599"/>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 LETTER</w:t>
      </w:r>
    </w:p>
    <w:p>
      <w:pPr>
        <w:spacing w:after="0" w:line="228" w:lineRule="exact"/>
        <w:rPr>
          <w:sz w:val="20"/>
          <w:szCs w:val="20"/>
          <w:color w:val="auto"/>
        </w:rPr>
      </w:pPr>
    </w:p>
    <w:p>
      <w:pPr>
        <w:jc w:val="both"/>
        <w:ind w:firstLine="646"/>
        <w:spacing w:after="0" w:line="288" w:lineRule="auto"/>
        <w:rPr>
          <w:sz w:val="20"/>
          <w:szCs w:val="20"/>
          <w:color w:val="auto"/>
        </w:rPr>
      </w:pPr>
      <w:r>
        <w:rPr>
          <w:rFonts w:ascii="Arial" w:cs="Arial" w:eastAsia="Arial" w:hAnsi="Arial"/>
          <w:sz w:val="18"/>
          <w:szCs w:val="18"/>
          <w:color w:val="auto"/>
        </w:rPr>
        <w:t>Vaxart, Inc., a Delaware corporation (“</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hereby certifies that it has entered into a lease with CRP Edgewater, L.L.C., a Delaware limited liability company (“</w:t>
      </w:r>
      <w:r>
        <w:rPr>
          <w:rFonts w:ascii="Arial" w:cs="Arial" w:eastAsia="Arial" w:hAnsi="Arial"/>
          <w:sz w:val="18"/>
          <w:szCs w:val="18"/>
          <w:b w:val="1"/>
          <w:bCs w:val="1"/>
          <w:i w:val="1"/>
          <w:iCs w:val="1"/>
          <w:color w:val="auto"/>
        </w:rPr>
        <w:t>Landlord</w:t>
      </w:r>
      <w:r>
        <w:rPr>
          <w:rFonts w:ascii="Arial" w:cs="Arial" w:eastAsia="Arial" w:hAnsi="Arial"/>
          <w:sz w:val="18"/>
          <w:szCs w:val="18"/>
          <w:color w:val="auto"/>
        </w:rPr>
        <w:t>”), and verifies the following information as of the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2015:</w:t>
      </w:r>
    </w:p>
    <w:p>
      <w:pPr>
        <w:spacing w:after="0" w:line="38"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Address of Building</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20"/>
                <w:szCs w:val="20"/>
                <w:color w:val="auto"/>
              </w:rPr>
            </w:pPr>
            <w:r>
              <w:rPr>
                <w:rFonts w:ascii="Arial" w:cs="Arial" w:eastAsia="Arial" w:hAnsi="Arial"/>
                <w:sz w:val="18"/>
                <w:szCs w:val="18"/>
                <w:color w:val="auto"/>
              </w:rPr>
              <w:t>290 Utah Avenue,</w:t>
            </w:r>
          </w:p>
        </w:tc>
      </w:tr>
      <w:tr>
        <w:trPr>
          <w:trHeight w:val="230"/>
        </w:trPr>
        <w:tc>
          <w:tcPr>
            <w:tcW w:w="3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South San Francisco, California 94080</w:t>
            </w:r>
          </w:p>
        </w:tc>
      </w:tr>
      <w:tr>
        <w:trPr>
          <w:trHeight w:val="431"/>
        </w:trPr>
        <w:tc>
          <w:tcPr>
            <w:tcW w:w="3360" w:type="dxa"/>
            <w:vAlign w:val="bottom"/>
          </w:tcPr>
          <w:p>
            <w:pPr>
              <w:jc w:val="right"/>
              <w:ind w:right="30"/>
              <w:spacing w:after="0"/>
              <w:rPr>
                <w:sz w:val="20"/>
                <w:szCs w:val="20"/>
                <w:color w:val="auto"/>
              </w:rPr>
            </w:pPr>
            <w:r>
              <w:rPr>
                <w:rFonts w:ascii="Arial" w:cs="Arial" w:eastAsia="Arial" w:hAnsi="Arial"/>
                <w:sz w:val="18"/>
                <w:szCs w:val="18"/>
                <w:color w:val="auto"/>
                <w:w w:val="88"/>
              </w:rPr>
              <w:t>Number of Rentable Square Feet in Premises</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20"/>
                <w:szCs w:val="20"/>
                <w:color w:val="auto"/>
              </w:rPr>
            </w:pPr>
            <w:r>
              <w:rPr>
                <w:rFonts w:ascii="Arial" w:cs="Arial" w:eastAsia="Arial" w:hAnsi="Arial"/>
                <w:sz w:val="18"/>
                <w:szCs w:val="18"/>
                <w:color w:val="auto"/>
              </w:rPr>
              <w:t>Approximately 5,188</w:t>
            </w:r>
          </w:p>
        </w:tc>
      </w:tr>
      <w:tr>
        <w:trPr>
          <w:trHeight w:val="430"/>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Commencement Date</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1, 2015</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Lease Termination Date</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30, 2020</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Tenant’s Share</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38.60%</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Initial Base Rent</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Pr>
          <w:p>
            <w:pPr>
              <w:spacing w:after="0"/>
              <w:rPr>
                <w:sz w:val="20"/>
                <w:szCs w:val="20"/>
                <w:color w:val="auto"/>
              </w:rPr>
            </w:pPr>
            <w:r>
              <w:rPr>
                <w:rFonts w:ascii="Arial" w:cs="Arial" w:eastAsia="Arial" w:hAnsi="Arial"/>
                <w:sz w:val="18"/>
                <w:szCs w:val="18"/>
                <w:color w:val="auto"/>
              </w:rPr>
              <w:t>$18,676.80</w:t>
            </w:r>
          </w:p>
        </w:tc>
      </w:tr>
      <w:tr>
        <w:trPr>
          <w:trHeight w:val="430"/>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Billing Address for Tenant</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   385 Oyster Pt. Blvd # 9A</w:t>
            </w:r>
          </w:p>
        </w:tc>
      </w:tr>
      <w:tr>
        <w:trPr>
          <w:trHeight w:val="209"/>
        </w:trPr>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South San Francisco, CA 94080</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Attention</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Cornwell</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Telephone Number</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(690) 550-3500</w:t>
            </w:r>
          </w:p>
        </w:tc>
      </w:tr>
      <w:tr>
        <w:trPr>
          <w:trHeight w:val="424"/>
        </w:trPr>
        <w:tc>
          <w:tcPr>
            <w:tcW w:w="3360" w:type="dxa"/>
            <w:vAlign w:val="bottom"/>
          </w:tcPr>
          <w:p>
            <w:pPr>
              <w:jc w:val="right"/>
              <w:ind w:right="30"/>
              <w:spacing w:after="0"/>
              <w:rPr>
                <w:sz w:val="20"/>
                <w:szCs w:val="20"/>
                <w:color w:val="auto"/>
              </w:rPr>
            </w:pPr>
            <w:r>
              <w:rPr>
                <w:rFonts w:ascii="Arial" w:cs="Arial" w:eastAsia="Arial" w:hAnsi="Arial"/>
                <w:sz w:val="18"/>
                <w:szCs w:val="18"/>
                <w:color w:val="auto"/>
              </w:rPr>
              <w:t>Federal Tax I.D. No.</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80-0101064</w:t>
            </w: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Tenant acknowledges and agrees that all tenant improvements Landlord is obligated to make to the Premises, if any, have been completed to Tenant’s satisfaction, that Tenant has accepted possession of the Premises, and that as of the date hereof, there exist no offsets or defenses to the obligations of Tenant under the Lease.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AXART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John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31584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0">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John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17043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1">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 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31584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2">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-130175</wp:posOffset>
            </wp:positionV>
            <wp:extent cx="217043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3">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31584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4">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-130175</wp:posOffset>
            </wp:positionV>
            <wp:extent cx="217043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5">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31584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6">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-130175</wp:posOffset>
            </wp:positionV>
            <wp:extent cx="217043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7">
                      <a:extLst>
                        <a:ext uri="{28A0092B-C50C-407E-A947-70E740481C1C}"/>
                      </a:extLst>
                    </a:blip>
                    <a:srcRect/>
                    <a:stretch>
                      <a:fillRect/>
                    </a:stretch>
                  </pic:blipFill>
                  <pic:spPr bwMode="auto">
                    <a:xfrm>
                      <a:off x="0" y="0"/>
                      <a:ext cx="2170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00" w:name="page601"/>
    <w:bookmarkEnd w:id="600"/>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RULES AND REGULATIONS GENERAL RULES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Tenant shall faithfully observe and comply with the following Rules and Regulations.</w:t>
      </w:r>
    </w:p>
    <w:p>
      <w:pPr>
        <w:spacing w:after="0" w:line="224" w:lineRule="exact"/>
        <w:rPr>
          <w:sz w:val="20"/>
          <w:szCs w:val="20"/>
          <w:color w:val="auto"/>
        </w:rPr>
      </w:pPr>
    </w:p>
    <w:p>
      <w:pPr>
        <w:jc w:val="both"/>
        <w:ind w:firstLine="654"/>
        <w:spacing w:after="0" w:line="310" w:lineRule="auto"/>
        <w:tabs>
          <w:tab w:leader="none" w:pos="1108"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Tenant shall not alter any lock or install any new or additional locks or bolts on any doors or windows of the Premises without obtaining Landlord’s prior written consent. Tenant shall bear the cost of any lock changes or repairs required by Tenant. Two (2) keys will be furnished by Landlord for the Premises, and any additional keys required by Tenant must be obtained from Landlord at a reasonable cost to be established by Landlord.</w:t>
      </w:r>
    </w:p>
    <w:p>
      <w:pPr>
        <w:spacing w:after="0" w:line="148" w:lineRule="exact"/>
        <w:rPr>
          <w:rFonts w:ascii="Arial" w:cs="Arial" w:eastAsia="Arial" w:hAnsi="Arial"/>
          <w:sz w:val="16"/>
          <w:szCs w:val="16"/>
          <w:color w:val="auto"/>
        </w:rPr>
      </w:pPr>
    </w:p>
    <w:p>
      <w:pPr>
        <w:jc w:val="both"/>
        <w:ind w:firstLine="654"/>
        <w:spacing w:after="0" w:line="254" w:lineRule="auto"/>
        <w:tabs>
          <w:tab w:leader="none" w:pos="1049"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Tenant, its employees and agents must be sure that the doors to the Building are securely closed and locked when leaving the Premises if it is after the normal hours of business for the Building. After-hours access by Tenant’s authorized employees may be provided by card-key access or other procedures adopted by Landlord from time to time; Tenant shall pay for the costs of all access cards provided to Tenant’s employees and all replacements thereof for lost, stolen or damaged cards. Landlord and its agents shall in no case be liable for damages for any error with regard to the admission to or exclusion from the Building or Project of any person. In case of invasion, mob, riot, public excitement, or other commotion, Landlord reserves the right to prevent access to the Building and/or Project during the continuance of same by any means it deems appropriate for the safety and protection of life and property.</w:t>
      </w:r>
    </w:p>
    <w:p>
      <w:pPr>
        <w:spacing w:after="0" w:line="189" w:lineRule="exact"/>
        <w:rPr>
          <w:rFonts w:ascii="Arial" w:cs="Arial" w:eastAsia="Arial" w:hAnsi="Arial"/>
          <w:sz w:val="18"/>
          <w:szCs w:val="18"/>
          <w:color w:val="auto"/>
        </w:rPr>
      </w:pPr>
    </w:p>
    <w:p>
      <w:pPr>
        <w:jc w:val="both"/>
        <w:ind w:firstLine="654"/>
        <w:spacing w:after="0" w:line="256" w:lineRule="auto"/>
        <w:tabs>
          <w:tab w:leader="none" w:pos="1018" w:val="left"/>
        </w:tabs>
        <w:numPr>
          <w:ilvl w:val="0"/>
          <w:numId w:val="567"/>
        </w:numPr>
        <w:rPr>
          <w:rFonts w:ascii="Arial" w:cs="Arial" w:eastAsia="Arial" w:hAnsi="Arial"/>
          <w:sz w:val="18"/>
          <w:szCs w:val="18"/>
          <w:color w:val="auto"/>
        </w:rPr>
      </w:pPr>
      <w:r>
        <w:rPr>
          <w:rFonts w:ascii="Arial" w:cs="Arial" w:eastAsia="Arial" w:hAnsi="Arial"/>
          <w:sz w:val="18"/>
          <w:szCs w:val="18"/>
          <w:color w:val="auto"/>
        </w:rPr>
        <w:t xml:space="preserve">No cooking shall be done or permitted by any tenant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use is in accordance with all applicable federal, state and city laws, codes, ordinances, rules and regulations, and does not cause odors which are objectionable to Landlord and other tenants.</w:t>
      </w:r>
    </w:p>
    <w:p>
      <w:pPr>
        <w:spacing w:after="0" w:line="188" w:lineRule="exact"/>
        <w:rPr>
          <w:rFonts w:ascii="Arial" w:cs="Arial" w:eastAsia="Arial" w:hAnsi="Arial"/>
          <w:sz w:val="18"/>
          <w:szCs w:val="18"/>
          <w:color w:val="auto"/>
        </w:rPr>
      </w:pPr>
    </w:p>
    <w:p>
      <w:pPr>
        <w:jc w:val="both"/>
        <w:ind w:firstLine="654"/>
        <w:spacing w:after="0" w:line="262" w:lineRule="auto"/>
        <w:tabs>
          <w:tab w:leader="none" w:pos="1017" w:val="left"/>
        </w:tabs>
        <w:numPr>
          <w:ilvl w:val="0"/>
          <w:numId w:val="567"/>
        </w:numPr>
        <w:rPr>
          <w:rFonts w:ascii="Arial" w:cs="Arial" w:eastAsia="Arial" w:hAnsi="Arial"/>
          <w:sz w:val="18"/>
          <w:szCs w:val="18"/>
          <w:color w:val="auto"/>
        </w:rPr>
      </w:pPr>
      <w:r>
        <w:rPr>
          <w:rFonts w:ascii="Arial" w:cs="Arial" w:eastAsia="Arial" w:hAnsi="Arial"/>
          <w:sz w:val="18"/>
          <w:szCs w:val="18"/>
          <w:color w:val="auto"/>
        </w:rPr>
        <w:t>No boring or cutting for wires shall be allowed without the consent of Landlord. Tenant shall not install any radio or television antenna, satellite dish, loudspeaker or other device on the roof or exterior walls of the Building. Tenant shall not interfere with broadcasting or reception from or in the Project or elsewhere.</w:t>
      </w:r>
    </w:p>
    <w:p>
      <w:pPr>
        <w:spacing w:after="0" w:line="183" w:lineRule="exact"/>
        <w:rPr>
          <w:rFonts w:ascii="Arial" w:cs="Arial" w:eastAsia="Arial" w:hAnsi="Arial"/>
          <w:sz w:val="18"/>
          <w:szCs w:val="18"/>
          <w:color w:val="auto"/>
        </w:rPr>
      </w:pPr>
    </w:p>
    <w:p>
      <w:pPr>
        <w:ind w:firstLine="654"/>
        <w:spacing w:after="0" w:line="276" w:lineRule="auto"/>
        <w:tabs>
          <w:tab w:leader="none" w:pos="102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and/or Project any person who, in the judgment of Landlord, is intoxicated or under the influence of liquor or drugs, or who shall in any manner do any act in violation of any of these Rules and Regulations.</w:t>
      </w:r>
    </w:p>
    <w:p>
      <w:pPr>
        <w:spacing w:after="0" w:line="169" w:lineRule="exact"/>
        <w:rPr>
          <w:rFonts w:ascii="Arial" w:cs="Arial" w:eastAsia="Arial" w:hAnsi="Arial"/>
          <w:sz w:val="18"/>
          <w:szCs w:val="18"/>
          <w:color w:val="auto"/>
        </w:rPr>
      </w:pPr>
    </w:p>
    <w:p>
      <w:pPr>
        <w:jc w:val="both"/>
        <w:ind w:firstLine="654"/>
        <w:spacing w:after="0" w:line="278" w:lineRule="auto"/>
        <w:tabs>
          <w:tab w:leader="none" w:pos="106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the city in which the Building is located without violation of any law or ordinance governing such disposal. All trash, garbage and refuse disposal shall be made only through entry-ways and elevators. If any, provided for such purposes at such times as Landlord shall designate.</w:t>
      </w:r>
    </w:p>
    <w:p>
      <w:pPr>
        <w:spacing w:after="0" w:line="170" w:lineRule="exact"/>
        <w:rPr>
          <w:rFonts w:ascii="Arial" w:cs="Arial" w:eastAsia="Arial" w:hAnsi="Arial"/>
          <w:sz w:val="17"/>
          <w:szCs w:val="17"/>
          <w:color w:val="auto"/>
        </w:rPr>
      </w:pPr>
    </w:p>
    <w:p>
      <w:pPr>
        <w:ind w:left="1100" w:hanging="446"/>
        <w:spacing w:after="0"/>
        <w:tabs>
          <w:tab w:leader="none" w:pos="11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agency.</w:t>
      </w:r>
    </w:p>
    <w:p>
      <w:pPr>
        <w:spacing w:after="0" w:line="209" w:lineRule="exact"/>
        <w:rPr>
          <w:rFonts w:ascii="Arial" w:cs="Arial" w:eastAsia="Arial" w:hAnsi="Arial"/>
          <w:sz w:val="16"/>
          <w:szCs w:val="16"/>
          <w:color w:val="auto"/>
        </w:rPr>
      </w:pPr>
    </w:p>
    <w:p>
      <w:pPr>
        <w:ind w:right="20" w:firstLine="654"/>
        <w:spacing w:after="0" w:line="276" w:lineRule="auto"/>
        <w:tabs>
          <w:tab w:leader="none" w:pos="1002"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 unless electrical hold backs have been installed.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601" w:name="page602"/>
    <w:bookmarkEnd w:id="601"/>
    <w:p>
      <w:pPr>
        <w:jc w:val="both"/>
        <w:ind w:firstLine="654"/>
        <w:spacing w:after="0" w:line="262" w:lineRule="auto"/>
        <w:tabs>
          <w:tab w:leader="none" w:pos="108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Landlord shall have the right to control and operate the public portions of the Building and Project, the public facilities, the heating and air conditioning, and any other facilities furnished for the common use of tenants, in such manner as is customary for comparable buildings in the vicinity of the Building.</w:t>
      </w:r>
    </w:p>
    <w:p>
      <w:pPr>
        <w:spacing w:after="0" w:line="183" w:lineRule="exact"/>
        <w:rPr>
          <w:rFonts w:ascii="Arial" w:cs="Arial" w:eastAsia="Arial" w:hAnsi="Arial"/>
          <w:sz w:val="18"/>
          <w:szCs w:val="18"/>
          <w:color w:val="auto"/>
        </w:rPr>
      </w:pPr>
    </w:p>
    <w:p>
      <w:pPr>
        <w:ind w:left="1140" w:hanging="486"/>
        <w:spacing w:after="0"/>
        <w:tabs>
          <w:tab w:leader="none" w:pos="114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Tenant shall not disturb, solicit, or canvass any occupant of the Building or Project and shall cooperate with Landlord or Landlord’s agents to</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prevent same.</w:t>
      </w:r>
    </w:p>
    <w:p>
      <w:pPr>
        <w:spacing w:after="0" w:line="209" w:lineRule="exact"/>
        <w:rPr>
          <w:rFonts w:ascii="Arial" w:cs="Arial" w:eastAsia="Arial" w:hAnsi="Arial"/>
          <w:sz w:val="16"/>
          <w:szCs w:val="16"/>
          <w:color w:val="auto"/>
        </w:rPr>
      </w:pPr>
    </w:p>
    <w:p>
      <w:pPr>
        <w:jc w:val="both"/>
        <w:ind w:firstLine="654"/>
        <w:spacing w:after="0" w:line="262" w:lineRule="auto"/>
        <w:tabs>
          <w:tab w:leader="none" w:pos="113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agents, shall have caused it.</w:t>
      </w:r>
    </w:p>
    <w:p>
      <w:pPr>
        <w:spacing w:after="0" w:line="183" w:lineRule="exact"/>
        <w:rPr>
          <w:rFonts w:ascii="Arial" w:cs="Arial" w:eastAsia="Arial" w:hAnsi="Arial"/>
          <w:sz w:val="18"/>
          <w:szCs w:val="18"/>
          <w:color w:val="auto"/>
        </w:rPr>
      </w:pPr>
    </w:p>
    <w:p>
      <w:pPr>
        <w:jc w:val="both"/>
        <w:ind w:firstLine="654"/>
        <w:spacing w:after="0" w:line="256" w:lineRule="auto"/>
        <w:tabs>
          <w:tab w:leader="none" w:pos="112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mark, drive nails or screws, or drill into the partitions, woodwork or plaster or in any way deface the Premises or any part thereof without Landlord’s consent first had and obtained (except that Tenant may hang pictures in the Premises and hammer nails in place for the same so long as upon the expiration or termination of this Lease, Tenant patches and paints such nail holes). Tenant shall not affix any floor covering to the floor of the Premises in any manner except as approved by Landlord. Tenant shall repair, or be responsible for the cost of repair to any damage resulting from noncompliance with this Rule.</w:t>
      </w:r>
    </w:p>
    <w:p>
      <w:pPr>
        <w:spacing w:after="0" w:line="188" w:lineRule="exact"/>
        <w:rPr>
          <w:rFonts w:ascii="Arial" w:cs="Arial" w:eastAsia="Arial" w:hAnsi="Arial"/>
          <w:sz w:val="18"/>
          <w:szCs w:val="18"/>
          <w:color w:val="auto"/>
        </w:rPr>
      </w:pPr>
    </w:p>
    <w:p>
      <w:pPr>
        <w:ind w:firstLine="654"/>
        <w:spacing w:after="0" w:line="276" w:lineRule="auto"/>
        <w:tabs>
          <w:tab w:leader="none" w:pos="1144"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use any method of heating or air conditioning other than that which may be supplied by Landlord, without the prior written consent of Landlord.</w:t>
      </w:r>
    </w:p>
    <w:p>
      <w:pPr>
        <w:spacing w:after="0" w:line="169" w:lineRule="exact"/>
        <w:rPr>
          <w:rFonts w:ascii="Arial" w:cs="Arial" w:eastAsia="Arial" w:hAnsi="Arial"/>
          <w:sz w:val="18"/>
          <w:szCs w:val="18"/>
          <w:color w:val="auto"/>
        </w:rPr>
      </w:pPr>
    </w:p>
    <w:p>
      <w:pPr>
        <w:jc w:val="both"/>
        <w:ind w:firstLine="654"/>
        <w:spacing w:after="0" w:line="295" w:lineRule="auto"/>
        <w:tabs>
          <w:tab w:leader="none" w:pos="1156" w:val="left"/>
        </w:tabs>
        <w:numPr>
          <w:ilvl w:val="0"/>
          <w:numId w:val="568"/>
        </w:numPr>
        <w:rPr>
          <w:rFonts w:ascii="Arial" w:cs="Arial" w:eastAsia="Arial" w:hAnsi="Arial"/>
          <w:sz w:val="16"/>
          <w:szCs w:val="16"/>
          <w:color w:val="auto"/>
        </w:rPr>
      </w:pPr>
      <w:r>
        <w:rPr>
          <w:rFonts w:ascii="Arial" w:cs="Arial" w:eastAsia="Arial" w:hAnsi="Arial"/>
          <w:sz w:val="16"/>
          <w:szCs w:val="16"/>
          <w:color w:val="auto"/>
        </w:rPr>
        <w:t>Other than as set forth in Section 27 of the Lease, and in strict compliance with the requirements thereof, Tenant shall not use or keep in or on the Premises or the Project any kerosene, gasoline or other inflammable or combustible fluid or material. Tenant shall not use, keep or permit to be used or kept, any foul or noxious gas or substance in or on the Premises, or permit or allow the Premises to be occupied or used in a manner offensive or objectionable to Landlord or other occupants of the Building or Project by reason of noise, odors, dust, debris or vibrations, or interfere in any way with other tenants or those having business therein. Tenant shall not use the Premises in any way that affects the air quality of any other tenant, the Building, or the Project.</w:t>
      </w:r>
    </w:p>
    <w:p>
      <w:pPr>
        <w:spacing w:after="0" w:line="161" w:lineRule="exact"/>
        <w:rPr>
          <w:rFonts w:ascii="Arial" w:cs="Arial" w:eastAsia="Arial" w:hAnsi="Arial"/>
          <w:sz w:val="16"/>
          <w:szCs w:val="16"/>
          <w:color w:val="auto"/>
        </w:rPr>
      </w:pPr>
    </w:p>
    <w:p>
      <w:pPr>
        <w:ind w:left="1100" w:hanging="446"/>
        <w:spacing w:after="0"/>
        <w:tabs>
          <w:tab w:leader="none" w:pos="11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or the Premises any animals, birds or other vehicles.</w:t>
      </w:r>
    </w:p>
    <w:p>
      <w:pPr>
        <w:spacing w:after="0" w:line="223" w:lineRule="exact"/>
        <w:rPr>
          <w:rFonts w:ascii="Arial" w:cs="Arial" w:eastAsia="Arial" w:hAnsi="Arial"/>
          <w:sz w:val="18"/>
          <w:szCs w:val="18"/>
          <w:color w:val="auto"/>
        </w:rPr>
      </w:pPr>
    </w:p>
    <w:p>
      <w:pPr>
        <w:jc w:val="both"/>
        <w:ind w:firstLine="654"/>
        <w:spacing w:after="0" w:line="262" w:lineRule="auto"/>
        <w:tabs>
          <w:tab w:leader="none" w:pos="1119" w:val="left"/>
        </w:tabs>
        <w:numPr>
          <w:ilvl w:val="0"/>
          <w:numId w:val="568"/>
        </w:numPr>
        <w:rPr>
          <w:rFonts w:ascii="Arial" w:cs="Arial" w:eastAsia="Arial" w:hAnsi="Arial"/>
          <w:sz w:val="18"/>
          <w:szCs w:val="18"/>
          <w:color w:val="auto"/>
        </w:rPr>
      </w:pPr>
      <w:r>
        <w:rPr>
          <w:rFonts w:ascii="Arial" w:cs="Arial" w:eastAsia="Arial" w:hAnsi="Arial"/>
          <w:sz w:val="18"/>
          <w:szCs w:val="18"/>
          <w:color w:val="auto"/>
        </w:rPr>
        <w:t>Landlord will approve where and how telephone, telegraph, cable, fiber optic, DSL and similar wires are to be introduced to the Premises. No boring or cutting for wires shall be allowed without the consent of Landlord. The location of telephone, call boxes and other equipment affixed to the Premises shall be subject to the approval of Landlord.</w:t>
      </w:r>
    </w:p>
    <w:p>
      <w:pPr>
        <w:spacing w:after="0" w:line="183" w:lineRule="exact"/>
        <w:rPr>
          <w:rFonts w:ascii="Arial" w:cs="Arial" w:eastAsia="Arial" w:hAnsi="Arial"/>
          <w:sz w:val="18"/>
          <w:szCs w:val="18"/>
          <w:color w:val="auto"/>
        </w:rPr>
      </w:pPr>
    </w:p>
    <w:p>
      <w:pPr>
        <w:jc w:val="both"/>
        <w:ind w:firstLine="654"/>
        <w:spacing w:after="0" w:line="262" w:lineRule="auto"/>
        <w:tabs>
          <w:tab w:leader="none" w:pos="111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the entrances or corridors, nor in any way obstruct the sidewalks, lobby, halls, stairways or elevators, if any, and shall use the same only as a means of ingress and egress for the Premises. No tenant and no employee or invitee of any tenant shall go upon the roof of the Building or make any roof penetrations without the prior written consent of Landlord.</w:t>
      </w:r>
    </w:p>
    <w:p>
      <w:pPr>
        <w:spacing w:after="0" w:line="183" w:lineRule="exact"/>
        <w:rPr>
          <w:rFonts w:ascii="Arial" w:cs="Arial" w:eastAsia="Arial" w:hAnsi="Arial"/>
          <w:sz w:val="18"/>
          <w:szCs w:val="18"/>
          <w:color w:val="auto"/>
        </w:rPr>
      </w:pPr>
    </w:p>
    <w:p>
      <w:pPr>
        <w:ind w:firstLine="654"/>
        <w:spacing w:after="0" w:line="276" w:lineRule="auto"/>
        <w:tabs>
          <w:tab w:leader="none" w:pos="11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to ensure the most effective operation of the Building’s heating and air conditioning system, and shall refrain from attempting to adjust any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02" w:name="page603"/>
    <w:bookmarkEnd w:id="602"/>
    <w:p>
      <w:pPr>
        <w:ind w:right="20" w:firstLine="654"/>
        <w:spacing w:after="0" w:line="276" w:lineRule="auto"/>
        <w:tabs>
          <w:tab w:leader="none" w:pos="117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shall assume any and all responsibility for protecting the Premises from theft, robbery and pilferage, which includes keeping doors locked and other means of entry to the Premises closed, when the Premises are not occupied.</w:t>
      </w:r>
    </w:p>
    <w:p>
      <w:pPr>
        <w:spacing w:after="0" w:line="169" w:lineRule="exact"/>
        <w:rPr>
          <w:rFonts w:ascii="Arial" w:cs="Arial" w:eastAsia="Arial" w:hAnsi="Arial"/>
          <w:sz w:val="18"/>
          <w:szCs w:val="18"/>
          <w:color w:val="auto"/>
        </w:rPr>
      </w:pPr>
    </w:p>
    <w:p>
      <w:pPr>
        <w:jc w:val="both"/>
        <w:ind w:firstLine="654"/>
        <w:spacing w:after="0" w:line="300" w:lineRule="auto"/>
        <w:tabs>
          <w:tab w:leader="none" w:pos="1094" w:val="left"/>
        </w:tabs>
        <w:numPr>
          <w:ilvl w:val="0"/>
          <w:numId w:val="569"/>
        </w:numPr>
        <w:rPr>
          <w:rFonts w:ascii="Arial" w:cs="Arial" w:eastAsia="Arial" w:hAnsi="Arial"/>
          <w:sz w:val="16"/>
          <w:szCs w:val="16"/>
          <w:color w:val="auto"/>
        </w:rPr>
      </w:pPr>
      <w:r>
        <w:rPr>
          <w:rFonts w:ascii="Arial" w:cs="Arial" w:eastAsia="Arial" w:hAnsi="Arial"/>
          <w:sz w:val="16"/>
          <w:szCs w:val="16"/>
          <w:color w:val="auto"/>
        </w:rPr>
        <w:t>No awnings or other projection shall be attached to the outside walls of the Building without the prior written consent of Landlord. No curtains, blinds, shades or screens shall be attached to or hung in, or used in connection with, any window or door of the Premises without the prior written consent of Landlord. 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56" w:lineRule="exact"/>
        <w:rPr>
          <w:rFonts w:ascii="Arial" w:cs="Arial" w:eastAsia="Arial" w:hAnsi="Arial"/>
          <w:sz w:val="16"/>
          <w:szCs w:val="16"/>
          <w:color w:val="auto"/>
        </w:rPr>
      </w:pPr>
    </w:p>
    <w:p>
      <w:pPr>
        <w:ind w:left="1120" w:hanging="466"/>
        <w:spacing w:after="0"/>
        <w:tabs>
          <w:tab w:leader="none" w:pos="112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The washing and/or detailing of or, the installation of windshields, radios, telephones in or general work on, automobiles shall not be allowed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the Project.</w:t>
      </w:r>
    </w:p>
    <w:p>
      <w:pPr>
        <w:spacing w:after="0" w:line="209" w:lineRule="exact"/>
        <w:rPr>
          <w:rFonts w:ascii="Arial" w:cs="Arial" w:eastAsia="Arial" w:hAnsi="Arial"/>
          <w:sz w:val="16"/>
          <w:szCs w:val="16"/>
          <w:color w:val="auto"/>
        </w:rPr>
      </w:pPr>
    </w:p>
    <w:p>
      <w:pPr>
        <w:ind w:left="1100" w:hanging="446"/>
        <w:spacing w:after="0"/>
        <w:tabs>
          <w:tab w:leader="none" w:pos="110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Tenant must comply with requests by the Landlord concerning the informing of their employees of items of importance to the Landlord.</w:t>
      </w:r>
    </w:p>
    <w:p>
      <w:pPr>
        <w:spacing w:after="0" w:line="235" w:lineRule="exact"/>
        <w:rPr>
          <w:rFonts w:ascii="Arial" w:cs="Arial" w:eastAsia="Arial" w:hAnsi="Arial"/>
          <w:sz w:val="17"/>
          <w:szCs w:val="17"/>
          <w:color w:val="auto"/>
        </w:rPr>
      </w:pPr>
    </w:p>
    <w:p>
      <w:pPr>
        <w:jc w:val="both"/>
        <w:ind w:firstLine="654"/>
        <w:spacing w:after="0" w:line="258" w:lineRule="auto"/>
        <w:tabs>
          <w:tab w:leader="none" w:pos="1183"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All pest control in the common areas shall be performed by Landlord’s contractors. Tenant will be responsible for pest control within the Premises by contractors approved by Landlord, which approval shall not be unreasonably withheld. Tenant shall not cause unnecessary labor by carelessness or indifference to the good order and cleanliness of the Premises, Landlord shall not in any way be responsible to any tenant for the loss of any property on the Premises, however occurring, or for any damage to any Tenant’s property.</w:t>
      </w:r>
    </w:p>
    <w:p>
      <w:pPr>
        <w:spacing w:after="0" w:line="186" w:lineRule="exact"/>
        <w:rPr>
          <w:rFonts w:ascii="Arial" w:cs="Arial" w:eastAsia="Arial" w:hAnsi="Arial"/>
          <w:sz w:val="18"/>
          <w:szCs w:val="18"/>
          <w:color w:val="auto"/>
        </w:rPr>
      </w:pPr>
    </w:p>
    <w:p>
      <w:pPr>
        <w:ind w:left="1100" w:hanging="446"/>
        <w:spacing w:after="0"/>
        <w:tabs>
          <w:tab w:leader="none" w:pos="11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shall provide security services during any move-ins and move-outs.</w:t>
      </w:r>
    </w:p>
    <w:p>
      <w:pPr>
        <w:spacing w:after="0" w:line="223" w:lineRule="exact"/>
        <w:rPr>
          <w:rFonts w:ascii="Arial" w:cs="Arial" w:eastAsia="Arial" w:hAnsi="Arial"/>
          <w:sz w:val="18"/>
          <w:szCs w:val="18"/>
          <w:color w:val="auto"/>
        </w:rPr>
      </w:pPr>
    </w:p>
    <w:p>
      <w:pPr>
        <w:ind w:left="1100" w:hanging="446"/>
        <w:spacing w:after="0"/>
        <w:tabs>
          <w:tab w:leader="none" w:pos="11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shall comply with any non-smoking ordinance adopted by any applicable governmental authority.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 RULES</w:t>
      </w:r>
    </w:p>
    <w:p>
      <w:pPr>
        <w:spacing w:after="0" w:line="228" w:lineRule="exact"/>
        <w:rPr>
          <w:sz w:val="20"/>
          <w:szCs w:val="20"/>
          <w:color w:val="auto"/>
        </w:rPr>
      </w:pPr>
    </w:p>
    <w:p>
      <w:pPr>
        <w:jc w:val="both"/>
        <w:ind w:firstLine="654"/>
        <w:spacing w:after="0" w:line="300" w:lineRule="auto"/>
        <w:tabs>
          <w:tab w:leader="none" w:pos="1014" w:val="left"/>
        </w:tabs>
        <w:numPr>
          <w:ilvl w:val="0"/>
          <w:numId w:val="570"/>
        </w:numPr>
        <w:rPr>
          <w:rFonts w:ascii="Arial" w:cs="Arial" w:eastAsia="Arial" w:hAnsi="Arial"/>
          <w:sz w:val="16"/>
          <w:szCs w:val="16"/>
          <w:color w:val="auto"/>
        </w:rPr>
      </w:pPr>
      <w:r>
        <w:rPr>
          <w:rFonts w:ascii="Arial" w:cs="Arial" w:eastAsia="Arial" w:hAnsi="Arial"/>
          <w:sz w:val="16"/>
          <w:szCs w:val="16"/>
          <w:color w:val="auto"/>
        </w:rPr>
        <w:t>Tenant shall not permit or allow any vehicles that belong to or are controlled by Tenant or Tenant’s employees, suppliers, shippers, customers or invitees to be loaded, unloaded or parked in areas other than those designated by Landlord for such activities and at times approved by Landlord. Users of the parking area will obey all posted signs and park only in the areas designated for vehicle parking. Tenant and its customers, employees, shippers and invitees shall comply with all rules and regulations adopted by Landlord from time to time relating to truck parking and/or truck loading and unloading.</w:t>
      </w:r>
    </w:p>
    <w:p>
      <w:pPr>
        <w:spacing w:after="0" w:line="156" w:lineRule="exact"/>
        <w:rPr>
          <w:rFonts w:ascii="Arial" w:cs="Arial" w:eastAsia="Arial" w:hAnsi="Arial"/>
          <w:sz w:val="16"/>
          <w:szCs w:val="16"/>
          <w:color w:val="auto"/>
        </w:rPr>
      </w:pPr>
    </w:p>
    <w:p>
      <w:pPr>
        <w:jc w:val="both"/>
        <w:ind w:firstLine="654"/>
        <w:spacing w:after="0" w:line="262" w:lineRule="auto"/>
        <w:tabs>
          <w:tab w:leader="none" w:pos="112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Landlord reserves the right to relocate all or a part of parking spaces within the parking area. If access to the parking areas are not now controlled with gates or similar devices, Landlord shall have the right, but not the obligation, to install gates or other devices to control access to the parking areas, and Tenant shall comply with all of Landlord’s rules and regulations relating to access to the parking areas.</w:t>
      </w:r>
    </w:p>
    <w:p>
      <w:pPr>
        <w:spacing w:after="0" w:line="183" w:lineRule="exact"/>
        <w:rPr>
          <w:rFonts w:ascii="Arial" w:cs="Arial" w:eastAsia="Arial" w:hAnsi="Arial"/>
          <w:sz w:val="18"/>
          <w:szCs w:val="18"/>
          <w:color w:val="auto"/>
        </w:rPr>
      </w:pPr>
    </w:p>
    <w:p>
      <w:pPr>
        <w:ind w:firstLine="654"/>
        <w:spacing w:after="0" w:line="276" w:lineRule="auto"/>
        <w:tabs>
          <w:tab w:leader="none" w:pos="1052" w:val="left"/>
        </w:tabs>
        <w:numPr>
          <w:ilvl w:val="0"/>
          <w:numId w:val="570"/>
        </w:numPr>
        <w:rPr>
          <w:rFonts w:ascii="Arial" w:cs="Arial" w:eastAsia="Arial" w:hAnsi="Arial"/>
          <w:sz w:val="18"/>
          <w:szCs w:val="18"/>
          <w:color w:val="auto"/>
        </w:rPr>
      </w:pPr>
      <w:r>
        <w:rPr>
          <w:rFonts w:ascii="Arial" w:cs="Arial" w:eastAsia="Arial" w:hAnsi="Arial"/>
          <w:sz w:val="18"/>
          <w:szCs w:val="18"/>
          <w:color w:val="auto"/>
        </w:rPr>
        <w:t>Landlord will not be responsible for any damage to vehicles, injury to persons or loss of property, all of which risks are assumed by the party using the parking area.</w:t>
      </w:r>
    </w:p>
    <w:p>
      <w:pPr>
        <w:spacing w:after="0" w:line="169" w:lineRule="exact"/>
        <w:rPr>
          <w:rFonts w:ascii="Arial" w:cs="Arial" w:eastAsia="Arial" w:hAnsi="Arial"/>
          <w:sz w:val="18"/>
          <w:szCs w:val="18"/>
          <w:color w:val="auto"/>
        </w:rPr>
      </w:pPr>
    </w:p>
    <w:p>
      <w:pPr>
        <w:ind w:left="1000" w:hanging="346"/>
        <w:spacing w:after="0"/>
        <w:tabs>
          <w:tab w:leader="none" w:pos="100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The maintenance, washing, waxing or cleaning of vehicles in the parking area or Common Areas is prohibited.</w:t>
      </w:r>
    </w:p>
    <w:p>
      <w:pPr>
        <w:spacing w:after="0" w:line="223" w:lineRule="exact"/>
        <w:rPr>
          <w:rFonts w:ascii="Arial" w:cs="Arial" w:eastAsia="Arial" w:hAnsi="Arial"/>
          <w:sz w:val="18"/>
          <w:szCs w:val="18"/>
          <w:color w:val="auto"/>
        </w:rPr>
      </w:pPr>
    </w:p>
    <w:p>
      <w:pPr>
        <w:ind w:firstLine="654"/>
        <w:spacing w:after="0" w:line="276" w:lineRule="auto"/>
        <w:tabs>
          <w:tab w:leader="none" w:pos="1117"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Tenant shall be responsible for seeing that all of its employees, agents, contractors and invitees comply with the applicable parking rules, regulations, laws and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03" w:name="page604"/>
    <w:bookmarkEnd w:id="603"/>
    <w:p>
      <w:pPr>
        <w:jc w:val="both"/>
        <w:ind w:firstLine="654"/>
        <w:spacing w:after="0" w:line="262" w:lineRule="auto"/>
        <w:tabs>
          <w:tab w:leader="none" w:pos="105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At Landlord’s request, Tenant shall provide Landlord with a list which includes the name of each person using the parking facilities based on Tenant’s parking rights under this Lease and the license plate number of the vehicle being used by that person. Tenant shall provide Landlord with an updated list within five (5) days after any part of the list becomes inaccurate.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Project, and for the preservation of good order therein, as well as for the convenience of other occupants and tenants therein. Landlord may waive any one or more of these Rules and Regulations for the benefit of any particular tenant,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 To the extent there is any conflict between the Rules and Regulations and the Lease, the terms of the Lease shall govern.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604" w:name="page605"/>
    <w:bookmarkEnd w:id="604"/>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Lease Agreement dated April 17, 2015 regarding approx. 5,188 rsf in the building located at 290 Utah Avenue, South San Francisco</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w:t>
      </w:r>
      <w:r>
        <w:rPr>
          <w:rFonts w:ascii="Arial" w:cs="Arial" w:eastAsia="Arial" w:hAnsi="Arial"/>
          <w:sz w:val="18"/>
          <w:szCs w:val="18"/>
          <w:b w:val="1"/>
          <w:bCs w:val="1"/>
          <w:i w:val="1"/>
          <w:iCs w:val="1"/>
          <w:color w:val="auto"/>
        </w:rPr>
        <w:t>Lease Form</w:t>
      </w:r>
      <w:r>
        <w:rPr>
          <w:rFonts w:ascii="Arial" w:cs="Arial" w:eastAsia="Arial" w:hAnsi="Arial"/>
          <w:sz w:val="18"/>
          <w:szCs w:val="18"/>
          <w:b w:val="1"/>
          <w:bCs w:val="1"/>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CRP Edgewater, L.L.C. (“</w:t>
      </w:r>
      <w:r>
        <w:rPr>
          <w:rFonts w:ascii="Arial" w:cs="Arial" w:eastAsia="Arial" w:hAnsi="Arial"/>
          <w:sz w:val="18"/>
          <w:szCs w:val="18"/>
          <w:b w:val="1"/>
          <w:bCs w:val="1"/>
          <w:i w:val="1"/>
          <w:iCs w:val="1"/>
          <w:color w:val="auto"/>
        </w:rPr>
        <w:t>Landlord</w:t>
      </w:r>
      <w:r>
        <w:rPr>
          <w:rFonts w:ascii="Arial" w:cs="Arial" w:eastAsia="Arial" w:hAnsi="Arial"/>
          <w:sz w:val="18"/>
          <w:szCs w:val="18"/>
          <w:b w:val="1"/>
          <w:bCs w:val="1"/>
          <w:color w:val="auto"/>
        </w:rPr>
        <w:t>”) 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Vaxart, Inc. </w:t>
      </w:r>
      <w:r>
        <w:rPr>
          <w:rFonts w:ascii="Arial" w:cs="Arial" w:eastAsia="Arial" w:hAnsi="Arial"/>
          <w:sz w:val="18"/>
          <w:szCs w:val="18"/>
          <w:color w:val="auto"/>
        </w:rPr>
        <w:t>(“</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w:t>
      </w:r>
    </w:p>
    <w:p>
      <w:pPr>
        <w:spacing w:after="0" w:line="209"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It is hereby agreed by Landlord and Tenant that the provisions of this Addendum are a part of the Lease. If there is a conflict between the terms and conditions of this Addendum and the terms and conditions of the Lease Form, the terms and conditions of this Addendum shall control. Capitalized terms in this Addendum shall have the same meaning as capitalized terms in the Lease Form, and, if a Work Letter Agreement is attached to this Lease, as those terms have been defined in the Work Letter Agreement.</w:t>
      </w:r>
    </w:p>
    <w:p>
      <w:pPr>
        <w:spacing w:after="0" w:line="183" w:lineRule="exact"/>
        <w:rPr>
          <w:sz w:val="20"/>
          <w:szCs w:val="20"/>
          <w:color w:val="auto"/>
        </w:rPr>
      </w:pPr>
    </w:p>
    <w:p>
      <w:pPr>
        <w:jc w:val="both"/>
        <w:ind w:firstLine="654"/>
        <w:spacing w:after="0" w:line="254" w:lineRule="auto"/>
        <w:tabs>
          <w:tab w:leader="none" w:pos="1018" w:val="left"/>
        </w:tabs>
        <w:numPr>
          <w:ilvl w:val="0"/>
          <w:numId w:val="572"/>
        </w:numPr>
        <w:rPr>
          <w:rFonts w:ascii="Arial" w:cs="Arial" w:eastAsia="Arial" w:hAnsi="Arial"/>
          <w:sz w:val="18"/>
          <w:szCs w:val="18"/>
          <w:color w:val="auto"/>
        </w:rPr>
      </w:pPr>
      <w:r>
        <w:rPr>
          <w:rFonts w:ascii="Arial" w:cs="Arial" w:eastAsia="Arial" w:hAnsi="Arial"/>
          <w:sz w:val="18"/>
          <w:szCs w:val="18"/>
          <w:b w:val="1"/>
          <w:bCs w:val="1"/>
          <w:color w:val="auto"/>
        </w:rPr>
        <w:t>Abatement of Base Rent</w:t>
      </w:r>
      <w:r>
        <w:rPr>
          <w:rFonts w:ascii="Arial" w:cs="Arial" w:eastAsia="Arial" w:hAnsi="Arial"/>
          <w:sz w:val="18"/>
          <w:szCs w:val="18"/>
          <w:color w:val="auto"/>
        </w:rPr>
        <w:t>. Landlord hereby agrees to conditionally waive the Base Rent due for the first full calendar month of the initial Lease</w:t>
      </w:r>
      <w:r>
        <w:rPr>
          <w:rFonts w:ascii="Arial" w:cs="Arial" w:eastAsia="Arial" w:hAnsi="Arial"/>
          <w:sz w:val="18"/>
          <w:szCs w:val="18"/>
          <w:b w:val="1"/>
          <w:bCs w:val="1"/>
          <w:color w:val="auto"/>
        </w:rPr>
        <w:t xml:space="preserve"> </w:t>
      </w:r>
      <w:r>
        <w:rPr>
          <w:rFonts w:ascii="Arial" w:cs="Arial" w:eastAsia="Arial" w:hAnsi="Arial"/>
          <w:sz w:val="18"/>
          <w:szCs w:val="18"/>
          <w:color w:val="auto"/>
        </w:rPr>
        <w:t>term. No amounts due to Landlord under the Lease other than the Base Rent referred to above shall be conditionally waived. In the event Tenant commits a default as defined in the Lease, Base Rent coming due thereafter shall not be waived, and if Landlord elects to terminate the Lease as a result of Tenant’s default, then all Base Rent that Landlord conditionally waived in the past shall be immediately due and payable by Tenant to Landlord without notice or demand from Landlord. If the Lease expires in accordance with its terms, and does not terminate as a result of a default by Tenant, Landlord agrees to permanently waive the Base Rent it has conditionally waived. The total Base Rent conditionally waived shall not exceed Eighteen Thousand Six Hundred Seventy Six and 80/100 Dollars ($18,676.80).</w:t>
      </w:r>
    </w:p>
    <w:p>
      <w:pPr>
        <w:spacing w:after="0" w:line="189" w:lineRule="exact"/>
        <w:rPr>
          <w:rFonts w:ascii="Arial" w:cs="Arial" w:eastAsia="Arial" w:hAnsi="Arial"/>
          <w:sz w:val="18"/>
          <w:szCs w:val="18"/>
          <w:color w:val="auto"/>
        </w:rPr>
      </w:pPr>
    </w:p>
    <w:p>
      <w:pPr>
        <w:jc w:val="both"/>
        <w:ind w:firstLine="654"/>
        <w:spacing w:after="0" w:line="265" w:lineRule="auto"/>
        <w:tabs>
          <w:tab w:leader="none" w:pos="1032" w:val="left"/>
        </w:tabs>
        <w:numPr>
          <w:ilvl w:val="0"/>
          <w:numId w:val="572"/>
        </w:numPr>
        <w:rPr>
          <w:rFonts w:ascii="Arial" w:cs="Arial" w:eastAsia="Arial" w:hAnsi="Arial"/>
          <w:sz w:val="18"/>
          <w:szCs w:val="18"/>
          <w:color w:val="auto"/>
        </w:rPr>
      </w:pPr>
      <w:r>
        <w:rPr>
          <w:rFonts w:ascii="Arial" w:cs="Arial" w:eastAsia="Arial" w:hAnsi="Arial"/>
          <w:sz w:val="18"/>
          <w:szCs w:val="18"/>
          <w:b w:val="1"/>
          <w:bCs w:val="1"/>
          <w:color w:val="auto"/>
        </w:rPr>
        <w:t>Signage</w:t>
      </w:r>
      <w:r>
        <w:rPr>
          <w:rFonts w:ascii="Arial" w:cs="Arial" w:eastAsia="Arial" w:hAnsi="Arial"/>
          <w:sz w:val="18"/>
          <w:szCs w:val="18"/>
          <w:color w:val="auto"/>
        </w:rPr>
        <w:t>. Landlord shall place Tenant’s name adjacent to the door to the Premises using Building standard suite signage at Landlord’s sole cost</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 In addition, Landlord shall place Tenant’s name in the Building’s lobby directory, at Landlord’s sole cost and expense. Any changes to Tenant’s name shall be paid for by Tenant, at Tenant’s sole cost and expense.</w:t>
      </w:r>
    </w:p>
    <w:p>
      <w:pPr>
        <w:spacing w:after="0" w:line="175" w:lineRule="exact"/>
        <w:rPr>
          <w:rFonts w:ascii="Arial" w:cs="Arial" w:eastAsia="Arial" w:hAnsi="Arial"/>
          <w:sz w:val="18"/>
          <w:szCs w:val="18"/>
          <w:color w:val="auto"/>
        </w:rPr>
      </w:pPr>
    </w:p>
    <w:p>
      <w:pPr>
        <w:jc w:val="both"/>
        <w:ind w:firstLine="654"/>
        <w:spacing w:after="0" w:line="284" w:lineRule="auto"/>
        <w:tabs>
          <w:tab w:leader="none" w:pos="1032" w:val="left"/>
        </w:tabs>
        <w:numPr>
          <w:ilvl w:val="0"/>
          <w:numId w:val="572"/>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Notwithstanding anything to the contrary contained in Section 16 of the Lease Form or elsewhere in the Lease Form,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of the Lease or sublease of all or any portion of the Premises to any entity which controls or is controlled by Tenant or which acquires all or substantially all of the assets of Tenant or which is the surviving entity resulting from a merger or consolidation of Tenant (in each such case, an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shall not require Landlord’s consent under Section 16,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later than thirty (30) days after such assignment or sublease (i) Tenant provides Landlord with reasonable evidence that the successor to Tenant has a tangible net worth computed in accordance with generally accepted accounting principles consistently applied (and excluding goodwill and other intangible assets) that is sufficient to meet the obligations of Tenant under the Lease, and that is at least equal to the tangible net worth of Tenant immediately prior to such merger, consolidation or sale; (ii) Tenant notifies Landlord in writing of any such assignment or sublease and provides Landlord with evidence that such assignment or sublease is a Transfer permitted by this section; (iii) prior to the date an assignment or sublease will take effect (or, in the event Tenant is prohibited by law from disclosing such transaction prior to the date it will take effect, within ten (10) days after the date on which Tenant is no longer prohibited by law from disclosing such transaction), the assignee or sublessee and Tenant shall enter into Landlord’s standard and reasonable consent to sublease agreement or consent to assignment agreement (the “</w:t>
      </w:r>
      <w:r>
        <w:rPr>
          <w:rFonts w:ascii="Arial" w:cs="Arial" w:eastAsia="Arial" w:hAnsi="Arial"/>
          <w:sz w:val="16"/>
          <w:szCs w:val="16"/>
          <w:b w:val="1"/>
          <w:bCs w:val="1"/>
          <w:i w:val="1"/>
          <w:iCs w:val="1"/>
          <w:color w:val="auto"/>
        </w:rPr>
        <w:t>Transfer Agreements</w:t>
      </w:r>
      <w:r>
        <w:rPr>
          <w:rFonts w:ascii="Arial" w:cs="Arial" w:eastAsia="Arial" w:hAnsi="Arial"/>
          <w:sz w:val="16"/>
          <w:szCs w:val="16"/>
          <w:color w:val="auto"/>
        </w:rPr>
        <w:t>”), (iv) any guarantors of Tenant’s obligations under the Lease execute an agreement satisfactory to Landlord reaffirming that their obligations under the guaranty will continue after the assignment of the Lease to an Affiliate and (v) Tenant shall pay the reasonable costs and expenses (including legal fees) incurred by Landlord in confirming that the assignment or sublease meets the requirements of this section and in preparing any Transfer Agreement. Whether or not an assignment or sublease to an Affiliate is made pursuant to the terms of this section (each a “</w:t>
      </w:r>
      <w:r>
        <w:rPr>
          <w:rFonts w:ascii="Arial" w:cs="Arial" w:eastAsia="Arial" w:hAnsi="Arial"/>
          <w:sz w:val="16"/>
          <w:szCs w:val="16"/>
          <w:b w:val="1"/>
          <w:bCs w:val="1"/>
          <w:i w:val="1"/>
          <w:iCs w:val="1"/>
          <w:color w:val="auto"/>
        </w:rPr>
        <w:t>Permitted Transfer</w:t>
      </w:r>
      <w:r>
        <w:rPr>
          <w:rFonts w:ascii="Arial" w:cs="Arial" w:eastAsia="Arial" w:hAnsi="Arial"/>
          <w:sz w:val="16"/>
          <w:szCs w:val="16"/>
          <w:color w:val="auto"/>
        </w:rPr>
        <w:t>”), Tenant shall not be relieved of its obligations under this Lease. In addition, any sale or transfer of the memberships, interests, shares, or stock of Tenant shall be deemed a “Permitted Transfer” if Tenant is, or in connection with the proposed transfer becomes, a publicly traded entity. Landlord shall have no right to terminate the Lease in connection with, and shall have no right to any sums or other economic consideration resulting from, any Permitted Transfer.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05" w:name="page606"/>
    <w:bookmarkEnd w:id="605"/>
    <w:p>
      <w:pPr>
        <w:jc w:val="both"/>
        <w:ind w:firstLine="654"/>
        <w:spacing w:after="0" w:line="276" w:lineRule="auto"/>
        <w:tabs>
          <w:tab w:leader="none" w:pos="1005" w:val="left"/>
        </w:tabs>
        <w:numPr>
          <w:ilvl w:val="0"/>
          <w:numId w:val="573"/>
        </w:numPr>
        <w:rPr>
          <w:rFonts w:ascii="Arial" w:cs="Arial" w:eastAsia="Arial" w:hAnsi="Arial"/>
          <w:sz w:val="17"/>
          <w:szCs w:val="17"/>
          <w:color w:val="auto"/>
        </w:rPr>
      </w:pPr>
      <w:r>
        <w:rPr>
          <w:rFonts w:ascii="Arial" w:cs="Arial" w:eastAsia="Arial" w:hAnsi="Arial"/>
          <w:sz w:val="17"/>
          <w:szCs w:val="17"/>
          <w:b w:val="1"/>
          <w:bCs w:val="1"/>
          <w:color w:val="auto"/>
        </w:rPr>
        <w:t>Landlord’s Work; Commencement Date</w:t>
      </w:r>
      <w:r>
        <w:rPr>
          <w:rFonts w:ascii="Arial" w:cs="Arial" w:eastAsia="Arial" w:hAnsi="Arial"/>
          <w:sz w:val="17"/>
          <w:szCs w:val="17"/>
          <w:color w:val="auto"/>
        </w:rPr>
        <w:t>. The Commencement Date shall occur on the date that Landlord delivers the Premises to Tenant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work set forth on the attached Exhibit E completed in good and workmanlike manner (collectively “</w:t>
      </w:r>
      <w:r>
        <w:rPr>
          <w:rFonts w:ascii="Arial" w:cs="Arial" w:eastAsia="Arial" w:hAnsi="Arial"/>
          <w:sz w:val="17"/>
          <w:szCs w:val="17"/>
          <w:b w:val="1"/>
          <w:bCs w:val="1"/>
          <w:i w:val="1"/>
          <w:iCs w:val="1"/>
          <w:color w:val="auto"/>
        </w:rPr>
        <w:t>Landlord’s Work</w:t>
      </w:r>
      <w:r>
        <w:rPr>
          <w:rFonts w:ascii="Arial" w:cs="Arial" w:eastAsia="Arial" w:hAnsi="Arial"/>
          <w:sz w:val="17"/>
          <w:szCs w:val="17"/>
          <w:color w:val="auto"/>
        </w:rPr>
        <w:t>”). In addition to Landlord's Work, Landlord shall, at its sole cost and expense, install a separate meter, or sub-meter, as Landlord shall determine in its reasonable discretion, such that electricity serving the Premises is separately metered or sub-metered, as applicable. Installation of such separate meter or sub-meter is not a condition to the commencement of the Lease and will not delay the Commencement Date if not completed by the Commencement Date.</w:t>
      </w:r>
    </w:p>
    <w:p>
      <w:pPr>
        <w:spacing w:after="0" w:line="168" w:lineRule="exact"/>
        <w:rPr>
          <w:rFonts w:ascii="Arial" w:cs="Arial" w:eastAsia="Arial" w:hAnsi="Arial"/>
          <w:sz w:val="17"/>
          <w:szCs w:val="17"/>
          <w:color w:val="auto"/>
        </w:rPr>
      </w:pPr>
    </w:p>
    <w:p>
      <w:pPr>
        <w:ind w:firstLine="654"/>
        <w:spacing w:after="0" w:line="311" w:lineRule="auto"/>
        <w:tabs>
          <w:tab w:leader="none" w:pos="1032" w:val="left"/>
        </w:tabs>
        <w:numPr>
          <w:ilvl w:val="0"/>
          <w:numId w:val="573"/>
        </w:numPr>
        <w:rPr>
          <w:rFonts w:ascii="Arial" w:cs="Arial" w:eastAsia="Arial" w:hAnsi="Arial"/>
          <w:sz w:val="17"/>
          <w:szCs w:val="17"/>
          <w:color w:val="auto"/>
        </w:rPr>
      </w:pPr>
      <w:r>
        <w:rPr>
          <w:rFonts w:ascii="Arial" w:cs="Arial" w:eastAsia="Arial" w:hAnsi="Arial"/>
          <w:sz w:val="17"/>
          <w:szCs w:val="17"/>
          <w:b w:val="1"/>
          <w:bCs w:val="1"/>
          <w:color w:val="auto"/>
        </w:rPr>
        <w:t>Option to Extend</w:t>
      </w:r>
      <w:r>
        <w:rPr>
          <w:rFonts w:ascii="Arial" w:cs="Arial" w:eastAsia="Arial" w:hAnsi="Arial"/>
          <w:sz w:val="17"/>
          <w:szCs w:val="17"/>
          <w:color w:val="auto"/>
        </w:rPr>
        <w:t>. Landlord hereby grants to Tenant the option to extend the term of the Lease (the “</w:t>
      </w:r>
      <w:r>
        <w:rPr>
          <w:rFonts w:ascii="Arial" w:cs="Arial" w:eastAsia="Arial" w:hAnsi="Arial"/>
          <w:sz w:val="17"/>
          <w:szCs w:val="17"/>
          <w:b w:val="1"/>
          <w:bCs w:val="1"/>
          <w:i w:val="1"/>
          <w:iCs w:val="1"/>
          <w:color w:val="auto"/>
        </w:rPr>
        <w:t>Extension Option</w:t>
      </w:r>
      <w:r>
        <w:rPr>
          <w:rFonts w:ascii="Arial" w:cs="Arial" w:eastAsia="Arial" w:hAnsi="Arial"/>
          <w:sz w:val="17"/>
          <w:szCs w:val="17"/>
          <w:color w:val="auto"/>
        </w:rPr>
        <w:t>”) for one (1) five (5)-year period (the “</w:t>
      </w:r>
      <w:r>
        <w:rPr>
          <w:rFonts w:ascii="Arial" w:cs="Arial" w:eastAsia="Arial" w:hAnsi="Arial"/>
          <w:sz w:val="17"/>
          <w:szCs w:val="17"/>
          <w:b w:val="1"/>
          <w:bCs w:val="1"/>
          <w:i w:val="1"/>
          <w:iCs w:val="1"/>
          <w:color w:val="auto"/>
        </w:rPr>
        <w:t>Extended Term</w:t>
      </w:r>
      <w:r>
        <w:rPr>
          <w:rFonts w:ascii="Arial" w:cs="Arial" w:eastAsia="Arial" w:hAnsi="Arial"/>
          <w:sz w:val="17"/>
          <w:szCs w:val="17"/>
          <w:color w:val="auto"/>
        </w:rPr>
        <w:t>”) commencing when the initial lease term expires upon each and all of the following terms and conditions:</w:t>
      </w:r>
    </w:p>
    <w:p>
      <w:pPr>
        <w:spacing w:after="0" w:line="143" w:lineRule="exact"/>
        <w:rPr>
          <w:rFonts w:ascii="Arial" w:cs="Arial" w:eastAsia="Arial" w:hAnsi="Arial"/>
          <w:sz w:val="17"/>
          <w:szCs w:val="17"/>
          <w:color w:val="auto"/>
        </w:rPr>
      </w:pPr>
    </w:p>
    <w:p>
      <w:pPr>
        <w:jc w:val="both"/>
        <w:ind w:firstLine="1138"/>
        <w:spacing w:after="0" w:line="270" w:lineRule="auto"/>
        <w:tabs>
          <w:tab w:leader="none" w:pos="1523" w:val="left"/>
        </w:tabs>
        <w:numPr>
          <w:ilvl w:val="1"/>
          <w:numId w:val="573"/>
        </w:numPr>
        <w:rPr>
          <w:rFonts w:ascii="Arial" w:cs="Arial" w:eastAsia="Arial" w:hAnsi="Arial"/>
          <w:sz w:val="17"/>
          <w:szCs w:val="17"/>
          <w:color w:val="auto"/>
        </w:rPr>
      </w:pPr>
      <w:r>
        <w:rPr>
          <w:rFonts w:ascii="Arial" w:cs="Arial" w:eastAsia="Arial" w:hAnsi="Arial"/>
          <w:sz w:val="17"/>
          <w:szCs w:val="17"/>
          <w:color w:val="auto"/>
        </w:rPr>
        <w:t>On a date which is prior to the date that the Extended Term would commence (if exercised) by at least two hundred seventy (270) days and not more than three hundred sixty (360) days, Landlord shall have received from Tenant a written notice of the exercise of the Extension Option (an “</w:t>
      </w:r>
      <w:r>
        <w:rPr>
          <w:rFonts w:ascii="Arial" w:cs="Arial" w:eastAsia="Arial" w:hAnsi="Arial"/>
          <w:sz w:val="17"/>
          <w:szCs w:val="17"/>
          <w:b w:val="1"/>
          <w:bCs w:val="1"/>
          <w:i w:val="1"/>
          <w:iCs w:val="1"/>
          <w:color w:val="auto"/>
        </w:rPr>
        <w:t>Exercise Notice</w:t>
      </w:r>
      <w:r>
        <w:rPr>
          <w:rFonts w:ascii="Arial" w:cs="Arial" w:eastAsia="Arial" w:hAnsi="Arial"/>
          <w:sz w:val="17"/>
          <w:szCs w:val="17"/>
          <w:color w:val="auto"/>
        </w:rPr>
        <w:t>”), time being of the essence. If the Exercise Notice is not so given and received, the Extension Option shall automatically expire, Tenant shall no longer have the right to give an Exercise Notice and this section shall be of no further force or effect. Tenant shall give the Exercise Notice using certified mail return receipt requested or some other method where the person delivering the package containing the Exercise Notice obtains a signature of the person accepting the package containing the Exercise Notice (</w:t>
      </w:r>
      <w:r>
        <w:rPr>
          <w:rFonts w:ascii="Arial" w:cs="Arial" w:eastAsia="Arial" w:hAnsi="Arial"/>
          <w:sz w:val="17"/>
          <w:szCs w:val="17"/>
          <w:i w:val="1"/>
          <w:iCs w:val="1"/>
          <w:color w:val="auto"/>
        </w:rPr>
        <w:t>e.g.</w:t>
      </w:r>
      <w:r>
        <w:rPr>
          <w:rFonts w:ascii="Arial" w:cs="Arial" w:eastAsia="Arial" w:hAnsi="Arial"/>
          <w:sz w:val="17"/>
          <w:szCs w:val="17"/>
          <w:color w:val="auto"/>
        </w:rPr>
        <w:t>, by FedEx with the requirement that the FedEx delivery person obtain a signature from the person accepting the package). It shall be the obligation of Tenant to prove that Landlord received the Exercise Notice in a timely manner. Once Tenant gives an Exercise Notice its exercise of the Extension Option shall be irrevocable.</w:t>
      </w:r>
    </w:p>
    <w:p>
      <w:pPr>
        <w:spacing w:after="0" w:line="178" w:lineRule="exact"/>
        <w:rPr>
          <w:rFonts w:ascii="Arial" w:cs="Arial" w:eastAsia="Arial" w:hAnsi="Arial"/>
          <w:sz w:val="17"/>
          <w:szCs w:val="17"/>
          <w:color w:val="auto"/>
        </w:rPr>
      </w:pPr>
    </w:p>
    <w:p>
      <w:pPr>
        <w:ind w:left="1480" w:hanging="342"/>
        <w:spacing w:after="0"/>
        <w:tabs>
          <w:tab w:leader="none" w:pos="148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All of the terms and conditions of the Lease except where specifically modified by this section shall apply.</w:t>
      </w:r>
    </w:p>
    <w:p>
      <w:pPr>
        <w:spacing w:after="0" w:line="223" w:lineRule="exact"/>
        <w:rPr>
          <w:rFonts w:ascii="Arial" w:cs="Arial" w:eastAsia="Arial" w:hAnsi="Arial"/>
          <w:sz w:val="18"/>
          <w:szCs w:val="18"/>
          <w:color w:val="auto"/>
        </w:rPr>
      </w:pPr>
    </w:p>
    <w:p>
      <w:pPr>
        <w:jc w:val="both"/>
        <w:ind w:firstLine="1138"/>
        <w:spacing w:after="0" w:line="262" w:lineRule="auto"/>
        <w:tabs>
          <w:tab w:leader="none" w:pos="1478" w:val="left"/>
        </w:tabs>
        <w:numPr>
          <w:ilvl w:val="1"/>
          <w:numId w:val="573"/>
        </w:numPr>
        <w:rPr>
          <w:rFonts w:ascii="Arial" w:cs="Arial" w:eastAsia="Arial" w:hAnsi="Arial"/>
          <w:sz w:val="18"/>
          <w:szCs w:val="18"/>
          <w:color w:val="auto"/>
        </w:rPr>
      </w:pPr>
      <w:r>
        <w:rPr>
          <w:rFonts w:ascii="Arial" w:cs="Arial" w:eastAsia="Arial" w:hAnsi="Arial"/>
          <w:sz w:val="18"/>
          <w:szCs w:val="18"/>
          <w:color w:val="auto"/>
        </w:rPr>
        <w:t xml:space="preserve">The monthly Base Rent payable during the Extended Term shall be the Market Rate on the date the Extended Term commences;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at no time during the Extended Term shall the Base Rent be less than the Base Rent due immediately preceding the commencement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Extended Term.</w:t>
      </w:r>
    </w:p>
    <w:p>
      <w:pPr>
        <w:spacing w:after="0" w:line="183" w:lineRule="exact"/>
        <w:rPr>
          <w:rFonts w:ascii="Arial" w:cs="Arial" w:eastAsia="Arial" w:hAnsi="Arial"/>
          <w:sz w:val="18"/>
          <w:szCs w:val="18"/>
          <w:color w:val="auto"/>
        </w:rPr>
      </w:pPr>
    </w:p>
    <w:p>
      <w:pPr>
        <w:jc w:val="both"/>
        <w:ind w:firstLine="1138"/>
        <w:spacing w:after="0" w:line="288" w:lineRule="auto"/>
        <w:tabs>
          <w:tab w:leader="none" w:pos="1505" w:val="left"/>
        </w:tabs>
        <w:numPr>
          <w:ilvl w:val="1"/>
          <w:numId w:val="57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Market Rate</w:t>
      </w:r>
      <w:r>
        <w:rPr>
          <w:rFonts w:ascii="Arial" w:cs="Arial" w:eastAsia="Arial" w:hAnsi="Arial"/>
          <w:sz w:val="16"/>
          <w:szCs w:val="16"/>
          <w:color w:val="auto"/>
        </w:rPr>
        <w:t>” shall mean the annual amount per rentable square foot that a willing, comparable renewal tenant would pay and a willing, comparable landlord of a similar office/R&amp;D and laboratory building located in the City of South San Francisco would accept at arm’s length for similar space, giving appropriate consideration to the following matters: (i) annual rental rates per rentable square foot; (ii) the type of escalation clauses (including, but without limitation, operating expense, real estate taxes, and CPI) and the extent of liability under the escalation clauses (</w:t>
      </w:r>
      <w:r>
        <w:rPr>
          <w:rFonts w:ascii="Arial" w:cs="Arial" w:eastAsia="Arial" w:hAnsi="Arial"/>
          <w:sz w:val="16"/>
          <w:szCs w:val="16"/>
          <w:i w:val="1"/>
          <w:iCs w:val="1"/>
          <w:color w:val="auto"/>
        </w:rPr>
        <w:t>i.e.</w:t>
      </w:r>
      <w:r>
        <w:rPr>
          <w:rFonts w:ascii="Arial" w:cs="Arial" w:eastAsia="Arial" w:hAnsi="Arial"/>
          <w:sz w:val="16"/>
          <w:szCs w:val="16"/>
          <w:color w:val="auto"/>
        </w:rPr>
        <w:t>, whether determined on a “</w:t>
      </w:r>
      <w:r>
        <w:rPr>
          <w:rFonts w:ascii="Arial" w:cs="Arial" w:eastAsia="Arial" w:hAnsi="Arial"/>
          <w:sz w:val="16"/>
          <w:szCs w:val="16"/>
          <w:b w:val="1"/>
          <w:bCs w:val="1"/>
          <w:i w:val="1"/>
          <w:iCs w:val="1"/>
          <w:color w:val="auto"/>
        </w:rPr>
        <w:t>net lease</w:t>
      </w:r>
      <w:r>
        <w:rPr>
          <w:rFonts w:ascii="Arial" w:cs="Arial" w:eastAsia="Arial" w:hAnsi="Arial"/>
          <w:sz w:val="16"/>
          <w:szCs w:val="16"/>
          <w:color w:val="auto"/>
        </w:rPr>
        <w:t xml:space="preserve">” basis or by increases over a particular base year or base dollar amount); (iii) rent abatement provisions reflecting free rent and/or no rent during the lease term; (iv) length of lease term; (v) size and location of premises being leased; and (vi) other generally applicable terms and conditions of tenancy for similar space;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Tenant shall not be entitled to any tenant improvement allowance. If renewal tenant’s exercising similar market rate extension options are receiving a tenant improvement allowance, this fact shall be taken into consideration in determining the Market Rate. The Market Rate may also designate periodic rental increases, a new base year and similar economic adjustments.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06" w:name="page607"/>
    <w:bookmarkEnd w:id="606"/>
    <w:p>
      <w:pPr>
        <w:jc w:val="both"/>
        <w:ind w:firstLine="1138"/>
        <w:spacing w:after="0" w:line="271" w:lineRule="auto"/>
        <w:tabs>
          <w:tab w:leader="none" w:pos="1563"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If Tenant exercises the Extension Option, Landlord shall determine the Market Rate by using its good faith judgment. Landlord shall provide Tenant with written notice of such amount on or before the date that is ninety (90) days prior to the date that the Extended Term will commence. Tenant shall have fifteen (15) days (“</w:t>
      </w:r>
      <w:r>
        <w:rPr>
          <w:rFonts w:ascii="Arial" w:cs="Arial" w:eastAsia="Arial" w:hAnsi="Arial"/>
          <w:sz w:val="17"/>
          <w:szCs w:val="17"/>
          <w:b w:val="1"/>
          <w:bCs w:val="1"/>
          <w:i w:val="1"/>
          <w:iCs w:val="1"/>
          <w:color w:val="auto"/>
        </w:rPr>
        <w:t>Tenant’s Review Period</w:t>
      </w:r>
      <w:r>
        <w:rPr>
          <w:rFonts w:ascii="Arial" w:cs="Arial" w:eastAsia="Arial" w:hAnsi="Arial"/>
          <w:sz w:val="17"/>
          <w:szCs w:val="17"/>
          <w:color w:val="auto"/>
        </w:rPr>
        <w:t>”) after receipt of Landlord’s notice of the new rental within which to accept such rental. In the event Tenant fails to accept in writing such rental proposal by Landlord, then such proposal shall be deemed rejected, and Landlord and Tenant shall attempt to agree upon such Market Rate, using their best good faith efforts. If Landlord and Tenant fail to reach agreement within fifteen (15) days following Tenant’s Review Period (“</w:t>
      </w:r>
      <w:r>
        <w:rPr>
          <w:rFonts w:ascii="Arial" w:cs="Arial" w:eastAsia="Arial" w:hAnsi="Arial"/>
          <w:sz w:val="17"/>
          <w:szCs w:val="17"/>
          <w:b w:val="1"/>
          <w:bCs w:val="1"/>
          <w:i w:val="1"/>
          <w:iCs w:val="1"/>
          <w:color w:val="auto"/>
        </w:rPr>
        <w:t>Outside Agreement Date</w:t>
      </w:r>
      <w:r>
        <w:rPr>
          <w:rFonts w:ascii="Arial" w:cs="Arial" w:eastAsia="Arial" w:hAnsi="Arial"/>
          <w:sz w:val="17"/>
          <w:szCs w:val="17"/>
          <w:color w:val="auto"/>
        </w:rPr>
        <w:t>”), then each party shall place in a separate sealed envelope their final proposal as to the Market Rate, and such determination shall be submitted to arbitration in accordance with subsections (i) through (v) below.</w:t>
      </w:r>
    </w:p>
    <w:p>
      <w:pPr>
        <w:spacing w:after="0" w:line="177" w:lineRule="exact"/>
        <w:rPr>
          <w:rFonts w:ascii="Arial" w:cs="Arial" w:eastAsia="Arial" w:hAnsi="Arial"/>
          <w:sz w:val="17"/>
          <w:szCs w:val="17"/>
          <w:color w:val="auto"/>
        </w:rPr>
      </w:pPr>
    </w:p>
    <w:p>
      <w:pPr>
        <w:jc w:val="both"/>
        <w:ind w:firstLine="1623"/>
        <w:spacing w:after="0" w:line="268" w:lineRule="auto"/>
        <w:tabs>
          <w:tab w:leader="none" w:pos="1950" w:val="left"/>
        </w:tabs>
        <w:numPr>
          <w:ilvl w:val="1"/>
          <w:numId w:val="574"/>
        </w:numPr>
        <w:rPr>
          <w:rFonts w:ascii="Arial" w:cs="Arial" w:eastAsia="Arial" w:hAnsi="Arial"/>
          <w:sz w:val="17"/>
          <w:szCs w:val="17"/>
          <w:color w:val="auto"/>
        </w:rPr>
      </w:pPr>
      <w:r>
        <w:rPr>
          <w:rFonts w:ascii="Arial" w:cs="Arial" w:eastAsia="Arial" w:hAnsi="Arial"/>
          <w:sz w:val="17"/>
          <w:szCs w:val="17"/>
          <w:color w:val="auto"/>
        </w:rPr>
        <w:t>Landlord and Tenant shall meet with each other within five (5) business days after the Outside Agreement Date and exchange their sealed envelopes and then open such envelopes in each other’s presence. If Landlord and Tenant do not mutually agree upon the Market Rate within one (1) business day of the exchange and opening of envelopes, then, within ten (10) business days of the exchange and opening of envelopes, Landlord and Tenant shall agree upon and jointly appoint a single arbitrator who shall by profession be a real estate broker or agent who shall have been active over the five (5) year period ending on the date of such appointment in the leasing of similar buildings in the geographical area of the Premises. Neither Landlord nor Tenant shall consult with such broker or agent as to his or her opinion as to the Market Rate prior to the appointment. The determination of the arbitrator shall be limited solely to the issue of whether Landlord’s or Tenant’s submitted Market Rate for the Premises is the closest to the actual Market Rate for the Premises as determined by the arbitrator, taking into account the requirements for determining Market Rate set forth herein. Such arbitrator may hold such hearings and require such briefs as the arbitrator, in his or her sole discretion, determines is necessary. In addition, Landlord or Tenant may submit to the arbitrator with a copy to the other party within five (5) business days after the appointment of the arbitrator any market data and additional information such party deems relevant to the determination of the Market Rate (“</w:t>
      </w:r>
      <w:r>
        <w:rPr>
          <w:rFonts w:ascii="Arial" w:cs="Arial" w:eastAsia="Arial" w:hAnsi="Arial"/>
          <w:sz w:val="17"/>
          <w:szCs w:val="17"/>
          <w:b w:val="1"/>
          <w:bCs w:val="1"/>
          <w:i w:val="1"/>
          <w:iCs w:val="1"/>
          <w:color w:val="auto"/>
        </w:rPr>
        <w:t>MR Data</w:t>
      </w:r>
      <w:r>
        <w:rPr>
          <w:rFonts w:ascii="Arial" w:cs="Arial" w:eastAsia="Arial" w:hAnsi="Arial"/>
          <w:sz w:val="17"/>
          <w:szCs w:val="17"/>
          <w:color w:val="auto"/>
        </w:rPr>
        <w:t>”), and the other party may submit a reply in writing within five (5) business days after receipt of such MR Data.</w:t>
      </w:r>
    </w:p>
    <w:p>
      <w:pPr>
        <w:spacing w:after="0" w:line="179" w:lineRule="exact"/>
        <w:rPr>
          <w:rFonts w:ascii="Arial" w:cs="Arial" w:eastAsia="Arial" w:hAnsi="Arial"/>
          <w:sz w:val="17"/>
          <w:szCs w:val="17"/>
          <w:color w:val="auto"/>
        </w:rPr>
      </w:pPr>
    </w:p>
    <w:p>
      <w:pPr>
        <w:ind w:firstLine="1623"/>
        <w:spacing w:after="0" w:line="276" w:lineRule="auto"/>
        <w:tabs>
          <w:tab w:leader="none" w:pos="2133"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arbitrator shall, within thirty (30) days of his or her appointment, reach a decision as to whether the parties shall use Landlord’s or Tenant’s submitted Market Rate and shall notify Landlord and Tenant of such determination.</w:t>
      </w:r>
    </w:p>
    <w:p>
      <w:pPr>
        <w:spacing w:after="0" w:line="169" w:lineRule="exact"/>
        <w:rPr>
          <w:rFonts w:ascii="Arial" w:cs="Arial" w:eastAsia="Arial" w:hAnsi="Arial"/>
          <w:sz w:val="18"/>
          <w:szCs w:val="18"/>
          <w:color w:val="auto"/>
        </w:rPr>
      </w:pPr>
    </w:p>
    <w:p>
      <w:pPr>
        <w:ind w:left="2040" w:hanging="417"/>
        <w:spacing w:after="0"/>
        <w:tabs>
          <w:tab w:leader="none" w:pos="204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decision of the arbitrator shall be final and binding upon Landlord and Tenant.</w:t>
      </w:r>
    </w:p>
    <w:p>
      <w:pPr>
        <w:spacing w:after="0" w:line="223" w:lineRule="exact"/>
        <w:rPr>
          <w:rFonts w:ascii="Arial" w:cs="Arial" w:eastAsia="Arial" w:hAnsi="Arial"/>
          <w:sz w:val="18"/>
          <w:szCs w:val="18"/>
          <w:color w:val="auto"/>
        </w:rPr>
      </w:pPr>
    </w:p>
    <w:p>
      <w:pPr>
        <w:jc w:val="both"/>
        <w:ind w:firstLine="1623"/>
        <w:spacing w:after="0" w:line="262" w:lineRule="auto"/>
        <w:tabs>
          <w:tab w:leader="none" w:pos="2074" w:val="left"/>
        </w:tabs>
        <w:numPr>
          <w:ilvl w:val="1"/>
          <w:numId w:val="574"/>
        </w:numPr>
        <w:rPr>
          <w:rFonts w:ascii="Arial" w:cs="Arial" w:eastAsia="Arial" w:hAnsi="Arial"/>
          <w:sz w:val="18"/>
          <w:szCs w:val="18"/>
          <w:color w:val="auto"/>
        </w:rPr>
      </w:pPr>
      <w:r>
        <w:rPr>
          <w:rFonts w:ascii="Arial" w:cs="Arial" w:eastAsia="Arial" w:hAnsi="Arial"/>
          <w:sz w:val="18"/>
          <w:szCs w:val="18"/>
          <w:color w:val="auto"/>
        </w:rPr>
        <w:t>If Landlord and Tenant fail to agree upon and appoint an arbitrator, then the appointment of the arbitrator shall be made by the presiding judge of the Superior Court for the county in which the Premises is located (or if there is no Superior Court in the county, a similar court), or, if he or she refuses to act, by any judge having jurisdiction over the parties.</w:t>
      </w:r>
    </w:p>
    <w:p>
      <w:pPr>
        <w:spacing w:after="0" w:line="183" w:lineRule="exact"/>
        <w:rPr>
          <w:rFonts w:ascii="Arial" w:cs="Arial" w:eastAsia="Arial" w:hAnsi="Arial"/>
          <w:sz w:val="18"/>
          <w:szCs w:val="18"/>
          <w:color w:val="auto"/>
        </w:rPr>
      </w:pPr>
    </w:p>
    <w:p>
      <w:pPr>
        <w:ind w:left="1960" w:hanging="337"/>
        <w:spacing w:after="0"/>
        <w:tabs>
          <w:tab w:leader="none" w:pos="196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The cost of the arbitration shall be paid by Landlord and Tenant equally.</w:t>
      </w:r>
    </w:p>
    <w:p>
      <w:pPr>
        <w:spacing w:after="0" w:line="223" w:lineRule="exact"/>
        <w:rPr>
          <w:rFonts w:ascii="Arial" w:cs="Arial" w:eastAsia="Arial" w:hAnsi="Arial"/>
          <w:sz w:val="18"/>
          <w:szCs w:val="18"/>
          <w:color w:val="auto"/>
        </w:rPr>
      </w:pPr>
    </w:p>
    <w:p>
      <w:pPr>
        <w:jc w:val="both"/>
        <w:ind w:firstLine="1623"/>
        <w:spacing w:after="0" w:line="258" w:lineRule="auto"/>
        <w:tabs>
          <w:tab w:leader="none" w:pos="2070" w:val="left"/>
        </w:tabs>
        <w:numPr>
          <w:ilvl w:val="1"/>
          <w:numId w:val="574"/>
        </w:numPr>
        <w:rPr>
          <w:rFonts w:ascii="Arial" w:cs="Arial" w:eastAsia="Arial" w:hAnsi="Arial"/>
          <w:sz w:val="18"/>
          <w:szCs w:val="18"/>
          <w:color w:val="auto"/>
        </w:rPr>
      </w:pPr>
      <w:r>
        <w:rPr>
          <w:rFonts w:ascii="Arial" w:cs="Arial" w:eastAsia="Arial" w:hAnsi="Arial"/>
          <w:sz w:val="18"/>
          <w:szCs w:val="18"/>
          <w:color w:val="auto"/>
        </w:rPr>
        <w:t>Landlord shall have the right to require Tenant to execute and to deliver to Landlord an amendment to the Lease that accurately sets forth the Extended Term of the Lease and the new Base Rent and other economic terms, if any. Within ten (10) days after Landlord provides the amendment to Tenant, Tenant shall execute the amendment and deliver the amendment to Landlord. Landlord’s election not to require Tenant to execute an amendment shall not invalidate Tenant’s exercise of the Extension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to follow on succeeding page]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07" w:name="page608"/>
    <w:bookmarkEnd w:id="607"/>
    <w:p>
      <w:pPr>
        <w:ind w:left="6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2"/>
          <w:szCs w:val="12"/>
          <w:color w:val="auto"/>
        </w:rPr>
        <w:t>THE PARTIES HERETO HAVE RESPECTIVELY EXECUTED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w:t>
      </w:r>
      <w:r>
        <w:rPr>
          <w:rFonts w:ascii="Arial" w:cs="Arial" w:eastAsia="Arial" w:hAnsi="Arial"/>
          <w:sz w:val="12"/>
          <w:szCs w:val="12"/>
          <w:color w:val="auto"/>
        </w:rPr>
        <w:t>DDENDUM</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CRP E</w:t>
      </w:r>
      <w:r>
        <w:rPr>
          <w:rFonts w:ascii="Arial" w:cs="Arial" w:eastAsia="Arial" w:hAnsi="Arial"/>
          <w:sz w:val="12"/>
          <w:szCs w:val="12"/>
          <w:b w:val="1"/>
          <w:bCs w:val="1"/>
          <w:color w:val="auto"/>
        </w:rPr>
        <w:t>DGEWATER</w:t>
      </w:r>
      <w:r>
        <w:rPr>
          <w:rFonts w:ascii="Arial" w:cs="Arial" w:eastAsia="Arial" w:hAnsi="Arial"/>
          <w:sz w:val="18"/>
          <w:szCs w:val="18"/>
          <w:b w:val="1"/>
          <w:bCs w:val="1"/>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Kingery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23075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6">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Name:David Kingery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23075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7">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23075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8">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AXART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John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23247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9">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Cornwell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13970</wp:posOffset>
            </wp:positionV>
            <wp:extent cx="217932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0">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 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23247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1">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-130175</wp:posOffset>
            </wp:positionV>
            <wp:extent cx="217932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2">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23247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3">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-130175</wp:posOffset>
            </wp:positionV>
            <wp:extent cx="2179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4">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23247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5">
                      <a:extLst>
                        <a:ext uri="{28A0092B-C50C-407E-A947-70E740481C1C}"/>
                      </a:extLst>
                    </a:blip>
                    <a:srcRect/>
                    <a:stretch>
                      <a:fillRect/>
                    </a:stretch>
                  </pic:blipFill>
                  <pic:spPr bwMode="auto">
                    <a:xfrm>
                      <a:off x="0" y="0"/>
                      <a:ext cx="2324735" cy="8255"/>
                    </a:xfrm>
                    <a:prstGeom prst="rect">
                      <a:avLst/>
                    </a:prstGeom>
                    <a:noFill/>
                  </pic:spPr>
                </pic:pic>
              </a:graphicData>
            </a:graphic>
          </wp:anchor>
        </w:drawing>
      </w: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-130175</wp:posOffset>
            </wp:positionV>
            <wp:extent cx="217932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6">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20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Tenant is a corporation, the authorized officers must sign on behalf of the corporation and indicate the capacity in which they are signing. The Lease must be executed by the president or vice president and the secretary or assistant secretary, unless the bylaws or a resolution of the board of directors shall otherwise provide, in which event, the bylaws or a certified copy of the resolution, as the case may be, must be attached to this 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08" w:name="page609"/>
    <w:bookmarkEnd w:id="608"/>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Depiction of Landlord's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168275</wp:posOffset>
            </wp:positionV>
            <wp:extent cx="7306945" cy="3213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8">
                      <a:extLst>
                        <a:ext uri="{28A0092B-C50C-407E-A947-70E740481C1C}"/>
                      </a:extLst>
                    </a:blip>
                    <a:srcRect/>
                    <a:stretch>
                      <a:fillRect/>
                    </a:stretch>
                  </pic:blipFill>
                  <pic:spPr bwMode="auto">
                    <a:xfrm>
                      <a:off x="0" y="0"/>
                      <a:ext cx="7306945" cy="321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XHIBIT</w:t>
      </w:r>
      <w:r>
        <w:rPr>
          <w:rFonts w:ascii="Arial" w:cs="Arial" w:eastAsia="Arial" w:hAnsi="Arial"/>
          <w:sz w:val="18"/>
          <w:szCs w:val="18"/>
          <w:color w:val="auto"/>
        </w:rPr>
        <w:t xml:space="preserve"> E</w:t>
      </w:r>
    </w:p>
    <w:p>
      <w:pPr>
        <w:sectPr>
          <w:pgSz w:w="11900" w:h="16838" w:orient="portrait"/>
          <w:cols w:equalWidth="0" w:num="1">
            <w:col w:w="9019"/>
          </w:cols>
          <w:pgMar w:left="1440" w:top="579" w:right="1440" w:bottom="1440" w:gutter="0" w:footer="0" w:header="0"/>
        </w:sectPr>
      </w:pPr>
    </w:p>
    <w:bookmarkStart w:id="609" w:name="page610"/>
    <w:bookmarkEnd w:id="609"/>
    <w:p>
      <w:pPr>
        <w:jc w:val="right"/>
        <w:spacing w:after="0"/>
        <w:rPr>
          <w:sz w:val="20"/>
          <w:szCs w:val="20"/>
          <w:color w:val="auto"/>
        </w:rPr>
      </w:pPr>
      <w:r>
        <w:rPr>
          <w:rFonts w:ascii="Arial" w:cs="Arial" w:eastAsia="Arial" w:hAnsi="Arial"/>
          <w:sz w:val="18"/>
          <w:szCs w:val="18"/>
          <w:b w:val="1"/>
          <w:bCs w:val="1"/>
          <w:color w:val="auto"/>
        </w:rPr>
        <w:t>Exhibit 10.28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 xml:space="preserve">THIS LOAN AND SECURITY AGREEMENT </w:t>
      </w:r>
      <w:r>
        <w:rPr>
          <w:rFonts w:ascii="Arial" w:cs="Arial" w:eastAsia="Arial" w:hAnsi="Arial"/>
          <w:sz w:val="16"/>
          <w:szCs w:val="16"/>
          <w:color w:val="auto"/>
        </w:rPr>
        <w:t>(as the same may from time to time be amended, modified, supplemented or restated, this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22, 2016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 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hereof or otherwise a party hereto from time to time including Oxford in its capacity as a Lender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VAXART, INC., a Delaware corporation with offices located at 385 Oyster Point Blvd., Suite 9A, South San Francisco, CA 94080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 parties agree as follows:</w:t>
      </w:r>
    </w:p>
    <w:p>
      <w:pPr>
        <w:spacing w:after="0" w:line="160" w:lineRule="exact"/>
        <w:rPr>
          <w:sz w:val="20"/>
          <w:szCs w:val="20"/>
          <w:color w:val="auto"/>
        </w:rPr>
      </w:pPr>
    </w:p>
    <w:p>
      <w:pPr>
        <w:ind w:left="660" w:hanging="652"/>
        <w:spacing w:after="0"/>
        <w:tabs>
          <w:tab w:leader="none" w:pos="660"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1.1. Accounting terms not defined in this Agreement shall be construed in accordance with GAAP. Calculations and determinations must be made 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183" w:lineRule="exact"/>
        <w:rPr>
          <w:sz w:val="20"/>
          <w:szCs w:val="20"/>
          <w:color w:val="auto"/>
        </w:rPr>
      </w:pPr>
    </w:p>
    <w:p>
      <w:pPr>
        <w:ind w:left="660" w:hanging="652"/>
        <w:spacing w:after="0"/>
        <w:tabs>
          <w:tab w:leader="none" w:pos="660" w:val="left"/>
        </w:tabs>
        <w:numPr>
          <w:ilvl w:val="0"/>
          <w:numId w:val="5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w:t>
      </w:r>
    </w:p>
    <w:p>
      <w:pPr>
        <w:spacing w:after="0" w:line="228" w:lineRule="exact"/>
        <w:rPr>
          <w:sz w:val="20"/>
          <w:szCs w:val="20"/>
          <w:color w:val="auto"/>
        </w:rPr>
      </w:pPr>
    </w:p>
    <w:p>
      <w:pPr>
        <w:jc w:val="both"/>
        <w:ind w:firstLine="1300"/>
        <w:spacing w:after="0" w:line="258" w:lineRule="auto"/>
        <w:tabs>
          <w:tab w:leader="none" w:pos="1729"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of this Agreement, the Lenders agree, severally and not jointly, to make term loans to Borrower on the Effective Date in an aggregate amount of Five Million Dollars ($5,000,000.00)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 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jc w:val="both"/>
        <w:ind w:firstLine="1946"/>
        <w:spacing w:after="0" w:line="274" w:lineRule="auto"/>
        <w:tabs>
          <w:tab w:leader="none" w:pos="2409" w:val="left"/>
        </w:tabs>
        <w:numPr>
          <w:ilvl w:val="1"/>
          <w:numId w:val="57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Lenders agree, severally and not jointly, during the Second Draw Period, to make term loans to Borrower in an aggregate amount up to Ten Million Dollars ($10,000,000.00) according to each Lender’s Term B Loan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(such term loans are hereinafter referred to singly as a “</w:t>
      </w:r>
      <w:r>
        <w:rPr>
          <w:rFonts w:ascii="Arial" w:cs="Arial" w:eastAsia="Arial" w:hAnsi="Arial"/>
          <w:sz w:val="17"/>
          <w:szCs w:val="17"/>
          <w:b w:val="1"/>
          <w:bCs w:val="1"/>
          <w:color w:val="auto"/>
        </w:rPr>
        <w:t>Term B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B</w:t>
      </w:r>
      <w:r>
        <w:rPr>
          <w:rFonts w:ascii="Arial" w:cs="Arial" w:eastAsia="Arial" w:hAnsi="Arial"/>
          <w:sz w:val="17"/>
          <w:szCs w:val="17"/>
          <w:color w:val="auto"/>
        </w:rPr>
        <w:t xml:space="preserve"> </w:t>
      </w:r>
      <w:r>
        <w:rPr>
          <w:rFonts w:ascii="Arial" w:cs="Arial" w:eastAsia="Arial" w:hAnsi="Arial"/>
          <w:sz w:val="17"/>
          <w:szCs w:val="17"/>
          <w:b w:val="1"/>
          <w:bCs w:val="1"/>
          <w:color w:val="auto"/>
        </w:rPr>
        <w:t>Loans</w:t>
      </w:r>
      <w:r>
        <w:rPr>
          <w:rFonts w:ascii="Arial" w:cs="Arial" w:eastAsia="Arial" w:hAnsi="Arial"/>
          <w:sz w:val="17"/>
          <w:szCs w:val="17"/>
          <w:color w:val="auto"/>
        </w:rPr>
        <w:t>”; each Term A Loan or Term B Loan is hereinafter referred to singly as a “</w:t>
      </w:r>
      <w:r>
        <w:rPr>
          <w:rFonts w:ascii="Arial" w:cs="Arial" w:eastAsia="Arial" w:hAnsi="Arial"/>
          <w:sz w:val="17"/>
          <w:szCs w:val="17"/>
          <w:b w:val="1"/>
          <w:bCs w:val="1"/>
          <w:color w:val="auto"/>
        </w:rPr>
        <w:t>Term Loan</w:t>
      </w:r>
      <w:r>
        <w:rPr>
          <w:rFonts w:ascii="Arial" w:cs="Arial" w:eastAsia="Arial" w:hAnsi="Arial"/>
          <w:sz w:val="17"/>
          <w:szCs w:val="17"/>
          <w:color w:val="auto"/>
        </w:rPr>
        <w:t>” and the Term A Loans and the Term B Loans are hereinafter</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collectively as the “</w:t>
      </w:r>
      <w:r>
        <w:rPr>
          <w:rFonts w:ascii="Arial" w:cs="Arial" w:eastAsia="Arial" w:hAnsi="Arial"/>
          <w:sz w:val="17"/>
          <w:szCs w:val="17"/>
          <w:b w:val="1"/>
          <w:bCs w:val="1"/>
          <w:color w:val="auto"/>
        </w:rPr>
        <w:t>Term Loans</w:t>
      </w:r>
      <w:r>
        <w:rPr>
          <w:rFonts w:ascii="Arial" w:cs="Arial" w:eastAsia="Arial" w:hAnsi="Arial"/>
          <w:sz w:val="17"/>
          <w:szCs w:val="17"/>
          <w:color w:val="auto"/>
        </w:rPr>
        <w:t>”). After repayment, no Term B Loan may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7255"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0" w:name="page611"/>
    <w:bookmarkEnd w:id="610"/>
    <w:p>
      <w:pPr>
        <w:jc w:val="both"/>
        <w:ind w:firstLine="1300"/>
        <w:spacing w:after="0" w:line="273" w:lineRule="auto"/>
        <w:tabs>
          <w:tab w:leader="none" w:pos="1846" w:val="left"/>
        </w:tabs>
        <w:numPr>
          <w:ilvl w:val="1"/>
          <w:numId w:val="578"/>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xml:space="preserve"> Borrower shall make monthly payments of interest only commencing on the first (1</w:t>
      </w:r>
      <w:r>
        <w:rPr>
          <w:rFonts w:ascii="Arial" w:cs="Arial" w:eastAsia="Arial" w:hAnsi="Arial"/>
          <w:sz w:val="26"/>
          <w:szCs w:val="26"/>
          <w:color w:val="auto"/>
          <w:vertAlign w:val="superscript"/>
        </w:rPr>
        <w:t>st</w:t>
      </w:r>
      <w:r>
        <w:rPr>
          <w:rFonts w:ascii="Arial" w:cs="Arial" w:eastAsia="Arial" w:hAnsi="Arial"/>
          <w:sz w:val="16"/>
          <w:szCs w:val="16"/>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then outstanding, (2) the effective rate of interest, as determined in Section 2.3(a), and (3) a repayment schedule equal to thirty-six (36) months with respect to the Term A Loans (which shall be reduced to twenty-four (24) months upon the Funding Date of the Term B Loan) and twenty-four (24) months with respect to the Term B Loans. All unpaid principal and accrued and unpaid interest with respect to each Term Loan is due and payable in full on the Maturity Date. Each Term Loan may only be prepaid in accordance with Sections 2.2(c) and 2.2(d).</w:t>
      </w:r>
    </w:p>
    <w:p>
      <w:pPr>
        <w:spacing w:after="0" w:line="181" w:lineRule="exact"/>
        <w:rPr>
          <w:rFonts w:ascii="Arial" w:cs="Arial" w:eastAsia="Arial" w:hAnsi="Arial"/>
          <w:sz w:val="16"/>
          <w:szCs w:val="16"/>
          <w:color w:val="auto"/>
        </w:rPr>
      </w:pPr>
    </w:p>
    <w:p>
      <w:pPr>
        <w:jc w:val="both"/>
        <w:ind w:firstLine="1300"/>
        <w:spacing w:after="0" w:line="254" w:lineRule="auto"/>
        <w:tabs>
          <w:tab w:leader="none" w:pos="1890" w:val="left"/>
        </w:tabs>
        <w:numPr>
          <w:ilvl w:val="1"/>
          <w:numId w:val="57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left="1740" w:hanging="440"/>
        <w:spacing w:after="0"/>
        <w:tabs>
          <w:tab w:leader="none" w:pos="1740" w:val="left"/>
        </w:tabs>
        <w:numPr>
          <w:ilvl w:val="1"/>
          <w:numId w:val="578"/>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p>
    <w:p>
      <w:pPr>
        <w:spacing w:after="0" w:line="223" w:lineRule="exact"/>
        <w:rPr>
          <w:rFonts w:ascii="Arial" w:cs="Arial" w:eastAsia="Arial" w:hAnsi="Arial"/>
          <w:sz w:val="18"/>
          <w:szCs w:val="18"/>
          <w:color w:val="auto"/>
        </w:rPr>
      </w:pPr>
    </w:p>
    <w:p>
      <w:pPr>
        <w:jc w:val="both"/>
        <w:ind w:firstLine="1946"/>
        <w:spacing w:after="0" w:line="254" w:lineRule="auto"/>
        <w:tabs>
          <w:tab w:leader="none" w:pos="2411" w:val="left"/>
        </w:tabs>
        <w:numPr>
          <w:ilvl w:val="2"/>
          <w:numId w:val="578"/>
        </w:numPr>
        <w:rPr>
          <w:rFonts w:ascii="Arial" w:cs="Arial" w:eastAsia="Arial" w:hAnsi="Arial"/>
          <w:sz w:val="18"/>
          <w:szCs w:val="18"/>
          <w:color w:val="auto"/>
        </w:rPr>
      </w:pPr>
      <w:r>
        <w:rPr>
          <w:rFonts w:ascii="Arial" w:cs="Arial" w:eastAsia="Arial" w:hAnsi="Arial"/>
          <w:sz w:val="18"/>
          <w:szCs w:val="18"/>
          <w:color w:val="auto"/>
        </w:rPr>
        <w:t>Borrower shall have the option to prepay all, but not less than all, of the Term Loans advanced by the Lenders under this Agreement, provided Borrower (i) provides written notice to Collateral Agent of its election to prepay the Term Loans at least ten (10)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92" w:lineRule="exact"/>
        <w:rPr>
          <w:rFonts w:ascii="Arial" w:cs="Arial" w:eastAsia="Arial" w:hAnsi="Arial"/>
          <w:sz w:val="18"/>
          <w:szCs w:val="18"/>
          <w:color w:val="auto"/>
        </w:rPr>
      </w:pPr>
    </w:p>
    <w:p>
      <w:pPr>
        <w:jc w:val="both"/>
        <w:ind w:firstLine="1946"/>
        <w:spacing w:after="0" w:line="290" w:lineRule="auto"/>
        <w:tabs>
          <w:tab w:leader="none" w:pos="2399" w:val="left"/>
        </w:tabs>
        <w:numPr>
          <w:ilvl w:val="2"/>
          <w:numId w:val="578"/>
        </w:numPr>
        <w:rPr>
          <w:rFonts w:ascii="Arial" w:cs="Arial" w:eastAsia="Arial" w:hAnsi="Arial"/>
          <w:sz w:val="16"/>
          <w:szCs w:val="16"/>
          <w:color w:val="auto"/>
        </w:rPr>
      </w:pPr>
      <w:r>
        <w:rPr>
          <w:rFonts w:ascii="Arial" w:cs="Arial" w:eastAsia="Arial" w:hAnsi="Arial"/>
          <w:sz w:val="16"/>
          <w:szCs w:val="16"/>
          <w:color w:val="auto"/>
        </w:rPr>
        <w:t>Notwithstanding anything herein to the contrary, Borrower shall also have the option to prepay part of Term Loans advanced by the Lenders under this Agreement, provided Borrower (i) provides written notice to Collateral Agent of its election to prepay the Term Loans at least ten</w:t>
      </w:r>
    </w:p>
    <w:p>
      <w:pPr>
        <w:jc w:val="both"/>
        <w:ind w:firstLine="8"/>
        <w:spacing w:after="0" w:line="268" w:lineRule="auto"/>
        <w:tabs>
          <w:tab w:leader="none" w:pos="36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days prior to such prepayment, (ii) prepays such part of the Term Loans in a denomination that is a whole number multiple of One Million Dollars ($1,000,000.00), and (iii) pays to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applicable Final Payment, and (C) all other Obligations that are then due and payable, including Lenders’ Expenses and interest at the Default Rate with respect to any past due amounts, and (D) the applicable Prepayment Fee with respect to the portion of such Term Loans being prepaid. For the purposes of clarity, any partial prepayment shall be applied pro-rata to all outstanding amounts under each Term Loan, and shall be applied pro-rata within each Term Loan tranche to reduce amortization payments under Section 2.2(b) on a pro-rata basis.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11" w:name="page612"/>
    <w:bookmarkEnd w:id="611"/>
    <w:p>
      <w:pPr>
        <w:ind w:left="660"/>
        <w:spacing w:after="0"/>
        <w:tabs>
          <w:tab w:leader="none" w:pos="11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8" w:lineRule="exact"/>
        <w:rPr>
          <w:sz w:val="20"/>
          <w:szCs w:val="20"/>
          <w:color w:val="auto"/>
        </w:rPr>
      </w:pPr>
    </w:p>
    <w:p>
      <w:pPr>
        <w:jc w:val="both"/>
        <w:ind w:firstLine="1300"/>
        <w:spacing w:after="0" w:line="256" w:lineRule="auto"/>
        <w:tabs>
          <w:tab w:leader="none" w:pos="1742"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2.3(b), the principal amount outstanding under the Term Loans shall accrue interest at a floating per annum rate equal to the Basic Rate, determined by Collateral Agent on the Funding Date of the applicable Term Loan and then monthly thereafter,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jc w:val="both"/>
        <w:ind w:firstLine="1300"/>
        <w:spacing w:after="0" w:line="258" w:lineRule="auto"/>
        <w:tabs>
          <w:tab w:leader="none" w:pos="1739"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Immediately upon the occurrence and during the continuance of an Event of Default, Obligations shall accrue interest at a floating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720" w:hanging="420"/>
        <w:spacing w:after="0"/>
        <w:tabs>
          <w:tab w:leader="none" w:pos="1720" w:val="left"/>
        </w:tabs>
        <w:numPr>
          <w:ilvl w:val="0"/>
          <w:numId w:val="580"/>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xml:space="preserve"> Interest shall be computed on the basis of a three hundred sixty (360) day year, and the actual number of days elapsed.</w:t>
      </w:r>
    </w:p>
    <w:p>
      <w:pPr>
        <w:spacing w:after="0" w:line="246" w:lineRule="exact"/>
        <w:rPr>
          <w:rFonts w:ascii="Arial" w:cs="Arial" w:eastAsia="Arial" w:hAnsi="Arial"/>
          <w:sz w:val="16"/>
          <w:szCs w:val="16"/>
          <w:color w:val="auto"/>
        </w:rPr>
      </w:pPr>
    </w:p>
    <w:p>
      <w:pPr>
        <w:jc w:val="both"/>
        <w:ind w:right="20" w:firstLine="1300"/>
        <w:spacing w:after="0" w:line="262" w:lineRule="auto"/>
        <w:tabs>
          <w:tab w:leader="none" w:pos="1739"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xml:space="preserve">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3" w:lineRule="exact"/>
        <w:rPr>
          <w:rFonts w:ascii="Arial" w:cs="Arial" w:eastAsia="Arial" w:hAnsi="Arial"/>
          <w:sz w:val="18"/>
          <w:szCs w:val="18"/>
          <w:color w:val="auto"/>
        </w:rPr>
      </w:pPr>
    </w:p>
    <w:p>
      <w:pPr>
        <w:jc w:val="both"/>
        <w:ind w:firstLine="1300"/>
        <w:spacing w:after="0" w:line="271" w:lineRule="auto"/>
        <w:tabs>
          <w:tab w:leader="none" w:pos="1742" w:val="left"/>
        </w:tabs>
        <w:numPr>
          <w:ilvl w:val="0"/>
          <w:numId w:val="580"/>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12" w:name="page613"/>
    <w:bookmarkEnd w:id="612"/>
    <w:p>
      <w:pPr>
        <w:jc w:val="both"/>
        <w:ind w:firstLine="646"/>
        <w:spacing w:after="0" w:line="288" w:lineRule="auto"/>
        <w:rPr>
          <w:sz w:val="20"/>
          <w:szCs w:val="20"/>
          <w:color w:val="auto"/>
        </w:rPr>
      </w:pPr>
      <w:r>
        <w:rPr>
          <w:rFonts w:ascii="Arial" w:cs="Arial" w:eastAsia="Arial" w:hAnsi="Arial"/>
          <w:sz w:val="16"/>
          <w:szCs w:val="16"/>
          <w:b w:val="1"/>
          <w:bCs w:val="1"/>
          <w:color w:val="auto"/>
        </w:rPr>
        <w:t xml:space="preserve">2.4. Secured Promissory Notes. </w:t>
      </w:r>
      <w:r>
        <w:rPr>
          <w:rFonts w:ascii="Arial" w:cs="Arial" w:eastAsia="Arial" w:hAnsi="Arial"/>
          <w:sz w:val="16"/>
          <w:szCs w:val="16"/>
          <w:color w:val="auto"/>
        </w:rPr>
        <w:t>The Term Loans shall be evidenced by a Secured Promissory Note or Notes in the form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(each a “</w:t>
      </w:r>
      <w:r>
        <w:rPr>
          <w:rFonts w:ascii="Arial" w:cs="Arial" w:eastAsia="Arial" w:hAnsi="Arial"/>
          <w:sz w:val="16"/>
          <w:szCs w:val="16"/>
          <w:b w:val="1"/>
          <w:bCs w:val="1"/>
          <w:color w:val="auto"/>
        </w:rPr>
        <w:t>Secured Promissory Note</w:t>
      </w:r>
      <w:r>
        <w:rPr>
          <w:rFonts w:ascii="Arial" w:cs="Arial" w:eastAsia="Arial" w:hAnsi="Arial"/>
          <w:sz w:val="16"/>
          <w:szCs w:val="16"/>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Arial" w:cs="Arial" w:eastAsia="Arial" w:hAnsi="Arial"/>
          <w:sz w:val="16"/>
          <w:szCs w:val="16"/>
          <w:b w:val="1"/>
          <w:bCs w:val="1"/>
          <w:color w:val="auto"/>
        </w:rPr>
        <w:t>,</w:t>
      </w:r>
      <w:r>
        <w:rPr>
          <w:rFonts w:ascii="Arial" w:cs="Arial" w:eastAsia="Arial" w:hAnsi="Arial"/>
          <w:sz w:val="16"/>
          <w:szCs w:val="16"/>
          <w:color w:val="auto"/>
        </w:rPr>
        <w:t xml:space="preserve"> with an appropriate indemnity provision, Borrower shall issue, in lieu thereof, a replacement Secured Promissory Note in the same principal amount thereof and of like tenor.</w:t>
      </w:r>
    </w:p>
    <w:p>
      <w:pPr>
        <w:spacing w:after="0" w:line="16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Collateral Agent:</w:t>
      </w:r>
    </w:p>
    <w:p>
      <w:pPr>
        <w:spacing w:after="0" w:line="228" w:lineRule="exact"/>
        <w:rPr>
          <w:sz w:val="20"/>
          <w:szCs w:val="20"/>
          <w:color w:val="auto"/>
        </w:rPr>
      </w:pPr>
    </w:p>
    <w:p>
      <w:pPr>
        <w:ind w:firstLine="1300"/>
        <w:spacing w:after="0" w:line="276" w:lineRule="auto"/>
        <w:tabs>
          <w:tab w:leader="none" w:pos="1809"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A fully earned, non-refundable facility fee of Twenty-Five Thousand Dollars ($25,000.00) to be shared between the Lenders pursuant to their respective Commitment Percentages payable on the Effective Date;</w:t>
      </w:r>
    </w:p>
    <w:p>
      <w:pPr>
        <w:spacing w:after="0" w:line="169" w:lineRule="exact"/>
        <w:rPr>
          <w:rFonts w:ascii="Arial" w:cs="Arial" w:eastAsia="Arial" w:hAnsi="Arial"/>
          <w:sz w:val="18"/>
          <w:szCs w:val="18"/>
          <w:color w:val="auto"/>
        </w:rPr>
      </w:pPr>
    </w:p>
    <w:p>
      <w:pPr>
        <w:ind w:left="1800" w:hanging="500"/>
        <w:spacing w:after="0"/>
        <w:tabs>
          <w:tab w:leader="none" w:pos="1800" w:val="left"/>
        </w:tabs>
        <w:numPr>
          <w:ilvl w:val="0"/>
          <w:numId w:val="581"/>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xml:space="preserve"> The Final Payment, when due hereunder, to be shared between the Lenders in accordance with their respective Pro</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Rata Shares;</w:t>
      </w:r>
    </w:p>
    <w:p>
      <w:pPr>
        <w:spacing w:after="0" w:line="209" w:lineRule="exact"/>
        <w:rPr>
          <w:rFonts w:ascii="Arial" w:cs="Arial" w:eastAsia="Arial" w:hAnsi="Arial"/>
          <w:sz w:val="16"/>
          <w:szCs w:val="16"/>
          <w:color w:val="auto"/>
        </w:rPr>
      </w:pPr>
    </w:p>
    <w:p>
      <w:pPr>
        <w:ind w:firstLine="1300"/>
        <w:spacing w:after="0" w:line="276" w:lineRule="auto"/>
        <w:tabs>
          <w:tab w:leader="none" w:pos="1850"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xml:space="preserve"> The Prepayment Fee, if and when due hereunder, to be shared between the Lenders in accordance with their respective Pro Rata Shares; and</w:t>
      </w:r>
    </w:p>
    <w:p>
      <w:pPr>
        <w:spacing w:after="0" w:line="169" w:lineRule="exact"/>
        <w:rPr>
          <w:rFonts w:ascii="Arial" w:cs="Arial" w:eastAsia="Arial" w:hAnsi="Arial"/>
          <w:sz w:val="18"/>
          <w:szCs w:val="18"/>
          <w:color w:val="auto"/>
        </w:rPr>
      </w:pPr>
    </w:p>
    <w:p>
      <w:pPr>
        <w:jc w:val="both"/>
        <w:ind w:firstLine="1300"/>
        <w:spacing w:after="0" w:line="274" w:lineRule="auto"/>
        <w:tabs>
          <w:tab w:leader="none" w:pos="1766" w:val="left"/>
        </w:tabs>
        <w:numPr>
          <w:ilvl w:val="0"/>
          <w:numId w:val="581"/>
        </w:numPr>
        <w:rPr>
          <w:rFonts w:ascii="Arial" w:cs="Arial" w:eastAsia="Arial" w:hAnsi="Arial"/>
          <w:sz w:val="17"/>
          <w:szCs w:val="17"/>
          <w:color w:val="auto"/>
        </w:rPr>
      </w:pPr>
      <w:r>
        <w:rPr>
          <w:rFonts w:ascii="Arial" w:cs="Arial" w:eastAsia="Arial" w:hAnsi="Arial"/>
          <w:sz w:val="17"/>
          <w:szCs w:val="17"/>
          <w:u w:val="single" w:color="auto"/>
          <w:color w:val="auto"/>
        </w:rPr>
        <w:t>Lenders’ Expenses.</w:t>
      </w:r>
      <w:r>
        <w:rPr>
          <w:rFonts w:ascii="Arial" w:cs="Arial" w:eastAsia="Arial" w:hAnsi="Arial"/>
          <w:sz w:val="17"/>
          <w:szCs w:val="17"/>
          <w:color w:val="auto"/>
        </w:rPr>
        <w:t xml:space="preserve"> All Lenders’ Expenses (including reasonable attorneys’ fees and expenses for documentation and negotiation of this Agreement) incurred through and after the Effective Date, when due; provided, however, Lenders hereby acknowledge receipt of a good faith deposit in the amount of Twenty-Five Thousand Dollars ($25,000.00), which shall be applied to the foregoing Lender’s Expenses on the Effective Date; provided, further, for the purposes of clarity, Borrower shall be responsible for all Lenders’ Expenses incurred through and after the Effective Date and that the aforementioned amount of Twenty-Five Thousand Dollars ($25,000.00) does not represent a limit of Lenders’ Expenses.</w:t>
      </w:r>
    </w:p>
    <w:p>
      <w:pPr>
        <w:spacing w:after="0" w:line="172"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 xml:space="preserve">2.6. Withholding. </w:t>
      </w:r>
      <w:r>
        <w:rPr>
          <w:rFonts w:ascii="Arial" w:cs="Arial" w:eastAsia="Arial" w:hAnsi="Arial"/>
          <w:sz w:val="16"/>
          <w:szCs w:val="16"/>
          <w:color w:val="auto"/>
        </w:rPr>
        <w:t>Payments received by the Lenders from Borrower hereunder will be made free and clear of and without deduction for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3" w:name="page614"/>
    <w:bookmarkEnd w:id="613"/>
    <w:p>
      <w:pPr>
        <w:ind w:left="660" w:hanging="652"/>
        <w:spacing w:after="0"/>
        <w:tabs>
          <w:tab w:leader="none" w:pos="66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A Loan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720" w:hanging="420"/>
        <w:spacing w:after="0"/>
        <w:tabs>
          <w:tab w:leader="none" w:pos="172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duly executed original Control Agreements with respect to any Collateral Accounts maintained by Borrower or any of its Subsidiaries;</w:t>
      </w:r>
    </w:p>
    <w:p>
      <w:pPr>
        <w:spacing w:after="0" w:line="246" w:lineRule="exact"/>
        <w:rPr>
          <w:rFonts w:ascii="Arial" w:cs="Arial" w:eastAsia="Arial" w:hAnsi="Arial"/>
          <w:sz w:val="16"/>
          <w:szCs w:val="16"/>
          <w:color w:val="auto"/>
        </w:rPr>
      </w:pPr>
    </w:p>
    <w:p>
      <w:pPr>
        <w:ind w:left="1720" w:hanging="420"/>
        <w:spacing w:after="0"/>
        <w:tabs>
          <w:tab w:leader="none" w:pos="1720" w:val="left"/>
        </w:tabs>
        <w:numPr>
          <w:ilvl w:val="0"/>
          <w:numId w:val="583"/>
        </w:numPr>
        <w:rPr>
          <w:rFonts w:ascii="Arial" w:cs="Arial" w:eastAsia="Arial" w:hAnsi="Arial"/>
          <w:sz w:val="17"/>
          <w:szCs w:val="17"/>
          <w:color w:val="auto"/>
        </w:rPr>
      </w:pPr>
      <w:r>
        <w:rPr>
          <w:rFonts w:ascii="Arial" w:cs="Arial" w:eastAsia="Arial" w:hAnsi="Arial"/>
          <w:sz w:val="17"/>
          <w:szCs w:val="17"/>
          <w:color w:val="auto"/>
        </w:rPr>
        <w:t>duly executed original Secured Promissory Notes in favor of each Lender according to its Term A Loan Commitment Percentage;</w:t>
      </w:r>
    </w:p>
    <w:p>
      <w:pPr>
        <w:spacing w:after="0" w:line="235" w:lineRule="exact"/>
        <w:rPr>
          <w:rFonts w:ascii="Arial" w:cs="Arial" w:eastAsia="Arial" w:hAnsi="Arial"/>
          <w:sz w:val="17"/>
          <w:szCs w:val="17"/>
          <w:color w:val="auto"/>
        </w:rPr>
      </w:pPr>
    </w:p>
    <w:p>
      <w:pPr>
        <w:jc w:val="both"/>
        <w:ind w:firstLine="1300"/>
        <w:spacing w:after="0" w:line="262" w:lineRule="auto"/>
        <w:tabs>
          <w:tab w:leader="none" w:pos="1851"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1720" w:hanging="420"/>
        <w:spacing w:after="0"/>
        <w:tabs>
          <w:tab w:leader="none" w:pos="172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3" w:lineRule="exact"/>
        <w:rPr>
          <w:rFonts w:ascii="Arial" w:cs="Arial" w:eastAsia="Arial" w:hAnsi="Arial"/>
          <w:sz w:val="18"/>
          <w:szCs w:val="18"/>
          <w:color w:val="auto"/>
        </w:rPr>
      </w:pPr>
    </w:p>
    <w:p>
      <w:pPr>
        <w:ind w:left="1700" w:hanging="400"/>
        <w:spacing w:after="0"/>
        <w:tabs>
          <w:tab w:leader="none" w:pos="170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3" w:lineRule="exact"/>
        <w:rPr>
          <w:rFonts w:ascii="Arial" w:cs="Arial" w:eastAsia="Arial" w:hAnsi="Arial"/>
          <w:sz w:val="18"/>
          <w:szCs w:val="18"/>
          <w:color w:val="auto"/>
        </w:rPr>
      </w:pPr>
    </w:p>
    <w:p>
      <w:pPr>
        <w:ind w:firstLine="1300"/>
        <w:spacing w:after="0" w:line="276" w:lineRule="auto"/>
        <w:tabs>
          <w:tab w:leader="none" w:pos="1868" w:val="left"/>
        </w:tabs>
        <w:numPr>
          <w:ilvl w:val="0"/>
          <w:numId w:val="583"/>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69" w:lineRule="exact"/>
        <w:rPr>
          <w:rFonts w:ascii="Arial" w:cs="Arial" w:eastAsia="Arial" w:hAnsi="Arial"/>
          <w:sz w:val="18"/>
          <w:szCs w:val="18"/>
          <w:color w:val="auto"/>
        </w:rPr>
      </w:pPr>
    </w:p>
    <w:p>
      <w:pPr>
        <w:jc w:val="both"/>
        <w:ind w:firstLine="1300"/>
        <w:spacing w:after="0" w:line="285" w:lineRule="auto"/>
        <w:tabs>
          <w:tab w:leader="none" w:pos="1847" w:val="left"/>
        </w:tabs>
        <w:numPr>
          <w:ilvl w:val="0"/>
          <w:numId w:val="583"/>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14" w:name="page615"/>
    <w:bookmarkEnd w:id="614"/>
    <w:p>
      <w:pPr>
        <w:jc w:val="both"/>
        <w:ind w:firstLine="1300"/>
        <w:spacing w:after="0" w:line="258" w:lineRule="auto"/>
        <w:tabs>
          <w:tab w:leader="none" w:pos="1787"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and each Subsidiaries’ leased locations (provided, however, for the avoidance of doubt, no landlord consent shall be required for Borrower’s location in El Prado, New Mexico on the Effective Date, and no bailee waiver shall be required for property at Lonza in Houston, Texas on the Effective Date); provided, however, the aggregate book value of the assets maintained at each such location does not exceed $250,000.00;</w:t>
      </w:r>
    </w:p>
    <w:p>
      <w:pPr>
        <w:spacing w:after="0" w:line="186" w:lineRule="exact"/>
        <w:rPr>
          <w:rFonts w:ascii="Arial" w:cs="Arial" w:eastAsia="Arial" w:hAnsi="Arial"/>
          <w:sz w:val="18"/>
          <w:szCs w:val="18"/>
          <w:color w:val="auto"/>
        </w:rPr>
      </w:pPr>
    </w:p>
    <w:p>
      <w:pPr>
        <w:ind w:left="1700" w:hanging="400"/>
        <w:spacing w:after="0"/>
        <w:tabs>
          <w:tab w:leader="none" w:pos="17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3" w:lineRule="exact"/>
        <w:rPr>
          <w:rFonts w:ascii="Arial" w:cs="Arial" w:eastAsia="Arial" w:hAnsi="Arial"/>
          <w:sz w:val="18"/>
          <w:szCs w:val="18"/>
          <w:color w:val="auto"/>
        </w:rPr>
      </w:pPr>
    </w:p>
    <w:p>
      <w:pPr>
        <w:jc w:val="both"/>
        <w:ind w:firstLine="1300"/>
        <w:spacing w:after="0" w:line="262" w:lineRule="auto"/>
        <w:tabs>
          <w:tab w:leader="none" w:pos="1779" w:val="left"/>
        </w:tabs>
        <w:numPr>
          <w:ilvl w:val="0"/>
          <w:numId w:val="584"/>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3" w:lineRule="exact"/>
        <w:rPr>
          <w:rFonts w:ascii="Arial" w:cs="Arial" w:eastAsia="Arial" w:hAnsi="Arial"/>
          <w:sz w:val="18"/>
          <w:szCs w:val="18"/>
          <w:color w:val="auto"/>
        </w:rPr>
      </w:pPr>
    </w:p>
    <w:p>
      <w:pPr>
        <w:ind w:left="1700" w:hanging="400"/>
        <w:spacing w:after="0"/>
        <w:tabs>
          <w:tab w:leader="none" w:pos="1700" w:val="left"/>
        </w:tabs>
        <w:numPr>
          <w:ilvl w:val="0"/>
          <w:numId w:val="584"/>
        </w:numPr>
        <w:rPr>
          <w:rFonts w:ascii="Arial" w:cs="Arial" w:eastAsia="Arial" w:hAnsi="Arial"/>
          <w:sz w:val="17"/>
          <w:szCs w:val="17"/>
          <w:color w:val="auto"/>
        </w:rPr>
      </w:pPr>
      <w:r>
        <w:rPr>
          <w:rFonts w:ascii="Arial" w:cs="Arial" w:eastAsia="Arial" w:hAnsi="Arial"/>
          <w:sz w:val="17"/>
          <w:szCs w:val="17"/>
          <w:color w:val="auto"/>
        </w:rPr>
        <w:t>a copy of any applicable Registration Rights Agreement or Investors’ Rights Agreement, along with any amendments thereto;</w:t>
      </w:r>
    </w:p>
    <w:p>
      <w:pPr>
        <w:spacing w:after="0" w:line="235" w:lineRule="exact"/>
        <w:rPr>
          <w:rFonts w:ascii="Arial" w:cs="Arial" w:eastAsia="Arial" w:hAnsi="Arial"/>
          <w:sz w:val="17"/>
          <w:szCs w:val="17"/>
          <w:color w:val="auto"/>
        </w:rPr>
      </w:pPr>
    </w:p>
    <w:p>
      <w:pPr>
        <w:ind w:left="1780" w:hanging="480"/>
        <w:spacing w:after="0"/>
        <w:tabs>
          <w:tab w:leader="none" w:pos="178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 subordination agreement, duly executed by each holder of Subordinated Debt; and</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0" w:lineRule="exact"/>
        <w:rPr>
          <w:sz w:val="20"/>
          <w:szCs w:val="20"/>
          <w:color w:val="auto"/>
        </w:rPr>
      </w:pPr>
    </w:p>
    <w:p>
      <w:pPr>
        <w:ind w:firstLine="646"/>
        <w:spacing w:after="0" w:line="280"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7" w:lineRule="exact"/>
        <w:rPr>
          <w:sz w:val="20"/>
          <w:szCs w:val="20"/>
          <w:color w:val="auto"/>
        </w:rPr>
      </w:pPr>
    </w:p>
    <w:p>
      <w:pPr>
        <w:ind w:left="1720" w:hanging="420"/>
        <w:spacing w:after="0"/>
        <w:tabs>
          <w:tab w:leader="none" w:pos="172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Disbursement Letter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23" w:lineRule="exact"/>
        <w:rPr>
          <w:rFonts w:ascii="Arial" w:cs="Arial" w:eastAsia="Arial" w:hAnsi="Arial"/>
          <w:sz w:val="18"/>
          <w:szCs w:val="18"/>
          <w:color w:val="auto"/>
        </w:rPr>
      </w:pPr>
    </w:p>
    <w:p>
      <w:pPr>
        <w:jc w:val="both"/>
        <w:ind w:firstLine="1300"/>
        <w:spacing w:after="0" w:line="289" w:lineRule="auto"/>
        <w:tabs>
          <w:tab w:leader="none" w:pos="1775" w:val="left"/>
        </w:tabs>
        <w:numPr>
          <w:ilvl w:val="0"/>
          <w:numId w:val="585"/>
        </w:numPr>
        <w:rPr>
          <w:rFonts w:ascii="Arial" w:cs="Arial" w:eastAsia="Arial" w:hAnsi="Arial"/>
          <w:sz w:val="16"/>
          <w:szCs w:val="16"/>
          <w:color w:val="auto"/>
        </w:rPr>
      </w:pPr>
      <w:r>
        <w:rPr>
          <w:rFonts w:ascii="Arial" w:cs="Arial" w:eastAsia="Arial" w:hAnsi="Arial"/>
          <w:sz w:val="16"/>
          <w:szCs w:val="16"/>
          <w:color w:val="auto"/>
        </w:rPr>
        <w:t>the representations and warranties in Section 5 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65" w:lineRule="exact"/>
        <w:rPr>
          <w:rFonts w:ascii="Arial" w:cs="Arial" w:eastAsia="Arial" w:hAnsi="Arial"/>
          <w:sz w:val="16"/>
          <w:szCs w:val="16"/>
          <w:color w:val="auto"/>
        </w:rPr>
      </w:pPr>
    </w:p>
    <w:p>
      <w:pPr>
        <w:ind w:firstLine="1300"/>
        <w:spacing w:after="0" w:line="276" w:lineRule="auto"/>
        <w:tabs>
          <w:tab w:leader="none" w:pos="172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in such Lender’s sole and reasonable discretion, there has not been any Material Adverse Change or any material adverse deviation by Borrower from the Annual Projections of Borrower presented to and accepted by Collateral Agent and each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15" w:name="page616"/>
    <w:bookmarkEnd w:id="615"/>
    <w:p>
      <w:pPr>
        <w:jc w:val="both"/>
        <w:ind w:firstLine="1300"/>
        <w:spacing w:after="0" w:line="262" w:lineRule="auto"/>
        <w:tabs>
          <w:tab w:leader="none" w:pos="1744" w:val="left"/>
        </w:tabs>
        <w:numPr>
          <w:ilvl w:val="0"/>
          <w:numId w:val="586"/>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83" w:lineRule="exact"/>
        <w:rPr>
          <w:rFonts w:ascii="Arial" w:cs="Arial" w:eastAsia="Arial" w:hAnsi="Arial"/>
          <w:sz w:val="18"/>
          <w:szCs w:val="18"/>
          <w:color w:val="auto"/>
        </w:rPr>
      </w:pPr>
    </w:p>
    <w:p>
      <w:pPr>
        <w:ind w:left="1720" w:hanging="420"/>
        <w:spacing w:after="0"/>
        <w:tabs>
          <w:tab w:leader="none" w:pos="17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4" w:lineRule="exact"/>
        <w:rPr>
          <w:sz w:val="20"/>
          <w:szCs w:val="20"/>
          <w:color w:val="auto"/>
        </w:rPr>
      </w:pPr>
    </w:p>
    <w:p>
      <w:pPr>
        <w:jc w:val="both"/>
        <w:ind w:firstLine="646"/>
        <w:spacing w:after="0" w:line="293" w:lineRule="auto"/>
        <w:rPr>
          <w:sz w:val="20"/>
          <w:szCs w:val="20"/>
          <w:color w:val="auto"/>
        </w:rPr>
      </w:pPr>
      <w:r>
        <w:rPr>
          <w:rFonts w:ascii="Arial" w:cs="Arial" w:eastAsia="Arial" w:hAnsi="Arial"/>
          <w:sz w:val="16"/>
          <w:szCs w:val="16"/>
          <w:b w:val="1"/>
          <w:bCs w:val="1"/>
          <w:color w:val="auto"/>
        </w:rPr>
        <w:t xml:space="preserve">3.4. Procedures for Borrowing. </w:t>
      </w:r>
      <w:r>
        <w:rPr>
          <w:rFonts w:ascii="Arial" w:cs="Arial" w:eastAsia="Arial" w:hAnsi="Arial"/>
          <w:sz w:val="16"/>
          <w:szCs w:val="16"/>
          <w:color w:val="auto"/>
        </w:rPr>
        <w:t>Subject to the prior satisfaction of all other applicable conditions to the making of a Term Loan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obtain a Term Loan, Borrower shall notify the Lenders (which notice shall be irrevocable) by electronic mail, facsimile, or telephone by 12:00 noon Eastern time three (3) Business Days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60" w:lineRule="exact"/>
        <w:rPr>
          <w:sz w:val="20"/>
          <w:szCs w:val="20"/>
          <w:color w:val="auto"/>
        </w:rPr>
      </w:pPr>
    </w:p>
    <w:p>
      <w:pPr>
        <w:ind w:left="660" w:hanging="652"/>
        <w:spacing w:after="0"/>
        <w:tabs>
          <w:tab w:leader="none" w:pos="66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4"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Collateral Agent, for the ratable benefit of the Lenders,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in excess of $15,000,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8" w:lineRule="exact"/>
        <w:rPr>
          <w:sz w:val="20"/>
          <w:szCs w:val="20"/>
          <w:color w:val="auto"/>
        </w:rPr>
      </w:pPr>
    </w:p>
    <w:p>
      <w:pPr>
        <w:jc w:val="both"/>
        <w:ind w:firstLine="646"/>
        <w:spacing w:after="0" w:line="258"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promptly, at the sole cost and expense of Borrower, release its Liens in the Collateral and all rights therein shall revert to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16" w:name="page617"/>
    <w:bookmarkEnd w:id="616"/>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4.2. Authorization to File Financing Statements. </w:t>
      </w:r>
      <w:r>
        <w:rPr>
          <w:rFonts w:ascii="Arial" w:cs="Arial" w:eastAsia="Arial" w:hAnsi="Arial"/>
          <w:sz w:val="17"/>
          <w:szCs w:val="17"/>
          <w:color w:val="auto"/>
        </w:rPr>
        <w:t>Borrower hereby authorizes Collateral Agent to file financing statements or take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64"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4.3. Pledge of Collateral. </w:t>
      </w:r>
      <w:r>
        <w:rPr>
          <w:rFonts w:ascii="Arial" w:cs="Arial" w:eastAsia="Arial" w:hAnsi="Arial"/>
          <w:sz w:val="17"/>
          <w:szCs w:val="17"/>
          <w:color w:val="auto"/>
        </w:rPr>
        <w:t>Borrower hereby pledges, assigns and grants to Collateral Agent, for the ratable benefit of the Lenders,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all the Shares, if any,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17" w:name="page618"/>
    <w:bookmarkEnd w:id="617"/>
    <w:p>
      <w:pPr>
        <w:ind w:left="660" w:hanging="652"/>
        <w:spacing w:after="0"/>
        <w:tabs>
          <w:tab w:leader="none" w:pos="66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0"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in all material respects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79" w:lineRule="exact"/>
        <w:rPr>
          <w:sz w:val="20"/>
          <w:szCs w:val="20"/>
          <w:color w:val="auto"/>
        </w:rPr>
      </w:pPr>
    </w:p>
    <w:p>
      <w:pPr>
        <w:jc w:val="both"/>
        <w:ind w:firstLine="646"/>
        <w:spacing w:after="0" w:line="269" w:lineRule="auto"/>
        <w:rPr>
          <w:sz w:val="20"/>
          <w:szCs w:val="20"/>
          <w:color w:val="auto"/>
        </w:rPr>
      </w:pPr>
      <w:r>
        <w:rPr>
          <w:rFonts w:ascii="Arial" w:cs="Arial" w:eastAsia="Arial" w:hAnsi="Arial"/>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p>
    <w:p>
      <w:pPr>
        <w:spacing w:after="0" w:line="228" w:lineRule="exact"/>
        <w:rPr>
          <w:sz w:val="20"/>
          <w:szCs w:val="20"/>
          <w:color w:val="auto"/>
        </w:rPr>
      </w:pPr>
    </w:p>
    <w:p>
      <w:pPr>
        <w:jc w:val="both"/>
        <w:ind w:firstLine="1300"/>
        <w:spacing w:after="0" w:line="271" w:lineRule="auto"/>
        <w:tabs>
          <w:tab w:leader="none" w:pos="1787" w:val="left"/>
        </w:tabs>
        <w:numPr>
          <w:ilvl w:val="0"/>
          <w:numId w:val="589"/>
        </w:numPr>
        <w:rPr>
          <w:rFonts w:ascii="Arial" w:cs="Arial" w:eastAsia="Arial" w:hAnsi="Arial"/>
          <w:sz w:val="17"/>
          <w:szCs w:val="17"/>
          <w:color w:val="auto"/>
        </w:rPr>
      </w:pPr>
      <w:r>
        <w:rPr>
          <w:rFonts w:ascii="Arial" w:cs="Arial" w:eastAsia="Arial" w:hAnsi="Arial"/>
          <w:sz w:val="17"/>
          <w:szCs w:val="17"/>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(as the same may be updated from time to time, provided that any such updates shall be in form and substance acceptable to Collateral Agent in its sole discretion),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618" w:name="page619"/>
    <w:bookmarkEnd w:id="618"/>
    <w:p>
      <w:pPr>
        <w:jc w:val="both"/>
        <w:ind w:firstLine="1300"/>
        <w:spacing w:after="0" w:line="300" w:lineRule="auto"/>
        <w:tabs>
          <w:tab w:leader="none" w:pos="1735" w:val="left"/>
        </w:tabs>
        <w:numPr>
          <w:ilvl w:val="0"/>
          <w:numId w:val="590"/>
        </w:numPr>
        <w:rPr>
          <w:rFonts w:ascii="Arial" w:cs="Arial" w:eastAsia="Arial" w:hAnsi="Arial"/>
          <w:sz w:val="16"/>
          <w:szCs w:val="16"/>
          <w:color w:val="auto"/>
        </w:rPr>
      </w:pPr>
      <w:r>
        <w:rPr>
          <w:rFonts w:ascii="Arial" w:cs="Arial" w:eastAsia="Arial" w:hAnsi="Arial"/>
          <w:sz w:val="16"/>
          <w:szCs w:val="16"/>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valued in excess of One Hundred Thousand Dollars ($100,000.00) in the aggregate at any given time shall be maintained at a location other than as disclosed in the Perfection Certificate on the Effective Date or as permitted pursuant to Section 6.11.</w:t>
      </w:r>
    </w:p>
    <w:p>
      <w:pPr>
        <w:spacing w:after="0" w:line="156" w:lineRule="exact"/>
        <w:rPr>
          <w:rFonts w:ascii="Arial" w:cs="Arial" w:eastAsia="Arial" w:hAnsi="Arial"/>
          <w:sz w:val="16"/>
          <w:szCs w:val="16"/>
          <w:color w:val="auto"/>
        </w:rPr>
      </w:pPr>
    </w:p>
    <w:p>
      <w:pPr>
        <w:ind w:left="1720" w:hanging="420"/>
        <w:spacing w:after="0"/>
        <w:tabs>
          <w:tab w:leader="none" w:pos="172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3" w:lineRule="exact"/>
        <w:rPr>
          <w:rFonts w:ascii="Arial" w:cs="Arial" w:eastAsia="Arial" w:hAnsi="Arial"/>
          <w:sz w:val="18"/>
          <w:szCs w:val="18"/>
          <w:color w:val="auto"/>
        </w:rPr>
      </w:pPr>
    </w:p>
    <w:p>
      <w:pPr>
        <w:jc w:val="both"/>
        <w:ind w:firstLine="1300"/>
        <w:spacing w:after="0" w:line="253" w:lineRule="auto"/>
        <w:tabs>
          <w:tab w:leader="none" w:pos="1730" w:val="left"/>
        </w:tabs>
        <w:numPr>
          <w:ilvl w:val="0"/>
          <w:numId w:val="590"/>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twenty (20) days of Borrower or any of its Subsidiaries entering into or becoming bound by any material license or material agreement with respect to which Borrower or any Subsidiary is the licensee (other than over-the-counter software that is commercially available to the public).</w:t>
      </w:r>
    </w:p>
    <w:p>
      <w:pPr>
        <w:spacing w:after="0" w:line="188"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Fifty Thousand Dollars ($150,000.00).</w:t>
      </w:r>
    </w:p>
    <w:p>
      <w:pPr>
        <w:spacing w:after="0" w:line="176"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5.4. No Material Deterioration in Financial Condition; Financial Statements. </w:t>
      </w:r>
      <w:r>
        <w:rPr>
          <w:rFonts w:ascii="Arial" w:cs="Arial" w:eastAsia="Arial" w:hAnsi="Arial"/>
          <w:sz w:val="17"/>
          <w:szCs w:val="17"/>
          <w:color w:val="auto"/>
        </w:rPr>
        <w:t>All consolidated financial statements for Borrower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delivered to Collateral Agent fairly present, in conformity with GAAP, in all material respects the consolidated financial condition of Borrower and its Subsidiaries, and the consolidated results of operations of Borrower and its Subsidiaries as of the dates thereof and for the periods covered thereby. Lender understands that interim financial statements may not be audited and may be subject to ordinary course year-end adjustments, such as, for the sake of example only, changes in the fair market value of warrants. Lender therefore understands and agrees that such financial statements are therefore considered to be in draft form and subject to adjustment. There has not been any material deterioration in the consolidated financial condition of Borrower and its Subsidiaries since the date of the most recent financial statements submitted to any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19" w:name="page620"/>
    <w:bookmarkEnd w:id="619"/>
    <w:p>
      <w:pPr>
        <w:ind w:left="660"/>
        <w:spacing w:after="0"/>
        <w:tabs>
          <w:tab w:leader="none" w:pos="11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and each of its Subsidiaries is Solvent.</w:t>
      </w:r>
    </w:p>
    <w:p>
      <w:pPr>
        <w:spacing w:after="0" w:line="224" w:lineRule="exact"/>
        <w:rPr>
          <w:sz w:val="20"/>
          <w:szCs w:val="20"/>
          <w:color w:val="auto"/>
        </w:rPr>
      </w:pPr>
    </w:p>
    <w:p>
      <w:pPr>
        <w:jc w:val="both"/>
        <w:ind w:firstLine="646"/>
        <w:spacing w:after="0" w:line="252" w:lineRule="auto"/>
        <w:rPr>
          <w:sz w:val="20"/>
          <w:szCs w:val="20"/>
          <w:color w:val="auto"/>
        </w:rPr>
      </w:pPr>
      <w:r>
        <w:rPr>
          <w:rFonts w:ascii="Arial" w:cs="Arial" w:eastAsia="Arial" w:hAnsi="Arial"/>
          <w:sz w:val="18"/>
          <w:szCs w:val="18"/>
          <w:b w:val="1"/>
          <w:bCs w:val="1"/>
          <w:color w:val="auto"/>
        </w:rPr>
        <w:t xml:space="preserve">5.6. Regulatory Compliance. </w:t>
      </w:r>
      <w:r>
        <w:rPr>
          <w:rFonts w:ascii="Arial" w:cs="Arial" w:eastAsia="Arial" w:hAnsi="Arial"/>
          <w:sz w:val="18"/>
          <w:szCs w:val="18"/>
          <w:color w:val="auto"/>
        </w:rPr>
        <w:t>Neither Borrower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jc w:val="both"/>
        <w:ind w:firstLine="646"/>
        <w:spacing w:after="0" w:line="253"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3"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color w:val="auto"/>
        </w:rPr>
        <w:t>Tax Returns and Payments; Pension Contributions. Borrower and each of its Subsidiaries has timely filed, or have timely obtained extensions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filing, all required tax returns and reports, and Borrower and each of its Subsidiaries, has timely paid or filed extensions for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0" w:name="page621"/>
    <w:bookmarkEnd w:id="620"/>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5.9. Use of Proceeds. </w:t>
      </w:r>
      <w:r>
        <w:rPr>
          <w:rFonts w:ascii="Arial" w:cs="Arial" w:eastAsia="Arial" w:hAnsi="Arial"/>
          <w:sz w:val="18"/>
          <w:szCs w:val="18"/>
          <w:color w:val="auto"/>
        </w:rPr>
        <w:t>Borrower shall use the proceeds of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in accordance with the provisions of this Agreement, and not for personal, family, household or agricultural purposes.</w:t>
      </w:r>
    </w:p>
    <w:p>
      <w:pPr>
        <w:spacing w:after="0" w:line="163" w:lineRule="exact"/>
        <w:rPr>
          <w:sz w:val="20"/>
          <w:szCs w:val="20"/>
          <w:color w:val="auto"/>
        </w:rPr>
      </w:pPr>
    </w:p>
    <w:p>
      <w:pPr>
        <w:jc w:val="both"/>
        <w:ind w:firstLine="646"/>
        <w:spacing w:after="0" w:line="297"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Borrower has full power and authority to create a first lien on the Shares and no disability or contractual obligation exists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54" w:lineRule="exact"/>
        <w:rPr>
          <w:sz w:val="20"/>
          <w:szCs w:val="20"/>
          <w:color w:val="auto"/>
        </w:rPr>
      </w:pPr>
    </w:p>
    <w:p>
      <w:pPr>
        <w:jc w:val="both"/>
        <w:ind w:firstLine="646"/>
        <w:spacing w:after="0" w:line="273"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5.12.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the Responsible Officers.</w:t>
      </w:r>
    </w:p>
    <w:p>
      <w:pPr>
        <w:spacing w:after="0" w:line="176" w:lineRule="exact"/>
        <w:rPr>
          <w:sz w:val="20"/>
          <w:szCs w:val="20"/>
          <w:color w:val="auto"/>
        </w:rPr>
      </w:pPr>
    </w:p>
    <w:p>
      <w:pPr>
        <w:ind w:left="660" w:hanging="652"/>
        <w:spacing w:after="0"/>
        <w:tabs>
          <w:tab w:leader="none" w:pos="66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1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p>
    <w:p>
      <w:pPr>
        <w:spacing w:after="0" w:line="227" w:lineRule="exact"/>
        <w:rPr>
          <w:rFonts w:ascii="Arial" w:cs="Arial" w:eastAsia="Arial" w:hAnsi="Arial"/>
          <w:sz w:val="18"/>
          <w:szCs w:val="18"/>
          <w:b w:val="1"/>
          <w:bCs w:val="1"/>
          <w:color w:val="auto"/>
        </w:rPr>
      </w:pPr>
    </w:p>
    <w:p>
      <w:pPr>
        <w:jc w:val="both"/>
        <w:ind w:firstLine="1300"/>
        <w:spacing w:after="0" w:line="258" w:lineRule="auto"/>
        <w:tabs>
          <w:tab w:leader="none" w:pos="1769" w:val="left"/>
        </w:tabs>
        <w:numPr>
          <w:ilvl w:val="1"/>
          <w:numId w:val="591"/>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1" w:name="page622"/>
    <w:bookmarkEnd w:id="621"/>
    <w:p>
      <w:pPr>
        <w:jc w:val="both"/>
        <w:ind w:firstLine="1300"/>
        <w:spacing w:after="0" w:line="258" w:lineRule="auto"/>
        <w:tabs>
          <w:tab w:leader="none" w:pos="1758" w:val="left"/>
        </w:tabs>
        <w:numPr>
          <w:ilvl w:val="0"/>
          <w:numId w:val="592"/>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w:t>
      </w:r>
    </w:p>
    <w:p>
      <w:pPr>
        <w:spacing w:after="0" w:line="228" w:lineRule="exact"/>
        <w:rPr>
          <w:sz w:val="20"/>
          <w:szCs w:val="20"/>
          <w:color w:val="auto"/>
        </w:rPr>
      </w:pPr>
    </w:p>
    <w:p>
      <w:pPr>
        <w:ind w:left="1720" w:hanging="420"/>
        <w:spacing w:after="0"/>
        <w:tabs>
          <w:tab w:leader="none" w:pos="1720" w:val="left"/>
        </w:tabs>
        <w:numPr>
          <w:ilvl w:val="1"/>
          <w:numId w:val="593"/>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3" w:lineRule="exact"/>
        <w:rPr>
          <w:rFonts w:ascii="Arial" w:cs="Arial" w:eastAsia="Arial" w:hAnsi="Arial"/>
          <w:sz w:val="18"/>
          <w:szCs w:val="18"/>
          <w:color w:val="auto"/>
        </w:rPr>
      </w:pPr>
    </w:p>
    <w:p>
      <w:pPr>
        <w:jc w:val="both"/>
        <w:ind w:firstLine="1946"/>
        <w:spacing w:after="0" w:line="262" w:lineRule="auto"/>
        <w:tabs>
          <w:tab w:leader="none" w:pos="2357" w:val="left"/>
        </w:tabs>
        <w:numPr>
          <w:ilvl w:val="2"/>
          <w:numId w:val="593"/>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3" w:lineRule="exact"/>
        <w:rPr>
          <w:rFonts w:ascii="Arial" w:cs="Arial" w:eastAsia="Arial" w:hAnsi="Arial"/>
          <w:sz w:val="18"/>
          <w:szCs w:val="18"/>
          <w:color w:val="auto"/>
        </w:rPr>
      </w:pPr>
    </w:p>
    <w:p>
      <w:pPr>
        <w:ind w:left="2400" w:hanging="454"/>
        <w:spacing w:after="0"/>
        <w:tabs>
          <w:tab w:leader="none" w:pos="2400" w:val="left"/>
        </w:tabs>
        <w:numPr>
          <w:ilvl w:val="2"/>
          <w:numId w:val="593"/>
        </w:numPr>
        <w:rPr>
          <w:rFonts w:ascii="Arial" w:cs="Arial" w:eastAsia="Arial" w:hAnsi="Arial"/>
          <w:sz w:val="16"/>
          <w:szCs w:val="16"/>
          <w:color w:val="auto"/>
        </w:rPr>
      </w:pPr>
      <w:r>
        <w:rPr>
          <w:rFonts w:ascii="Arial" w:cs="Arial" w:eastAsia="Arial" w:hAnsi="Arial"/>
          <w:sz w:val="16"/>
          <w:szCs w:val="16"/>
          <w:color w:val="auto"/>
        </w:rPr>
        <w:t>as soon as available, but no later than one hundred eighty (180) days after the last day of Borrower’s fiscal year or within five</w:t>
      </w:r>
    </w:p>
    <w:p>
      <w:pPr>
        <w:spacing w:after="0" w:line="45" w:lineRule="exact"/>
        <w:rPr>
          <w:rFonts w:ascii="Arial" w:cs="Arial" w:eastAsia="Arial" w:hAnsi="Arial"/>
          <w:sz w:val="16"/>
          <w:szCs w:val="16"/>
          <w:color w:val="auto"/>
        </w:rPr>
      </w:pPr>
    </w:p>
    <w:p>
      <w:pPr>
        <w:ind w:firstLine="8"/>
        <w:spacing w:after="0" w:line="259" w:lineRule="auto"/>
        <w:tabs>
          <w:tab w:leader="none" w:pos="28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days of filing with the SEC, audited consolidated financial statements prepared under GAAP, consistently applied, together with an opinion on the financial statements from an independent certified public accounting firm acceptable to Collateral Agent in its reasonable discretion</w:t>
      </w:r>
      <w:r>
        <w:rPr>
          <w:rFonts w:ascii="Arial" w:cs="Arial" w:eastAsia="Arial" w:hAnsi="Arial"/>
          <w:sz w:val="18"/>
          <w:szCs w:val="18"/>
          <w:b w:val="1"/>
          <w:bCs w:val="1"/>
          <w:color w:val="auto"/>
        </w:rPr>
        <w:t>;</w:t>
      </w:r>
    </w:p>
    <w:p>
      <w:pPr>
        <w:spacing w:after="0" w:line="184" w:lineRule="exact"/>
        <w:rPr>
          <w:rFonts w:ascii="Arial" w:cs="Arial" w:eastAsia="Arial" w:hAnsi="Arial"/>
          <w:sz w:val="18"/>
          <w:szCs w:val="18"/>
          <w:color w:val="auto"/>
        </w:rPr>
      </w:pPr>
    </w:p>
    <w:p>
      <w:pPr>
        <w:jc w:val="both"/>
        <w:ind w:firstLine="1946"/>
        <w:spacing w:after="0" w:line="274" w:lineRule="auto"/>
        <w:tabs>
          <w:tab w:leader="none" w:pos="2457" w:val="left"/>
        </w:tabs>
        <w:numPr>
          <w:ilvl w:val="2"/>
          <w:numId w:val="594"/>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thirty (30)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7"/>
          <w:szCs w:val="17"/>
          <w:b w:val="1"/>
          <w:bCs w:val="1"/>
          <w:color w:val="auto"/>
        </w:rPr>
        <w:t>Annual Projections</w:t>
      </w:r>
      <w:r>
        <w:rPr>
          <w:rFonts w:ascii="Arial" w:cs="Arial" w:eastAsia="Arial" w:hAnsi="Arial"/>
          <w:sz w:val="17"/>
          <w:szCs w:val="17"/>
          <w:color w:val="auto"/>
        </w:rPr>
        <w:t>”; provided that, any revisions of the Annual Projections approved by Borrower’s Board of Directors shall be delivered to Collateral Agent and the Lenders no later than seven (7) days after such approval);</w:t>
      </w:r>
    </w:p>
    <w:p>
      <w:pPr>
        <w:spacing w:after="0" w:line="176" w:lineRule="exact"/>
        <w:rPr>
          <w:rFonts w:ascii="Arial" w:cs="Arial" w:eastAsia="Arial" w:hAnsi="Arial"/>
          <w:sz w:val="17"/>
          <w:szCs w:val="17"/>
          <w:color w:val="auto"/>
        </w:rPr>
      </w:pPr>
    </w:p>
    <w:p>
      <w:pPr>
        <w:ind w:firstLine="1946"/>
        <w:spacing w:after="0" w:line="276" w:lineRule="auto"/>
        <w:tabs>
          <w:tab w:leader="none" w:pos="2434" w:val="left"/>
        </w:tabs>
        <w:numPr>
          <w:ilvl w:val="2"/>
          <w:numId w:val="594"/>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generally available to Borrower’s security holders or holders of Subordinated Debt;</w:t>
      </w:r>
    </w:p>
    <w:p>
      <w:pPr>
        <w:spacing w:after="0" w:line="169" w:lineRule="exact"/>
        <w:rPr>
          <w:rFonts w:ascii="Arial" w:cs="Arial" w:eastAsia="Arial" w:hAnsi="Arial"/>
          <w:sz w:val="18"/>
          <w:szCs w:val="18"/>
          <w:color w:val="auto"/>
        </w:rPr>
      </w:pPr>
    </w:p>
    <w:p>
      <w:pPr>
        <w:ind w:firstLine="1946"/>
        <w:spacing w:after="0" w:line="276" w:lineRule="auto"/>
        <w:tabs>
          <w:tab w:leader="none" w:pos="2465" w:val="left"/>
        </w:tabs>
        <w:numPr>
          <w:ilvl w:val="2"/>
          <w:numId w:val="594"/>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69" w:lineRule="exact"/>
        <w:rPr>
          <w:rFonts w:ascii="Arial" w:cs="Arial" w:eastAsia="Arial" w:hAnsi="Arial"/>
          <w:sz w:val="18"/>
          <w:szCs w:val="18"/>
          <w:color w:val="auto"/>
        </w:rPr>
      </w:pPr>
    </w:p>
    <w:p>
      <w:pPr>
        <w:ind w:firstLine="1946"/>
        <w:spacing w:after="0" w:line="276" w:lineRule="auto"/>
        <w:tabs>
          <w:tab w:leader="none" w:pos="2495" w:val="left"/>
        </w:tabs>
        <w:numPr>
          <w:ilvl w:val="2"/>
          <w:numId w:val="594"/>
        </w:numPr>
        <w:rPr>
          <w:rFonts w:ascii="Arial" w:cs="Arial" w:eastAsia="Arial" w:hAnsi="Arial"/>
          <w:sz w:val="18"/>
          <w:szCs w:val="18"/>
          <w:color w:val="auto"/>
        </w:rPr>
      </w:pPr>
      <w:r>
        <w:rPr>
          <w:rFonts w:ascii="Arial" w:cs="Arial" w:eastAsia="Arial" w:hAnsi="Arial"/>
          <w:sz w:val="18"/>
          <w:szCs w:val="18"/>
          <w:color w:val="auto"/>
        </w:rPr>
        <w:t>prompt notice of any material amendments of or other material changes to the capitalization table of Borrower (provided that, for the avoidance of doubt, no such updates to any Lender shall</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required with respect to option grants), and any amendments or changes to the Operating Documents of Borrower or any of its Subsidiaries, together with any copies reflecting such amendments or changes with respect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22" w:name="page623"/>
    <w:bookmarkEnd w:id="622"/>
    <w:p>
      <w:pPr>
        <w:ind w:left="2560" w:hanging="614"/>
        <w:spacing w:after="0"/>
        <w:tabs>
          <w:tab w:leader="none" w:pos="256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prompt notice of any event that could reasonably be expected to materially and adversely affect the value of Intellectual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09" w:lineRule="exact"/>
        <w:rPr>
          <w:sz w:val="20"/>
          <w:szCs w:val="20"/>
          <w:color w:val="auto"/>
        </w:rPr>
      </w:pPr>
    </w:p>
    <w:p>
      <w:pPr>
        <w:jc w:val="both"/>
        <w:ind w:firstLine="1946"/>
        <w:spacing w:after="0" w:line="262" w:lineRule="auto"/>
        <w:tabs>
          <w:tab w:leader="none" w:pos="2581" w:val="left"/>
        </w:tabs>
        <w:numPr>
          <w:ilvl w:val="0"/>
          <w:numId w:val="596"/>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3" w:lineRule="exact"/>
        <w:rPr>
          <w:rFonts w:ascii="Arial" w:cs="Arial" w:eastAsia="Arial" w:hAnsi="Arial"/>
          <w:sz w:val="18"/>
          <w:szCs w:val="18"/>
          <w:color w:val="auto"/>
        </w:rPr>
      </w:pPr>
    </w:p>
    <w:p>
      <w:pPr>
        <w:ind w:left="2420" w:hanging="474"/>
        <w:spacing w:after="0"/>
        <w:tabs>
          <w:tab w:leader="none" w:pos="242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5" w:lineRule="exact"/>
        <w:rPr>
          <w:sz w:val="20"/>
          <w:szCs w:val="20"/>
          <w:color w:val="auto"/>
        </w:rPr>
      </w:pPr>
    </w:p>
    <w:p>
      <w:pPr>
        <w:ind w:firstLine="1300"/>
        <w:spacing w:after="0" w:line="276" w:lineRule="auto"/>
        <w:tabs>
          <w:tab w:leader="none" w:pos="177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69" w:lineRule="exact"/>
        <w:rPr>
          <w:rFonts w:ascii="Arial" w:cs="Arial" w:eastAsia="Arial" w:hAnsi="Arial"/>
          <w:sz w:val="18"/>
          <w:szCs w:val="18"/>
          <w:color w:val="auto"/>
        </w:rPr>
      </w:pPr>
    </w:p>
    <w:p>
      <w:pPr>
        <w:jc w:val="both"/>
        <w:ind w:firstLine="1300"/>
        <w:spacing w:after="0" w:line="272" w:lineRule="auto"/>
        <w:tabs>
          <w:tab w:leader="none" w:pos="1715" w:val="left"/>
        </w:tabs>
        <w:numPr>
          <w:ilvl w:val="0"/>
          <w:numId w:val="597"/>
        </w:numPr>
        <w:rPr>
          <w:rFonts w:ascii="Arial" w:cs="Arial" w:eastAsia="Arial" w:hAnsi="Arial"/>
          <w:sz w:val="17"/>
          <w:szCs w:val="17"/>
          <w:color w:val="auto"/>
        </w:rPr>
      </w:pPr>
      <w:r>
        <w:rPr>
          <w:rFonts w:ascii="Arial" w:cs="Arial" w:eastAsia="Arial" w:hAnsi="Arial"/>
          <w:sz w:val="17"/>
          <w:szCs w:val="17"/>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twelve months unless (and more frequently if) an Event of Default has occurred and is continuing.</w:t>
      </w:r>
    </w:p>
    <w:p>
      <w:pPr>
        <w:spacing w:after="0" w:line="17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80"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or extensions therefor, and</w:t>
      </w:r>
      <w:r>
        <w:rPr>
          <w:rFonts w:ascii="Arial" w:cs="Arial" w:eastAsia="Arial" w:hAnsi="Arial"/>
          <w:sz w:val="18"/>
          <w:szCs w:val="18"/>
          <w:b w:val="1"/>
          <w:bCs w:val="1"/>
          <w:color w:val="auto"/>
        </w:rPr>
        <w:t xml:space="preserve"> </w:t>
      </w:r>
      <w:r>
        <w:rPr>
          <w:rFonts w:ascii="Arial" w:cs="Arial" w:eastAsia="Arial" w:hAnsi="Arial"/>
          <w:sz w:val="18"/>
          <w:szCs w:val="18"/>
          <w:color w:val="auto"/>
        </w:rPr>
        <w:t>timely pay, and require each 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23" w:name="page624"/>
    <w:bookmarkEnd w:id="623"/>
    <w:p>
      <w:pPr>
        <w:jc w:val="both"/>
        <w:ind w:firstLine="646"/>
        <w:spacing w:after="0" w:line="284"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(provided that only ten (10) days’ notice is required for cancellation due to non-payment of premium).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Two Hundred Thousand Dollars ($200,000.00) with respect to any loss, but not exceeding Two Hundred Thousand Dollars ($200,000.00),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8" w:lineRule="exact"/>
        <w:rPr>
          <w:sz w:val="20"/>
          <w:szCs w:val="20"/>
          <w:color w:val="auto"/>
        </w:rPr>
      </w:pPr>
    </w:p>
    <w:p>
      <w:pPr>
        <w:jc w:val="both"/>
        <w:ind w:firstLine="1300"/>
        <w:spacing w:after="0" w:line="262" w:lineRule="auto"/>
        <w:tabs>
          <w:tab w:leader="none" w:pos="1833" w:val="left"/>
        </w:tabs>
        <w:numPr>
          <w:ilvl w:val="0"/>
          <w:numId w:val="598"/>
        </w:numPr>
        <w:rPr>
          <w:rFonts w:ascii="Arial" w:cs="Arial" w:eastAsia="Arial" w:hAnsi="Arial"/>
          <w:sz w:val="18"/>
          <w:szCs w:val="18"/>
          <w:color w:val="auto"/>
        </w:rPr>
      </w:pPr>
      <w:r>
        <w:rPr>
          <w:rFonts w:ascii="Arial" w:cs="Arial" w:eastAsia="Arial" w:hAnsi="Arial"/>
          <w:sz w:val="18"/>
          <w:szCs w:val="18"/>
          <w:color w:val="auto"/>
        </w:rPr>
        <w:t>Maintain all of Borrower’s and its Subsidiaries’ Collateral Accounts with a bank of Borrower’s choice, subject to the Collateral Agent’s reasonable consent (an “</w:t>
      </w:r>
      <w:r>
        <w:rPr>
          <w:rFonts w:ascii="Arial" w:cs="Arial" w:eastAsia="Arial" w:hAnsi="Arial"/>
          <w:sz w:val="18"/>
          <w:szCs w:val="18"/>
          <w:b w:val="1"/>
          <w:bCs w:val="1"/>
          <w:color w:val="auto"/>
        </w:rPr>
        <w:t>Approved Bank</w:t>
      </w:r>
      <w:r>
        <w:rPr>
          <w:rFonts w:ascii="Arial" w:cs="Arial" w:eastAsia="Arial" w:hAnsi="Arial"/>
          <w:sz w:val="18"/>
          <w:szCs w:val="18"/>
          <w:color w:val="auto"/>
        </w:rPr>
        <w:t>”), in accounts which are subject to a Control Agreement in favor of Collateral Agent, except as permitted in clause (b) below.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4" w:name="page625"/>
    <w:bookmarkEnd w:id="624"/>
    <w:p>
      <w:pPr>
        <w:jc w:val="both"/>
        <w:ind w:firstLine="1300"/>
        <w:spacing w:after="0" w:line="267" w:lineRule="auto"/>
        <w:tabs>
          <w:tab w:leader="none" w:pos="1753" w:val="left"/>
        </w:tabs>
        <w:numPr>
          <w:ilvl w:val="0"/>
          <w:numId w:val="599"/>
        </w:numPr>
        <w:rPr>
          <w:rFonts w:ascii="Arial" w:cs="Arial" w:eastAsia="Arial" w:hAnsi="Arial"/>
          <w:sz w:val="17"/>
          <w:szCs w:val="17"/>
          <w:color w:val="auto"/>
        </w:rPr>
      </w:pPr>
      <w:r>
        <w:rPr>
          <w:rFonts w:ascii="Arial" w:cs="Arial" w:eastAsia="Arial" w:hAnsi="Arial"/>
          <w:sz w:val="17"/>
          <w:szCs w:val="17"/>
          <w:color w:val="auto"/>
        </w:rPr>
        <w:t>Borrower shall provide Collateral Agent five (5) days’ prior written notice before Borrower or any of its Subsidiaries establishes any Collateral Account at or with any Person other than an Approved Bank.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(i) deposit accounts exclusively used for payroll, payroll taxes and other employee wage and benefit payments to or for the benefit of Borrower’s, or any of its Subsidiaries’, employees and identified to Collateral Agent by Borrower as such in the Perfection Certificates; and (ii) Borrower’s accounts maintained with Bank of America as listed in the Perfection Certificate, provided that such accounts with Bank of America shall be closed and the funds in such accounts transferred to accounts subject to control agreement for the benefit of Collateral Agent on or before January 31, 2017, and Borrower shall not transfer any additional funds to such accounts during the period between the Effective Date and January 31, 2017 and during such period the maximum aggregate balance in all such Bank of America accounts may not exceed $1,525,000.00. Collateral Agent agrees not to place a “hold” or deliver a notice of exclusive control, entitlement order, or other similar directions or instructions under any Control Agreement or similar agreements providing control of any Collateral unless an Event of Default has occurred.</w:t>
      </w:r>
    </w:p>
    <w:p>
      <w:pPr>
        <w:spacing w:after="0" w:line="185" w:lineRule="exact"/>
        <w:rPr>
          <w:rFonts w:ascii="Arial" w:cs="Arial" w:eastAsia="Arial" w:hAnsi="Arial"/>
          <w:sz w:val="17"/>
          <w:szCs w:val="17"/>
          <w:color w:val="auto"/>
        </w:rPr>
      </w:pPr>
    </w:p>
    <w:p>
      <w:pPr>
        <w:ind w:firstLine="1300"/>
        <w:spacing w:after="0" w:line="276" w:lineRule="auto"/>
        <w:tabs>
          <w:tab w:leader="none" w:pos="1872" w:val="left"/>
        </w:tabs>
        <w:numPr>
          <w:ilvl w:val="0"/>
          <w:numId w:val="599"/>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use commercially reasonable efforts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18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 xml:space="preserve">6.9. Notices of Litigation and Default. </w:t>
      </w:r>
      <w:r>
        <w:rPr>
          <w:rFonts w:ascii="Arial" w:cs="Arial" w:eastAsia="Arial" w:hAnsi="Arial"/>
          <w:sz w:val="18"/>
          <w:szCs w:val="18"/>
          <w:color w:val="auto"/>
        </w:rPr>
        <w:t>Borrower will give prompt written notice to Collateral Agent and the Lenders of any litigation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proceedings pending or threatened (in writing) against Borrower or any of its Subsidiaries, which could reasonably be expected to result in damages or costs to Borrower or any of its Subsidiaries of One Hundred Fifty Thousand Dollars ($150,000.00)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25" w:name="page626"/>
    <w:bookmarkEnd w:id="625"/>
    <w:p>
      <w:pPr>
        <w:ind w:left="660"/>
        <w:spacing w:after="0"/>
        <w:tabs>
          <w:tab w:leader="none" w:pos="12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Intentionally Omitted.</w:t>
      </w:r>
    </w:p>
    <w:p>
      <w:pPr>
        <w:spacing w:after="0" w:line="224" w:lineRule="exact"/>
        <w:rPr>
          <w:sz w:val="20"/>
          <w:szCs w:val="20"/>
          <w:color w:val="auto"/>
        </w:rPr>
      </w:pPr>
    </w:p>
    <w:p>
      <w:pPr>
        <w:jc w:val="both"/>
        <w:ind w:firstLine="646"/>
        <w:spacing w:after="0" w:line="271" w:lineRule="auto"/>
        <w:rPr>
          <w:sz w:val="20"/>
          <w:szCs w:val="20"/>
          <w:color w:val="auto"/>
        </w:rPr>
      </w:pPr>
      <w:r>
        <w:rPr>
          <w:rFonts w:ascii="Arial" w:cs="Arial" w:eastAsia="Arial" w:hAnsi="Arial"/>
          <w:sz w:val="17"/>
          <w:szCs w:val="17"/>
          <w:b w:val="1"/>
          <w:bCs w:val="1"/>
          <w:color w:val="auto"/>
        </w:rPr>
        <w:t xml:space="preserve">6.11. Landlord Waivers; Bailee Waivers. </w:t>
      </w:r>
      <w:r>
        <w:rPr>
          <w:rFonts w:ascii="Arial" w:cs="Arial" w:eastAsia="Arial" w:hAnsi="Arial"/>
          <w:sz w:val="17"/>
          <w:szCs w:val="17"/>
          <w:color w:val="auto"/>
        </w:rPr>
        <w:t>In the event that Borrower or any of its Subsidiaries, after the Effective Date, intends to add any new</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(or an existing location for which a landlord waiver or bailee waiver has not previously been obtained and was waived by Lender, including, without limitation, Borrower’s leased location in El Prado, New Mexico, and Borrower’s bailee Lonzo, in Houston, Texas) is book valued in excess of Two Hundred Fifty Thousand ($250,000.00)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72" w:lineRule="exact"/>
        <w:rPr>
          <w:sz w:val="20"/>
          <w:szCs w:val="20"/>
          <w:color w:val="auto"/>
        </w:rPr>
      </w:pPr>
    </w:p>
    <w:p>
      <w:pPr>
        <w:jc w:val="both"/>
        <w:ind w:firstLine="646"/>
        <w:spacing w:after="0" w:line="286" w:lineRule="auto"/>
        <w:rPr>
          <w:sz w:val="20"/>
          <w:szCs w:val="20"/>
          <w:color w:val="auto"/>
        </w:rPr>
      </w:pPr>
      <w:r>
        <w:rPr>
          <w:rFonts w:ascii="Arial" w:cs="Arial" w:eastAsia="Arial" w:hAnsi="Arial"/>
          <w:sz w:val="16"/>
          <w:szCs w:val="16"/>
          <w:b w:val="1"/>
          <w:bCs w:val="1"/>
          <w:color w:val="auto"/>
        </w:rPr>
        <w:t xml:space="preserve">6.12. Creation/Acquisition of Subsidiaries. </w:t>
      </w:r>
      <w:r>
        <w:rPr>
          <w:rFonts w:ascii="Arial" w:cs="Arial" w:eastAsia="Arial" w:hAnsi="Arial"/>
          <w:sz w:val="16"/>
          <w:szCs w:val="16"/>
          <w:color w:val="auto"/>
        </w:rPr>
        <w:t>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a perfected security interest in the stock, units or other evidence of ownership of each such newly created Subsidiary; provided, however, that solely in the circumstance in which Borrower or any Subsidiary creates or acquires a Foreign Subsidiary in an acquisition permitted by Section 7.7 hereof or otherwise approved by the Required Lenders, (i) such Foreign Subsidiary shall not be required to guarantee the Obligations of Borrower under the Loan Documents and grant a continuing pledge and security interest in and to the assets of such Foreign Subsidiary, and (ii) Borrower shall not be required to grant and pledge to Collateral Agent, for the ratable benefit of Lenders, a perfected security interest in more than sixty-five percent (65%) of the stock, units or other evidence of ownership of such Foreign Subsidiary, if Borrower demonstrates to the reasonable satisfaction of Collateral Agent that such Foreign Subsidiary providing such guarantee or pledge and security interest or Borrower providing a perfected security interest in more than sixty-five percent (65%) of the stock, units or other evidence of ownership would create a present and existing adverse tax consequence to Borrower under the U.S. Internal Revenue Code.</w:t>
      </w:r>
    </w:p>
    <w:p>
      <w:pPr>
        <w:spacing w:after="0" w:line="16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Further Assurances.</w:t>
      </w:r>
    </w:p>
    <w:p>
      <w:pPr>
        <w:spacing w:after="0" w:line="228" w:lineRule="exact"/>
        <w:rPr>
          <w:sz w:val="20"/>
          <w:szCs w:val="20"/>
          <w:color w:val="auto"/>
        </w:rPr>
      </w:pPr>
    </w:p>
    <w:p>
      <w:pPr>
        <w:ind w:firstLine="1300"/>
        <w:spacing w:after="0" w:line="276" w:lineRule="auto"/>
        <w:tabs>
          <w:tab w:leader="none" w:pos="176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6" w:name="page627"/>
    <w:bookmarkEnd w:id="626"/>
    <w:p>
      <w:pPr>
        <w:jc w:val="both"/>
        <w:ind w:firstLine="1300"/>
        <w:spacing w:after="0" w:line="310" w:lineRule="auto"/>
        <w:tabs>
          <w:tab w:leader="none" w:pos="1819" w:val="left"/>
        </w:tabs>
        <w:numPr>
          <w:ilvl w:val="1"/>
          <w:numId w:val="601"/>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Business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4" w:lineRule="exact"/>
        <w:rPr>
          <w:rFonts w:ascii="Arial" w:cs="Arial" w:eastAsia="Arial" w:hAnsi="Arial"/>
          <w:sz w:val="16"/>
          <w:szCs w:val="16"/>
          <w:color w:val="auto"/>
        </w:rPr>
      </w:pPr>
    </w:p>
    <w:p>
      <w:pPr>
        <w:ind w:left="660" w:hanging="652"/>
        <w:spacing w:after="0"/>
        <w:tabs>
          <w:tab w:leader="none" w:pos="660"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7" w:lineRule="exact"/>
        <w:rPr>
          <w:rFonts w:ascii="Arial" w:cs="Arial" w:eastAsia="Arial" w:hAnsi="Arial"/>
          <w:sz w:val="18"/>
          <w:szCs w:val="18"/>
          <w:b w:val="1"/>
          <w:bCs w:val="1"/>
          <w:color w:val="auto"/>
        </w:rPr>
      </w:pPr>
    </w:p>
    <w:p>
      <w:pPr>
        <w:ind w:left="660" w:right="20"/>
        <w:spacing w:after="0" w:line="430" w:lineRule="auto"/>
        <w:rPr>
          <w:rFonts w:ascii="Arial" w:cs="Arial" w:eastAsia="Arial" w:hAnsi="Arial"/>
          <w:sz w:val="18"/>
          <w:szCs w:val="18"/>
          <w:b w:val="1"/>
          <w:bCs w:val="1"/>
          <w:color w:val="auto"/>
        </w:rPr>
      </w:pPr>
      <w:r>
        <w:rPr>
          <w:rFonts w:ascii="Arial" w:cs="Arial" w:eastAsia="Arial" w:hAnsi="Arial"/>
          <w:sz w:val="16"/>
          <w:szCs w:val="16"/>
          <w:color w:val="auto"/>
        </w:rPr>
        <w:t xml:space="preserve">Borrower shall not, and shall not permit any of its Subsidiaries to, do any of the following without the prior written consent of the Required Lenders: </w:t>
      </w: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Transfer, all or any part of its business or property, except for Transfers (a) of Inventory in the ordinary course of business; (b) of worn out, surplus, or obsolete Equipment; and (c) consisting of Borrower’s use or transfer of money or Cash Equivalents in connection with transactions not prohibited hereunder, in the ordinary course of business, and consistent with the then applicable Annual Projections; (e) in connection with Permitted Liens, Permitted Investments and Permitted Licenses; and (f) other assets of Borrower or its Subsidiaries that do not in the aggregate exceed One Hundred Thousand Dollars ($100,000.00) during any fiscal year.</w:t>
      </w:r>
    </w:p>
    <w:p>
      <w:pPr>
        <w:spacing w:after="0" w:line="187"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thereto; (b) liquidate or dissolve; or (c) (i) any Key Person shall depart from or cease to be employed by Borrower unless written notice thereof is provided to Collateral Agent within five (5) Business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fifteen (15) days’ prior written notice to Collateral Agent: (A) add any new offices or business locations, including warehouses (unless such new offices or business locations (ii) contain less than One Hundred Thousand Dollars ($100,000.00) in assets or property of Borrower or any of its Subsidiaries and (ii) are not Borrower’s or its Subsidiaries’ chief executive office); (B) change its jurisdiction of organization, (C) change its organizational structure or type, (D) change its legal name, or (E) change any organizational number (if any) assigned by its jurisdiction of organization.</w:t>
      </w:r>
    </w:p>
    <w:p>
      <w:pPr>
        <w:spacing w:after="0" w:line="164" w:lineRule="exact"/>
        <w:rPr>
          <w:sz w:val="20"/>
          <w:szCs w:val="20"/>
          <w:color w:val="auto"/>
        </w:rPr>
      </w:pPr>
    </w:p>
    <w:p>
      <w:pPr>
        <w:jc w:val="both"/>
        <w:ind w:firstLine="646"/>
        <w:spacing w:after="0" w:line="290"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 or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or 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not, without Collateral Agent’s prior written consent, enter into any binding contractual arrangement with any Person to attempt to facilitate a merger or acquisition of Borrower, unless (i) no Event of Default exists when such agreement is entered into by Borrower, (ii) such agreement does not give such Person the right to claim any fees, payments or damages from Borrower in excess of Two Hundred Fifty Thousand Dollars ($250,000.00), and (iii) Borrower notifies Collateral Agent in advance of entering into such an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27" w:name="page628"/>
    <w:bookmarkEnd w:id="627"/>
    <w:p>
      <w:pPr>
        <w:ind w:left="660"/>
        <w:spacing w:after="0"/>
        <w:tabs>
          <w:tab w:leader="none" w:pos="11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24" w:lineRule="exact"/>
        <w:rPr>
          <w:sz w:val="20"/>
          <w:szCs w:val="20"/>
          <w:color w:val="auto"/>
        </w:rPr>
      </w:pPr>
    </w:p>
    <w:p>
      <w:pPr>
        <w:jc w:val="both"/>
        <w:ind w:firstLine="646"/>
        <w:spacing w:after="0" w:line="272"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6.6 hereof.</w:t>
      </w:r>
    </w:p>
    <w:p>
      <w:pPr>
        <w:spacing w:after="0" w:line="22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(other than dividends payable solely in capital stock) or make any distribution or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Two Hundred Thousand Dollars ($200,000.00)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(c) transactions explicitly permitted pursuant to Section 7.7 hereof, and (d) Investments permitted under sub-clauses (g), (h) or (i) of the definition of Permitted Investments.</w:t>
      </w:r>
    </w:p>
    <w:p>
      <w:pPr>
        <w:spacing w:after="0" w:line="168"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except to the extent explicitly allowed under the terms of the subordination, intercreditor, or other similar agreement to which such Subordinated Debt is subject and to which Collateral Agent is a party, or adversely affect the subordination thereof to Obligations owed to the Lenders.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8" w:name="page629"/>
    <w:bookmarkEnd w:id="628"/>
    <w:p>
      <w:pPr>
        <w:jc w:val="both"/>
        <w:ind w:firstLine="646"/>
        <w:spacing w:after="0" w:line="253" w:lineRule="auto"/>
        <w:rPr>
          <w:sz w:val="20"/>
          <w:szCs w:val="20"/>
          <w:color w:val="auto"/>
        </w:rPr>
      </w:pPr>
      <w:r>
        <w:rPr>
          <w:rFonts w:ascii="Arial" w:cs="Arial" w:eastAsia="Arial" w:hAnsi="Arial"/>
          <w:sz w:val="18"/>
          <w:szCs w:val="18"/>
          <w:b w:val="1"/>
          <w:bCs w:val="1"/>
          <w:color w:val="auto"/>
        </w:rPr>
        <w:t xml:space="preserve">7.10. Compliance. </w:t>
      </w:r>
      <w:r>
        <w:rPr>
          <w:rFonts w:ascii="Arial" w:cs="Arial" w:eastAsia="Arial" w:hAnsi="Arial"/>
          <w:sz w:val="18"/>
          <w:szCs w:val="18"/>
          <w:color w:val="auto"/>
        </w:rPr>
        <w:t>Become an “investment company” or a company controlled by an “investment company”, under the Investment Company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90"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7.11. Compliance with Anti-Terrorism Laws. </w:t>
      </w:r>
      <w:r>
        <w:rPr>
          <w:rFonts w:ascii="Arial" w:cs="Arial" w:eastAsia="Arial" w:hAnsi="Arial"/>
          <w:sz w:val="17"/>
          <w:szCs w:val="17"/>
          <w:color w:val="auto"/>
        </w:rPr>
        <w:t>Collateral Agent hereby notifies Borrower and each of its Subsidiaries that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29" w:name="page630"/>
    <w:bookmarkEnd w:id="629"/>
    <w:p>
      <w:pPr>
        <w:ind w:left="660" w:hanging="652"/>
        <w:spacing w:after="0"/>
        <w:tabs>
          <w:tab w:leader="none" w:pos="66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Credit Extension on its due date, or (b)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8" w:lineRule="exact"/>
        <w:rPr>
          <w:sz w:val="20"/>
          <w:szCs w:val="20"/>
          <w:color w:val="auto"/>
        </w:rPr>
      </w:pPr>
    </w:p>
    <w:p>
      <w:pPr>
        <w:jc w:val="both"/>
        <w:ind w:firstLine="1300"/>
        <w:spacing w:after="0" w:line="285" w:lineRule="auto"/>
        <w:tabs>
          <w:tab w:leader="none" w:pos="1870" w:val="left"/>
        </w:tabs>
        <w:numPr>
          <w:ilvl w:val="1"/>
          <w:numId w:val="604"/>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Borrower violates any covenant in Section 7; or</w:t>
      </w:r>
    </w:p>
    <w:p>
      <w:pPr>
        <w:spacing w:after="0" w:line="164" w:lineRule="exact"/>
        <w:rPr>
          <w:rFonts w:ascii="Arial" w:cs="Arial" w:eastAsia="Arial" w:hAnsi="Arial"/>
          <w:sz w:val="17"/>
          <w:szCs w:val="17"/>
          <w:color w:val="auto"/>
        </w:rPr>
      </w:pPr>
    </w:p>
    <w:p>
      <w:pPr>
        <w:jc w:val="both"/>
        <w:ind w:firstLine="1300"/>
        <w:spacing w:after="0" w:line="285" w:lineRule="auto"/>
        <w:tabs>
          <w:tab w:leader="none" w:pos="1779" w:val="left"/>
        </w:tabs>
        <w:numPr>
          <w:ilvl w:val="1"/>
          <w:numId w:val="604"/>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w:t>
      </w:r>
    </w:p>
    <w:p>
      <w:pPr>
        <w:spacing w:after="0" w:line="1" w:lineRule="exact"/>
        <w:rPr>
          <w:rFonts w:ascii="Arial" w:cs="Arial" w:eastAsia="Arial" w:hAnsi="Arial"/>
          <w:sz w:val="16"/>
          <w:szCs w:val="16"/>
          <w:color w:val="auto"/>
        </w:rPr>
      </w:pPr>
    </w:p>
    <w:p>
      <w:pPr>
        <w:jc w:val="both"/>
        <w:ind w:firstLine="8"/>
        <w:spacing w:after="0" w:line="252" w:lineRule="auto"/>
        <w:tabs>
          <w:tab w:leader="none" w:pos="357" w:val="left"/>
        </w:tabs>
        <w:numPr>
          <w:ilvl w:val="0"/>
          <w:numId w:val="605"/>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if any, or any other covenants set forth in subsection (a) above;</w:t>
      </w:r>
    </w:p>
    <w:p>
      <w:pPr>
        <w:spacing w:after="0" w:line="18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8" w:lineRule="exact"/>
        <w:rPr>
          <w:sz w:val="20"/>
          <w:szCs w:val="20"/>
          <w:color w:val="auto"/>
        </w:rPr>
      </w:pPr>
    </w:p>
    <w:p>
      <w:pPr>
        <w:jc w:val="both"/>
        <w:ind w:firstLine="1300"/>
        <w:spacing w:after="0" w:line="254" w:lineRule="auto"/>
        <w:tabs>
          <w:tab w:leader="none" w:pos="1760" w:val="left"/>
        </w:tabs>
        <w:numPr>
          <w:ilvl w:val="0"/>
          <w:numId w:val="60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92" w:lineRule="exact"/>
        <w:rPr>
          <w:rFonts w:ascii="Arial" w:cs="Arial" w:eastAsia="Arial" w:hAnsi="Arial"/>
          <w:sz w:val="18"/>
          <w:szCs w:val="18"/>
          <w:color w:val="auto"/>
        </w:rPr>
      </w:pPr>
    </w:p>
    <w:p>
      <w:pPr>
        <w:ind w:right="20" w:firstLine="1300"/>
        <w:spacing w:after="0" w:line="306" w:lineRule="auto"/>
        <w:tabs>
          <w:tab w:leader="none" w:pos="1782" w:val="left"/>
        </w:tabs>
        <w:numPr>
          <w:ilvl w:val="0"/>
          <w:numId w:val="606"/>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0" w:name="page631"/>
    <w:bookmarkEnd w:id="630"/>
    <w:p>
      <w:pPr>
        <w:jc w:val="both"/>
        <w:ind w:firstLine="646"/>
        <w:spacing w:after="0" w:line="287"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6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default in any agreement to which Borrower or any of its Subsidiaries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w:t>
      </w:r>
    </w:p>
    <w:p>
      <w:pPr>
        <w:spacing w:after="0" w:line="176" w:lineRule="exact"/>
        <w:rPr>
          <w:sz w:val="20"/>
          <w:szCs w:val="20"/>
          <w:color w:val="auto"/>
        </w:rPr>
      </w:pPr>
    </w:p>
    <w:p>
      <w:pPr>
        <w:jc w:val="both"/>
        <w:ind w:firstLine="646"/>
        <w:spacing w:after="0" w:line="302" w:lineRule="auto"/>
        <w:rPr>
          <w:sz w:val="20"/>
          <w:szCs w:val="20"/>
          <w:color w:val="auto"/>
        </w:rPr>
      </w:pPr>
      <w:r>
        <w:rPr>
          <w:rFonts w:ascii="Arial" w:cs="Arial" w:eastAsia="Arial" w:hAnsi="Arial"/>
          <w:sz w:val="16"/>
          <w:szCs w:val="16"/>
          <w:b w:val="1"/>
          <w:bCs w:val="1"/>
          <w:color w:val="auto"/>
        </w:rPr>
        <w:t xml:space="preserve">8.7. Judgments. </w:t>
      </w:r>
      <w:r>
        <w:rPr>
          <w:rFonts w:ascii="Arial" w:cs="Arial" w:eastAsia="Arial" w:hAnsi="Arial"/>
          <w:sz w:val="16"/>
          <w:szCs w:val="16"/>
          <w:color w:val="auto"/>
        </w:rPr>
        <w:t>One or more judgments, orders, or decrees for the payment of money in an amount, individually or in the aggregate,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Two Hundred Fifty Thousand Dollars ($250,000.00)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agreement related to Subordinated Debt between Borrower or any of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creditor of 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6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8.10.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8.11. Lien Priority</w:t>
      </w:r>
      <w:r>
        <w:rPr>
          <w:rFonts w:ascii="Arial" w:cs="Arial" w:eastAsia="Arial" w:hAnsi="Arial"/>
          <w:sz w:val="18"/>
          <w:szCs w:val="18"/>
          <w:color w:val="auto"/>
        </w:rPr>
        <w:t>. Any Lien created hereunder or by any other Loan Document shall at any time fail to constitute a valid and perfected Lien 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Collateral purported to be secured thereby, subject to no prior or equal Lien, other than Permitted Liens which are permitted to have priority in accordance with the terms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1" w:name="page632"/>
    <w:bookmarkEnd w:id="631"/>
    <w:p>
      <w:pPr>
        <w:ind w:left="660" w:hanging="652"/>
        <w:spacing w:after="0"/>
        <w:tabs>
          <w:tab w:leader="none" w:pos="660" w:val="left"/>
        </w:tabs>
        <w:numPr>
          <w:ilvl w:val="0"/>
          <w:numId w:val="6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Rights and Remedies.</w:t>
      </w:r>
    </w:p>
    <w:p>
      <w:pPr>
        <w:spacing w:after="0" w:line="227" w:lineRule="exact"/>
        <w:rPr>
          <w:rFonts w:ascii="Arial" w:cs="Arial" w:eastAsia="Arial" w:hAnsi="Arial"/>
          <w:sz w:val="18"/>
          <w:szCs w:val="18"/>
          <w:b w:val="1"/>
          <w:bCs w:val="1"/>
          <w:color w:val="auto"/>
        </w:rPr>
      </w:pPr>
    </w:p>
    <w:p>
      <w:pPr>
        <w:jc w:val="both"/>
        <w:ind w:firstLine="1300"/>
        <w:spacing w:after="0" w:line="270" w:lineRule="auto"/>
        <w:tabs>
          <w:tab w:leader="none" w:pos="1718" w:val="left"/>
        </w:tabs>
        <w:numPr>
          <w:ilvl w:val="1"/>
          <w:numId w:val="607"/>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firstLine="1300"/>
        <w:spacing w:after="0" w:line="276" w:lineRule="auto"/>
        <w:tabs>
          <w:tab w:leader="none" w:pos="1758" w:val="left"/>
        </w:tabs>
        <w:numPr>
          <w:ilvl w:val="1"/>
          <w:numId w:val="607"/>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69" w:lineRule="exact"/>
        <w:rPr>
          <w:rFonts w:ascii="Arial" w:cs="Arial" w:eastAsia="Arial" w:hAnsi="Arial"/>
          <w:sz w:val="18"/>
          <w:szCs w:val="18"/>
          <w:color w:val="auto"/>
        </w:rPr>
      </w:pPr>
    </w:p>
    <w:p>
      <w:pPr>
        <w:ind w:left="2340" w:hanging="394"/>
        <w:spacing w:after="0"/>
        <w:tabs>
          <w:tab w:leader="none" w:pos="2340" w:val="left"/>
        </w:tabs>
        <w:numPr>
          <w:ilvl w:val="2"/>
          <w:numId w:val="607"/>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3" w:lineRule="exact"/>
        <w:rPr>
          <w:rFonts w:ascii="Arial" w:cs="Arial" w:eastAsia="Arial" w:hAnsi="Arial"/>
          <w:sz w:val="18"/>
          <w:szCs w:val="18"/>
          <w:color w:val="auto"/>
        </w:rPr>
      </w:pPr>
    </w:p>
    <w:p>
      <w:pPr>
        <w:ind w:left="2420" w:hanging="474"/>
        <w:spacing w:after="0"/>
        <w:tabs>
          <w:tab w:leader="none" w:pos="2420" w:val="left"/>
        </w:tabs>
        <w:numPr>
          <w:ilvl w:val="2"/>
          <w:numId w:val="607"/>
        </w:numPr>
        <w:rPr>
          <w:rFonts w:ascii="Arial" w:cs="Arial" w:eastAsia="Arial" w:hAnsi="Arial"/>
          <w:sz w:val="16"/>
          <w:szCs w:val="16"/>
          <w:color w:val="auto"/>
        </w:rPr>
      </w:pPr>
      <w:r>
        <w:rPr>
          <w:rFonts w:ascii="Arial" w:cs="Arial" w:eastAsia="Arial" w:hAnsi="Arial"/>
          <w:sz w:val="16"/>
          <w:szCs w:val="16"/>
          <w:color w:val="auto"/>
        </w:rPr>
        <w:t>apply to the Obligations any (a) balances and deposits of Borrower that Collateral Agent or any Lender holds or controls, or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any amount held or controlled by Collateral Agent or any Lender owing to or for the credit or the account of Borrower; and/or</w:t>
      </w:r>
    </w:p>
    <w:p>
      <w:pPr>
        <w:spacing w:after="0" w:line="209" w:lineRule="exact"/>
        <w:rPr>
          <w:rFonts w:ascii="Arial" w:cs="Arial" w:eastAsia="Arial" w:hAnsi="Arial"/>
          <w:sz w:val="16"/>
          <w:szCs w:val="16"/>
          <w:color w:val="auto"/>
        </w:rPr>
      </w:pPr>
    </w:p>
    <w:p>
      <w:pPr>
        <w:ind w:left="2440" w:hanging="494"/>
        <w:spacing w:after="0"/>
        <w:tabs>
          <w:tab w:leader="none" w:pos="2440" w:val="left"/>
        </w:tabs>
        <w:numPr>
          <w:ilvl w:val="2"/>
          <w:numId w:val="607"/>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235" w:lineRule="exact"/>
        <w:rPr>
          <w:rFonts w:ascii="Arial" w:cs="Arial" w:eastAsia="Arial" w:hAnsi="Arial"/>
          <w:sz w:val="17"/>
          <w:szCs w:val="17"/>
          <w:color w:val="auto"/>
        </w:rPr>
      </w:pPr>
    </w:p>
    <w:p>
      <w:pPr>
        <w:ind w:right="20" w:firstLine="1300"/>
        <w:spacing w:after="0" w:line="306" w:lineRule="auto"/>
        <w:tabs>
          <w:tab w:leader="none" w:pos="1777" w:val="left"/>
        </w:tabs>
        <w:numPr>
          <w:ilvl w:val="1"/>
          <w:numId w:val="607"/>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7" w:lineRule="exact"/>
        <w:rPr>
          <w:rFonts w:ascii="Arial" w:cs="Arial" w:eastAsia="Arial" w:hAnsi="Arial"/>
          <w:sz w:val="17"/>
          <w:szCs w:val="17"/>
          <w:color w:val="auto"/>
        </w:rPr>
      </w:pPr>
    </w:p>
    <w:p>
      <w:pPr>
        <w:ind w:right="20" w:firstLine="1946"/>
        <w:spacing w:after="0" w:line="340" w:lineRule="auto"/>
        <w:tabs>
          <w:tab w:leader="none" w:pos="2334" w:val="left"/>
        </w:tabs>
        <w:numPr>
          <w:ilvl w:val="2"/>
          <w:numId w:val="607"/>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4" w:lineRule="exact"/>
        <w:rPr>
          <w:rFonts w:ascii="Arial" w:cs="Arial" w:eastAsia="Arial" w:hAnsi="Arial"/>
          <w:sz w:val="16"/>
          <w:szCs w:val="16"/>
          <w:color w:val="auto"/>
        </w:rPr>
      </w:pPr>
    </w:p>
    <w:p>
      <w:pPr>
        <w:jc w:val="both"/>
        <w:ind w:firstLine="1946"/>
        <w:spacing w:after="0" w:line="295" w:lineRule="auto"/>
        <w:tabs>
          <w:tab w:leader="none" w:pos="2381" w:val="left"/>
        </w:tabs>
        <w:numPr>
          <w:ilvl w:val="2"/>
          <w:numId w:val="607"/>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2" w:name="page633"/>
    <w:bookmarkEnd w:id="632"/>
    <w:p>
      <w:pPr>
        <w:jc w:val="both"/>
        <w:ind w:firstLine="1946"/>
        <w:spacing w:after="0" w:line="254" w:lineRule="auto"/>
        <w:tabs>
          <w:tab w:leader="none" w:pos="2524" w:val="left"/>
        </w:tabs>
        <w:numPr>
          <w:ilvl w:val="0"/>
          <w:numId w:val="608"/>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2" w:lineRule="exact"/>
        <w:rPr>
          <w:rFonts w:ascii="Arial" w:cs="Arial" w:eastAsia="Arial" w:hAnsi="Arial"/>
          <w:sz w:val="18"/>
          <w:szCs w:val="18"/>
          <w:color w:val="auto"/>
        </w:rPr>
      </w:pPr>
    </w:p>
    <w:p>
      <w:pPr>
        <w:ind w:right="20" w:firstLine="1946"/>
        <w:spacing w:after="0" w:line="340" w:lineRule="auto"/>
        <w:tabs>
          <w:tab w:leader="none" w:pos="2449" w:val="left"/>
        </w:tabs>
        <w:numPr>
          <w:ilvl w:val="0"/>
          <w:numId w:val="608"/>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4" w:lineRule="exact"/>
        <w:rPr>
          <w:rFonts w:ascii="Arial" w:cs="Arial" w:eastAsia="Arial" w:hAnsi="Arial"/>
          <w:sz w:val="16"/>
          <w:szCs w:val="16"/>
          <w:color w:val="auto"/>
        </w:rPr>
      </w:pPr>
    </w:p>
    <w:p>
      <w:pPr>
        <w:ind w:left="2380" w:hanging="434"/>
        <w:spacing w:after="0"/>
        <w:tabs>
          <w:tab w:leader="none" w:pos="238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3" w:lineRule="exact"/>
        <w:rPr>
          <w:rFonts w:ascii="Arial" w:cs="Arial" w:eastAsia="Arial" w:hAnsi="Arial"/>
          <w:sz w:val="18"/>
          <w:szCs w:val="18"/>
          <w:color w:val="auto"/>
        </w:rPr>
      </w:pPr>
    </w:p>
    <w:p>
      <w:pPr>
        <w:jc w:val="both"/>
        <w:ind w:firstLine="1946"/>
        <w:spacing w:after="0" w:line="262" w:lineRule="auto"/>
        <w:tabs>
          <w:tab w:leader="none" w:pos="2447"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3" w:lineRule="exact"/>
        <w:rPr>
          <w:rFonts w:ascii="Arial" w:cs="Arial" w:eastAsia="Arial" w:hAnsi="Arial"/>
          <w:sz w:val="18"/>
          <w:szCs w:val="18"/>
          <w:color w:val="auto"/>
        </w:rPr>
      </w:pPr>
    </w:p>
    <w:p>
      <w:pPr>
        <w:ind w:firstLine="1946"/>
        <w:spacing w:after="0" w:line="340" w:lineRule="auto"/>
        <w:tabs>
          <w:tab w:leader="none" w:pos="2523" w:val="left"/>
        </w:tabs>
        <w:numPr>
          <w:ilvl w:val="0"/>
          <w:numId w:val="608"/>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jc w:val="both"/>
        <w:ind w:firstLine="646"/>
        <w:spacing w:after="0" w:line="268"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33" w:name="page634"/>
    <w:bookmarkEnd w:id="633"/>
    <w:p>
      <w:pPr>
        <w:jc w:val="both"/>
        <w:ind w:firstLine="646"/>
        <w:spacing w:after="0" w:line="293" w:lineRule="auto"/>
        <w:rPr>
          <w:sz w:val="20"/>
          <w:szCs w:val="20"/>
          <w:color w:val="auto"/>
        </w:rPr>
      </w:pPr>
      <w:r>
        <w:rPr>
          <w:rFonts w:ascii="Arial" w:cs="Arial" w:eastAsia="Arial" w:hAnsi="Arial"/>
          <w:sz w:val="16"/>
          <w:szCs w:val="16"/>
          <w:b w:val="1"/>
          <w:bCs w:val="1"/>
          <w:color w:val="auto"/>
        </w:rPr>
        <w:t xml:space="preserve">9.3. Protective Payments. </w:t>
      </w:r>
      <w:r>
        <w:rPr>
          <w:rFonts w:ascii="Arial" w:cs="Arial" w:eastAsia="Arial" w:hAnsi="Arial"/>
          <w:sz w:val="16"/>
          <w:szCs w:val="16"/>
          <w:color w:val="auto"/>
        </w:rPr>
        <w:t>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60"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4" w:name="page635"/>
    <w:bookmarkEnd w:id="634"/>
    <w:p>
      <w:pPr>
        <w:jc w:val="both"/>
        <w:ind w:firstLine="646"/>
        <w:spacing w:after="0" w:line="257" w:lineRule="auto"/>
        <w:rPr>
          <w:sz w:val="20"/>
          <w:szCs w:val="20"/>
          <w:color w:val="auto"/>
        </w:rPr>
      </w:pPr>
      <w:r>
        <w:rPr>
          <w:rFonts w:ascii="Arial" w:cs="Arial" w:eastAsia="Arial" w:hAnsi="Arial"/>
          <w:sz w:val="18"/>
          <w:szCs w:val="18"/>
          <w:b w:val="1"/>
          <w:bCs w:val="1"/>
          <w:color w:val="auto"/>
        </w:rPr>
        <w:t xml:space="preserve">9.5. Liability for Collateral. </w:t>
      </w:r>
      <w:r>
        <w:rPr>
          <w:rFonts w:ascii="Arial" w:cs="Arial" w:eastAsia="Arial" w:hAnsi="Arial"/>
          <w:sz w:val="18"/>
          <w:szCs w:val="18"/>
          <w:color w:val="auto"/>
        </w:rPr>
        <w:t>So long as Collateral Agent and the Lenders comply with reasonable banking practices regarding the safekeeping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Subject to the immediately preceding sentence, Borrower bears all risk of loss, damage or destruction of the Collateral.</w:t>
      </w:r>
    </w:p>
    <w:p>
      <w:pPr>
        <w:spacing w:after="0" w:line="18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5" w:name="page636"/>
    <w:bookmarkEnd w:id="635"/>
    <w:p>
      <w:pPr>
        <w:ind w:left="660" w:hanging="652"/>
        <w:spacing w:after="0"/>
        <w:tabs>
          <w:tab w:leader="none" w:pos="660" w:val="left"/>
        </w:tabs>
        <w:numPr>
          <w:ilvl w:val="0"/>
          <w:numId w:val="6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4" w:lineRule="exact"/>
        <w:rPr>
          <w:sz w:val="20"/>
          <w:szCs w:val="20"/>
          <w:color w:val="auto"/>
        </w:rPr>
      </w:pPr>
    </w:p>
    <w:p>
      <w:pPr>
        <w:ind w:firstLine="646"/>
        <w:spacing w:after="0" w:line="292"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jc w:val="both"/>
        <w:ind w:firstLine="8"/>
        <w:spacing w:after="0" w:line="270" w:lineRule="auto"/>
        <w:tabs>
          <w:tab w:leader="none" w:pos="283" w:val="left"/>
        </w:tabs>
        <w:numPr>
          <w:ilvl w:val="0"/>
          <w:numId w:val="610"/>
        </w:numPr>
        <w:rPr>
          <w:rFonts w:ascii="Arial" w:cs="Arial" w:eastAsia="Arial" w:hAnsi="Arial"/>
          <w:sz w:val="17"/>
          <w:szCs w:val="17"/>
          <w:color w:val="auto"/>
        </w:rPr>
      </w:pPr>
      <w:r>
        <w:rPr>
          <w:rFonts w:ascii="Arial" w:cs="Arial" w:eastAsia="Arial" w:hAnsi="Arial"/>
          <w:sz w:val="17"/>
          <w:szCs w:val="17"/>
          <w:color w:val="auto"/>
        </w:rPr>
        <w:t>Business Days after deposit in the U.S. mail, first class, registered or certified mail return receipt requested, with proper postage prepaid; (b) upon transmission, when sent by electronic mail (if an email address is specified herein)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ind w:left="1140"/>
              <w:spacing w:after="0"/>
              <w:rPr>
                <w:sz w:val="20"/>
                <w:szCs w:val="20"/>
                <w:color w:val="auto"/>
              </w:rPr>
            </w:pPr>
            <w:r>
              <w:rPr>
                <w:rFonts w:ascii="Arial" w:cs="Arial" w:eastAsia="Arial" w:hAnsi="Arial"/>
                <w:sz w:val="18"/>
                <w:szCs w:val="18"/>
                <w:color w:val="auto"/>
              </w:rPr>
              <w:t>If to Borrower:</w:t>
            </w:r>
          </w:p>
        </w:tc>
        <w:tc>
          <w:tcPr>
            <w:tcW w:w="8340" w:type="dxa"/>
            <w:vAlign w:val="bottom"/>
          </w:tcPr>
          <w:p>
            <w:pPr>
              <w:ind w:left="360"/>
              <w:spacing w:after="0"/>
              <w:rPr>
                <w:sz w:val="20"/>
                <w:szCs w:val="20"/>
                <w:color w:val="auto"/>
              </w:rPr>
            </w:pPr>
            <w:r>
              <w:rPr>
                <w:rFonts w:ascii="Arial" w:cs="Arial" w:eastAsia="Arial" w:hAnsi="Arial"/>
                <w:sz w:val="18"/>
                <w:szCs w:val="18"/>
                <w:color w:val="auto"/>
              </w:rPr>
              <w:t>VAXART, INC.</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385 Oyster Point Blvd., Suite 9A</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South San Francisco, CA 94080</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Attn: John Harland, Chief Financial Officer</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Fax: (650) 871-8580</w:t>
            </w:r>
          </w:p>
        </w:tc>
      </w:tr>
      <w:tr>
        <w:trPr>
          <w:trHeight w:val="230"/>
        </w:trPr>
        <w:tc>
          <w:tcPr>
            <w:tcW w:w="3080" w:type="dxa"/>
            <w:vAlign w:val="bottom"/>
          </w:tcPr>
          <w:p>
            <w:pPr>
              <w:spacing w:after="0"/>
              <w:rPr>
                <w:sz w:val="19"/>
                <w:szCs w:val="19"/>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Email: jharland@vaxart.com</w:t>
            </w:r>
          </w:p>
        </w:tc>
      </w:tr>
      <w:tr>
        <w:trPr>
          <w:trHeight w:val="416"/>
        </w:trPr>
        <w:tc>
          <w:tcPr>
            <w:tcW w:w="3080" w:type="dxa"/>
            <w:vAlign w:val="bottom"/>
          </w:tcPr>
          <w:p>
            <w:pPr>
              <w:ind w:left="1140"/>
              <w:spacing w:after="0"/>
              <w:rPr>
                <w:sz w:val="20"/>
                <w:szCs w:val="20"/>
                <w:color w:val="auto"/>
              </w:rPr>
            </w:pPr>
            <w:r>
              <w:rPr>
                <w:rFonts w:ascii="Arial" w:cs="Arial" w:eastAsia="Arial" w:hAnsi="Arial"/>
                <w:sz w:val="18"/>
                <w:szCs w:val="18"/>
                <w:color w:val="auto"/>
              </w:rPr>
              <w:t>with a copy (which</w:t>
            </w:r>
          </w:p>
        </w:tc>
        <w:tc>
          <w:tcPr>
            <w:tcW w:w="8340" w:type="dxa"/>
            <w:vAlign w:val="bottom"/>
          </w:tcPr>
          <w:p>
            <w:pPr>
              <w:ind w:left="360"/>
              <w:spacing w:after="0"/>
              <w:rPr>
                <w:sz w:val="20"/>
                <w:szCs w:val="20"/>
                <w:color w:val="auto"/>
              </w:rPr>
            </w:pPr>
            <w:r>
              <w:rPr>
                <w:rFonts w:ascii="Arial" w:cs="Arial" w:eastAsia="Arial" w:hAnsi="Arial"/>
                <w:sz w:val="18"/>
                <w:szCs w:val="18"/>
                <w:color w:val="auto"/>
              </w:rPr>
              <w:t>Cooley LLP</w:t>
            </w:r>
          </w:p>
        </w:tc>
      </w:tr>
      <w:tr>
        <w:trPr>
          <w:trHeight w:val="215"/>
        </w:trPr>
        <w:tc>
          <w:tcPr>
            <w:tcW w:w="3080" w:type="dxa"/>
            <w:vAlign w:val="bottom"/>
          </w:tcPr>
          <w:p>
            <w:pPr>
              <w:ind w:left="1140"/>
              <w:spacing w:after="0"/>
              <w:rPr>
                <w:sz w:val="20"/>
                <w:szCs w:val="20"/>
                <w:color w:val="auto"/>
              </w:rPr>
            </w:pPr>
            <w:r>
              <w:rPr>
                <w:rFonts w:ascii="Arial" w:cs="Arial" w:eastAsia="Arial" w:hAnsi="Arial"/>
                <w:sz w:val="18"/>
                <w:szCs w:val="18"/>
                <w:color w:val="auto"/>
              </w:rPr>
              <w:t>shall not constitute</w:t>
            </w:r>
          </w:p>
        </w:tc>
        <w:tc>
          <w:tcPr>
            <w:tcW w:w="8340" w:type="dxa"/>
            <w:vAlign w:val="bottom"/>
          </w:tcPr>
          <w:p>
            <w:pPr>
              <w:ind w:left="360"/>
              <w:spacing w:after="0"/>
              <w:rPr>
                <w:sz w:val="20"/>
                <w:szCs w:val="20"/>
                <w:color w:val="auto"/>
              </w:rPr>
            </w:pPr>
            <w:r>
              <w:rPr>
                <w:rFonts w:ascii="Arial" w:cs="Arial" w:eastAsia="Arial" w:hAnsi="Arial"/>
                <w:sz w:val="18"/>
                <w:szCs w:val="18"/>
                <w:color w:val="auto"/>
              </w:rPr>
              <w:t>1700 Seventh Avenue</w:t>
            </w:r>
          </w:p>
        </w:tc>
      </w:tr>
      <w:tr>
        <w:trPr>
          <w:trHeight w:val="215"/>
        </w:trPr>
        <w:tc>
          <w:tcPr>
            <w:tcW w:w="3080" w:type="dxa"/>
            <w:vAlign w:val="bottom"/>
          </w:tcPr>
          <w:p>
            <w:pPr>
              <w:ind w:left="1140"/>
              <w:spacing w:after="0"/>
              <w:rPr>
                <w:sz w:val="20"/>
                <w:szCs w:val="20"/>
                <w:color w:val="auto"/>
              </w:rPr>
            </w:pPr>
            <w:r>
              <w:rPr>
                <w:rFonts w:ascii="Arial" w:cs="Arial" w:eastAsia="Arial" w:hAnsi="Arial"/>
                <w:sz w:val="18"/>
                <w:szCs w:val="18"/>
                <w:color w:val="auto"/>
              </w:rPr>
              <w:t>notice) to:</w:t>
            </w:r>
          </w:p>
        </w:tc>
        <w:tc>
          <w:tcPr>
            <w:tcW w:w="8340" w:type="dxa"/>
            <w:vAlign w:val="bottom"/>
          </w:tcPr>
          <w:p>
            <w:pPr>
              <w:ind w:left="360"/>
              <w:spacing w:after="0"/>
              <w:rPr>
                <w:sz w:val="20"/>
                <w:szCs w:val="20"/>
                <w:color w:val="auto"/>
              </w:rPr>
            </w:pPr>
            <w:r>
              <w:rPr>
                <w:rFonts w:ascii="Arial" w:cs="Arial" w:eastAsia="Arial" w:hAnsi="Arial"/>
                <w:sz w:val="18"/>
                <w:szCs w:val="18"/>
                <w:color w:val="auto"/>
              </w:rPr>
              <w:t>Suite 1900</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Seattle, WA 98101-1355</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Attn: Gordon Empey</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Fax: (206) 452-8800</w:t>
            </w:r>
          </w:p>
        </w:tc>
      </w:tr>
      <w:tr>
        <w:trPr>
          <w:trHeight w:val="230"/>
        </w:trPr>
        <w:tc>
          <w:tcPr>
            <w:tcW w:w="3080" w:type="dxa"/>
            <w:vAlign w:val="bottom"/>
          </w:tcPr>
          <w:p>
            <w:pPr>
              <w:spacing w:after="0"/>
              <w:rPr>
                <w:sz w:val="19"/>
                <w:szCs w:val="19"/>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Email: gempey@cooley.com</w:t>
            </w:r>
          </w:p>
        </w:tc>
      </w:tr>
      <w:tr>
        <w:trPr>
          <w:trHeight w:val="416"/>
        </w:trPr>
        <w:tc>
          <w:tcPr>
            <w:tcW w:w="3080" w:type="dxa"/>
            <w:vAlign w:val="bottom"/>
          </w:tcPr>
          <w:p>
            <w:pPr>
              <w:ind w:left="1140"/>
              <w:spacing w:after="0"/>
              <w:rPr>
                <w:sz w:val="20"/>
                <w:szCs w:val="20"/>
                <w:color w:val="auto"/>
              </w:rPr>
            </w:pPr>
            <w:r>
              <w:rPr>
                <w:rFonts w:ascii="Arial" w:cs="Arial" w:eastAsia="Arial" w:hAnsi="Arial"/>
                <w:sz w:val="18"/>
                <w:szCs w:val="18"/>
                <w:color w:val="auto"/>
              </w:rPr>
              <w:t>If to Collateral Agent:</w:t>
            </w:r>
          </w:p>
        </w:tc>
        <w:tc>
          <w:tcPr>
            <w:tcW w:w="8340" w:type="dxa"/>
            <w:vAlign w:val="bottom"/>
          </w:tcPr>
          <w:p>
            <w:pPr>
              <w:ind w:left="360"/>
              <w:spacing w:after="0"/>
              <w:rPr>
                <w:sz w:val="20"/>
                <w:szCs w:val="20"/>
                <w:color w:val="auto"/>
              </w:rPr>
            </w:pPr>
            <w:r>
              <w:rPr>
                <w:rFonts w:ascii="Arial" w:cs="Arial" w:eastAsia="Arial" w:hAnsi="Arial"/>
                <w:sz w:val="18"/>
                <w:szCs w:val="18"/>
                <w:color w:val="auto"/>
              </w:rPr>
              <w:t>OXFORD FINANCE LLC</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133 North Fairfax Street</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Alexandria, Virginia 22314</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Attention: Legal Department</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Fax: (703) 519-5225</w:t>
            </w:r>
          </w:p>
        </w:tc>
      </w:tr>
      <w:tr>
        <w:trPr>
          <w:trHeight w:val="230"/>
        </w:trPr>
        <w:tc>
          <w:tcPr>
            <w:tcW w:w="3080" w:type="dxa"/>
            <w:vAlign w:val="bottom"/>
          </w:tcPr>
          <w:p>
            <w:pPr>
              <w:spacing w:after="0"/>
              <w:rPr>
                <w:sz w:val="19"/>
                <w:szCs w:val="19"/>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Email: LegalDepartment@oxfordfinance.com</w:t>
            </w:r>
          </w:p>
        </w:tc>
      </w:tr>
      <w:tr>
        <w:trPr>
          <w:trHeight w:val="416"/>
        </w:trPr>
        <w:tc>
          <w:tcPr>
            <w:tcW w:w="3080" w:type="dxa"/>
            <w:vAlign w:val="bottom"/>
          </w:tcPr>
          <w:p>
            <w:pPr>
              <w:ind w:left="1140"/>
              <w:spacing w:after="0"/>
              <w:rPr>
                <w:sz w:val="20"/>
                <w:szCs w:val="20"/>
                <w:color w:val="auto"/>
              </w:rPr>
            </w:pPr>
            <w:r>
              <w:rPr>
                <w:rFonts w:ascii="Arial" w:cs="Arial" w:eastAsia="Arial" w:hAnsi="Arial"/>
                <w:sz w:val="18"/>
                <w:szCs w:val="18"/>
                <w:color w:val="auto"/>
              </w:rPr>
              <w:t>with a copy (which</w:t>
            </w:r>
          </w:p>
        </w:tc>
        <w:tc>
          <w:tcPr>
            <w:tcW w:w="8340" w:type="dxa"/>
            <w:vAlign w:val="bottom"/>
          </w:tcPr>
          <w:p>
            <w:pPr>
              <w:ind w:left="360"/>
              <w:spacing w:after="0"/>
              <w:rPr>
                <w:sz w:val="20"/>
                <w:szCs w:val="20"/>
                <w:color w:val="auto"/>
              </w:rPr>
            </w:pPr>
            <w:r>
              <w:rPr>
                <w:rFonts w:ascii="Arial" w:cs="Arial" w:eastAsia="Arial" w:hAnsi="Arial"/>
                <w:sz w:val="18"/>
                <w:szCs w:val="18"/>
                <w:color w:val="auto"/>
              </w:rPr>
              <w:t>Greenberg Traurig, LLP</w:t>
            </w:r>
          </w:p>
        </w:tc>
      </w:tr>
      <w:tr>
        <w:trPr>
          <w:trHeight w:val="215"/>
        </w:trPr>
        <w:tc>
          <w:tcPr>
            <w:tcW w:w="3080" w:type="dxa"/>
            <w:vAlign w:val="bottom"/>
          </w:tcPr>
          <w:p>
            <w:pPr>
              <w:ind w:left="1140"/>
              <w:spacing w:after="0"/>
              <w:rPr>
                <w:sz w:val="20"/>
                <w:szCs w:val="20"/>
                <w:color w:val="auto"/>
              </w:rPr>
            </w:pPr>
            <w:r>
              <w:rPr>
                <w:rFonts w:ascii="Arial" w:cs="Arial" w:eastAsia="Arial" w:hAnsi="Arial"/>
                <w:sz w:val="18"/>
                <w:szCs w:val="18"/>
                <w:color w:val="auto"/>
              </w:rPr>
              <w:t>shall not constitute</w:t>
            </w:r>
          </w:p>
        </w:tc>
        <w:tc>
          <w:tcPr>
            <w:tcW w:w="8340" w:type="dxa"/>
            <w:vAlign w:val="bottom"/>
          </w:tcPr>
          <w:p>
            <w:pPr>
              <w:ind w:left="360"/>
              <w:spacing w:after="0"/>
              <w:rPr>
                <w:sz w:val="20"/>
                <w:szCs w:val="20"/>
                <w:color w:val="auto"/>
              </w:rPr>
            </w:pPr>
            <w:r>
              <w:rPr>
                <w:rFonts w:ascii="Arial" w:cs="Arial" w:eastAsia="Arial" w:hAnsi="Arial"/>
                <w:sz w:val="18"/>
                <w:szCs w:val="18"/>
                <w:color w:val="auto"/>
              </w:rPr>
              <w:t>One International Place, Suite 2000</w:t>
            </w:r>
          </w:p>
        </w:tc>
      </w:tr>
      <w:tr>
        <w:trPr>
          <w:trHeight w:val="215"/>
        </w:trPr>
        <w:tc>
          <w:tcPr>
            <w:tcW w:w="3080" w:type="dxa"/>
            <w:vAlign w:val="bottom"/>
          </w:tcPr>
          <w:p>
            <w:pPr>
              <w:ind w:left="1140"/>
              <w:spacing w:after="0"/>
              <w:rPr>
                <w:sz w:val="20"/>
                <w:szCs w:val="20"/>
                <w:color w:val="auto"/>
              </w:rPr>
            </w:pPr>
            <w:r>
              <w:rPr>
                <w:rFonts w:ascii="Arial" w:cs="Arial" w:eastAsia="Arial" w:hAnsi="Arial"/>
                <w:sz w:val="18"/>
                <w:szCs w:val="18"/>
                <w:color w:val="auto"/>
              </w:rPr>
              <w:t>notice) to:</w:t>
            </w:r>
          </w:p>
        </w:tc>
        <w:tc>
          <w:tcPr>
            <w:tcW w:w="8340" w:type="dxa"/>
            <w:vAlign w:val="bottom"/>
          </w:tcPr>
          <w:p>
            <w:pPr>
              <w:ind w:left="360"/>
              <w:spacing w:after="0"/>
              <w:rPr>
                <w:sz w:val="20"/>
                <w:szCs w:val="20"/>
                <w:color w:val="auto"/>
              </w:rPr>
            </w:pPr>
            <w:r>
              <w:rPr>
                <w:rFonts w:ascii="Arial" w:cs="Arial" w:eastAsia="Arial" w:hAnsi="Arial"/>
                <w:sz w:val="18"/>
                <w:szCs w:val="18"/>
                <w:color w:val="auto"/>
              </w:rPr>
              <w:t>Boston, Massachusetts 02110</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Attn: Abdullah Malik</w:t>
            </w:r>
          </w:p>
        </w:tc>
      </w:tr>
      <w:tr>
        <w:trPr>
          <w:trHeight w:val="215"/>
        </w:trPr>
        <w:tc>
          <w:tcPr>
            <w:tcW w:w="3080" w:type="dxa"/>
            <w:vAlign w:val="bottom"/>
          </w:tcPr>
          <w:p>
            <w:pPr>
              <w:spacing w:after="0"/>
              <w:rPr>
                <w:sz w:val="18"/>
                <w:szCs w:val="18"/>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Fax: (617) 897-0983</w:t>
            </w:r>
          </w:p>
        </w:tc>
      </w:tr>
      <w:tr>
        <w:trPr>
          <w:trHeight w:val="230"/>
        </w:trPr>
        <w:tc>
          <w:tcPr>
            <w:tcW w:w="3080" w:type="dxa"/>
            <w:vAlign w:val="bottom"/>
          </w:tcPr>
          <w:p>
            <w:pPr>
              <w:spacing w:after="0"/>
              <w:rPr>
                <w:sz w:val="19"/>
                <w:szCs w:val="19"/>
                <w:color w:val="auto"/>
              </w:rPr>
            </w:pPr>
          </w:p>
        </w:tc>
        <w:tc>
          <w:tcPr>
            <w:tcW w:w="8340" w:type="dxa"/>
            <w:vAlign w:val="bottom"/>
          </w:tcPr>
          <w:p>
            <w:pPr>
              <w:ind w:left="360"/>
              <w:spacing w:after="0"/>
              <w:rPr>
                <w:sz w:val="20"/>
                <w:szCs w:val="20"/>
                <w:color w:val="auto"/>
              </w:rPr>
            </w:pPr>
            <w:r>
              <w:rPr>
                <w:rFonts w:ascii="Arial" w:cs="Arial" w:eastAsia="Arial" w:hAnsi="Arial"/>
                <w:sz w:val="18"/>
                <w:szCs w:val="18"/>
                <w:color w:val="auto"/>
              </w:rPr>
              <w:t>Email: malika@gtlaw.com</w:t>
            </w:r>
          </w:p>
        </w:tc>
      </w:tr>
      <w:tr>
        <w:trPr>
          <w:trHeight w:val="458"/>
        </w:trPr>
        <w:tc>
          <w:tcPr>
            <w:tcW w:w="3080" w:type="dxa"/>
            <w:vAlign w:val="bottom"/>
          </w:tcPr>
          <w:p>
            <w:pPr>
              <w:spacing w:after="0"/>
              <w:rPr>
                <w:sz w:val="24"/>
                <w:szCs w:val="24"/>
                <w:color w:val="auto"/>
              </w:rPr>
            </w:pPr>
          </w:p>
        </w:tc>
        <w:tc>
          <w:tcPr>
            <w:tcW w:w="8340" w:type="dxa"/>
            <w:vAlign w:val="bottom"/>
          </w:tcPr>
          <w:p>
            <w:pPr>
              <w:ind w:left="2540"/>
              <w:spacing w:after="0"/>
              <w:rPr>
                <w:sz w:val="20"/>
                <w:szCs w:val="20"/>
                <w:color w:val="auto"/>
              </w:rPr>
            </w:pPr>
            <w:r>
              <w:rPr>
                <w:rFonts w:ascii="Arial" w:cs="Arial" w:eastAsia="Arial" w:hAnsi="Arial"/>
                <w:sz w:val="18"/>
                <w:szCs w:val="18"/>
                <w:color w:val="auto"/>
              </w:rPr>
              <w:t>27</w:t>
            </w:r>
          </w:p>
        </w:tc>
      </w:tr>
      <w:tr>
        <w:trPr>
          <w:trHeight w:val="114"/>
        </w:trPr>
        <w:tc>
          <w:tcPr>
            <w:tcW w:w="3080" w:type="dxa"/>
            <w:vAlign w:val="bottom"/>
            <w:tcBorders>
              <w:bottom w:val="single" w:sz="8" w:color="auto"/>
            </w:tcBorders>
          </w:tcPr>
          <w:p>
            <w:pPr>
              <w:spacing w:after="0"/>
              <w:rPr>
                <w:sz w:val="9"/>
                <w:szCs w:val="9"/>
                <w:color w:val="auto"/>
              </w:rPr>
            </w:pPr>
          </w:p>
        </w:tc>
        <w:tc>
          <w:tcPr>
            <w:tcW w:w="83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9" w:right="239" w:bottom="1440" w:gutter="0" w:footer="0" w:header="0"/>
        </w:sectPr>
      </w:pPr>
    </w:p>
    <w:bookmarkStart w:id="636" w:name="page637"/>
    <w:bookmarkEnd w:id="636"/>
    <w:p>
      <w:pPr>
        <w:ind w:left="660" w:hanging="652"/>
        <w:spacing w:after="0"/>
        <w:tabs>
          <w:tab w:leader="none" w:pos="660" w:val="left"/>
        </w:tabs>
        <w:numPr>
          <w:ilvl w:val="0"/>
          <w:numId w:val="6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8"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7" w:name="page638"/>
    <w:bookmarkEnd w:id="637"/>
    <w:p>
      <w:pPr>
        <w:ind w:left="660" w:hanging="652"/>
        <w:spacing w:after="0"/>
        <w:tabs>
          <w:tab w:leader="none" w:pos="660" w:val="left"/>
        </w:tabs>
        <w:numPr>
          <w:ilvl w:val="0"/>
          <w:numId w:val="6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4" w:lineRule="exact"/>
        <w:rPr>
          <w:sz w:val="20"/>
          <w:szCs w:val="20"/>
          <w:color w:val="auto"/>
        </w:rPr>
      </w:pPr>
    </w:p>
    <w:p>
      <w:pPr>
        <w:jc w:val="both"/>
        <w:ind w:firstLine="646"/>
        <w:spacing w:after="0" w:line="285"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8" w:lineRule="exact"/>
        <w:rPr>
          <w:sz w:val="20"/>
          <w:szCs w:val="20"/>
          <w:color w:val="auto"/>
        </w:rPr>
      </w:pPr>
    </w:p>
    <w:p>
      <w:pPr>
        <w:jc w:val="both"/>
        <w:ind w:firstLine="646"/>
        <w:spacing w:after="0" w:line="267"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8" w:name="page639"/>
    <w:bookmarkEnd w:id="638"/>
    <w:p>
      <w:pPr>
        <w:ind w:left="660"/>
        <w:spacing w:after="0"/>
        <w:tabs>
          <w:tab w:leader="none" w:pos="12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12.4.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3"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b w:val="1"/>
          <w:bCs w:val="1"/>
          <w:color w:val="auto"/>
        </w:rPr>
        <w:t xml:space="preserve">12.5. Correction of Loan Documents. </w:t>
      </w:r>
      <w:r>
        <w:rPr>
          <w:rFonts w:ascii="Arial" w:cs="Arial" w:eastAsia="Arial" w:hAnsi="Arial"/>
          <w:sz w:val="18"/>
          <w:szCs w:val="18"/>
          <w:color w:val="auto"/>
        </w:rPr>
        <w:t>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in a manner consistent with the agreement of the parties so long as Collateral Agent provides Borrower with written notice of such correction and allows Borrower at least ten (10) days to object to such correction. In the event of such objection, such correction shall not be made except by an amendment signed by both Collateral Agent and Borrower.</w:t>
      </w:r>
    </w:p>
    <w:p>
      <w:pPr>
        <w:spacing w:after="0" w:line="180"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7"/>
          <w:szCs w:val="17"/>
          <w:b w:val="1"/>
          <w:bCs w:val="1"/>
          <w:color w:val="auto"/>
        </w:rPr>
        <w:t xml:space="preserve">12.6. Amendments in Writing; Integration. </w:t>
      </w:r>
      <w:r>
        <w:rPr>
          <w:rFonts w:ascii="Arial" w:cs="Arial" w:eastAsia="Arial" w:hAnsi="Arial"/>
          <w:sz w:val="17"/>
          <w:szCs w:val="17"/>
          <w:color w:val="auto"/>
        </w:rPr>
        <w:t>(a) 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4" w:lineRule="exact"/>
        <w:rPr>
          <w:sz w:val="20"/>
          <w:szCs w:val="20"/>
          <w:color w:val="auto"/>
        </w:rPr>
      </w:pPr>
    </w:p>
    <w:p>
      <w:pPr>
        <w:ind w:firstLine="1946"/>
        <w:spacing w:after="0" w:line="276" w:lineRule="auto"/>
        <w:tabs>
          <w:tab w:leader="none" w:pos="2356"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69" w:lineRule="exact"/>
        <w:rPr>
          <w:rFonts w:ascii="Arial" w:cs="Arial" w:eastAsia="Arial" w:hAnsi="Arial"/>
          <w:sz w:val="18"/>
          <w:szCs w:val="18"/>
          <w:color w:val="auto"/>
        </w:rPr>
      </w:pPr>
    </w:p>
    <w:p>
      <w:pPr>
        <w:ind w:right="20" w:firstLine="1946"/>
        <w:spacing w:after="0" w:line="276" w:lineRule="auto"/>
        <w:tabs>
          <w:tab w:leader="none" w:pos="2469"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39" w:name="page640"/>
    <w:bookmarkEnd w:id="639"/>
    <w:p>
      <w:pPr>
        <w:jc w:val="both"/>
        <w:ind w:firstLine="1946"/>
        <w:spacing w:after="0" w:line="284" w:lineRule="auto"/>
        <w:tabs>
          <w:tab w:leader="none" w:pos="2544" w:val="left"/>
        </w:tabs>
        <w:numPr>
          <w:ilvl w:val="1"/>
          <w:numId w:val="614"/>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firstLine="1946"/>
        <w:spacing w:after="0" w:line="262" w:lineRule="auto"/>
        <w:tabs>
          <w:tab w:leader="none" w:pos="2451" w:val="left"/>
        </w:tabs>
        <w:numPr>
          <w:ilvl w:val="1"/>
          <w:numId w:val="614"/>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3" w:lineRule="exact"/>
        <w:rPr>
          <w:rFonts w:ascii="Arial" w:cs="Arial" w:eastAsia="Arial" w:hAnsi="Arial"/>
          <w:sz w:val="18"/>
          <w:szCs w:val="18"/>
          <w:color w:val="auto"/>
        </w:rPr>
      </w:pPr>
    </w:p>
    <w:p>
      <w:pPr>
        <w:ind w:right="20" w:firstLine="1300"/>
        <w:spacing w:after="0" w:line="276" w:lineRule="auto"/>
        <w:tabs>
          <w:tab w:leader="none" w:pos="1739" w:val="left"/>
        </w:tabs>
        <w:numPr>
          <w:ilvl w:val="0"/>
          <w:numId w:val="615"/>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69" w:lineRule="exact"/>
        <w:rPr>
          <w:rFonts w:ascii="Arial" w:cs="Arial" w:eastAsia="Arial" w:hAnsi="Arial"/>
          <w:sz w:val="18"/>
          <w:szCs w:val="18"/>
          <w:color w:val="auto"/>
        </w:rPr>
      </w:pPr>
    </w:p>
    <w:p>
      <w:pPr>
        <w:jc w:val="both"/>
        <w:ind w:firstLine="1300"/>
        <w:spacing w:after="0" w:line="262" w:lineRule="auto"/>
        <w:tabs>
          <w:tab w:leader="none" w:pos="1737" w:val="left"/>
        </w:tabs>
        <w:numPr>
          <w:ilvl w:val="0"/>
          <w:numId w:val="615"/>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9"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b w:val="1"/>
          <w:bCs w:val="1"/>
          <w:color w:val="auto"/>
        </w:rPr>
        <w:t xml:space="preserve">12.7.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3"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b w:val="1"/>
          <w:bCs w:val="1"/>
          <w:color w:val="auto"/>
        </w:rPr>
        <w:t xml:space="preserve">12.8. Termination Prior to Maturity Date; Survival. </w:t>
      </w:r>
      <w:r>
        <w:rPr>
          <w:rFonts w:ascii="Arial" w:cs="Arial" w:eastAsia="Arial" w:hAnsi="Arial"/>
          <w:sz w:val="18"/>
          <w:szCs w:val="18"/>
          <w:color w:val="auto"/>
        </w:rPr>
        <w:t>So long as the Collateral Agent and Lenders agree that Borrower has indefeasibly satisfied</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in full, in cash (other than inchoate indemnity obligations and any other obligations which, by their terms, are to survive the termination of this Agreement), this Agreement may be terminated prior to the Maturity Date by Borrower, effective five (5) Business Days after written notice of termination is given to Collateral Agent and the Lenders. 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40" w:name="page641"/>
    <w:bookmarkEnd w:id="640"/>
    <w:p>
      <w:pPr>
        <w:jc w:val="both"/>
        <w:ind w:firstLine="646"/>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of Borrower, the Lenders and Collateral Agent shall exercise the same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fault of the Lenders and/or Collateral Agent; or (ii) is disclosed to the Lenders and/or Collateral Agent by a third party, if the Lenders and/or Collateral Agent does not know that the third party is prohibited from disclosing the information. Subject to the foregoing provisions of this Section 12.9, Collateral Agent and the Lenders may use confidential information for any purpose, including, without limitation, for the development of client databases, reporting purposes, and market analysis so long as Collateral Agent and Lenders do not disclose Borrower’s identity or the identity of any person associated with Borrower unless otherwise permitted.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2"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Collateral Agent and to each Lender, a lien, security interest and right of set off as security for</w:t>
      </w:r>
      <w:r>
        <w:rPr>
          <w:rFonts w:ascii="Arial" w:cs="Arial" w:eastAsia="Arial" w:hAnsi="Arial"/>
          <w:sz w:val="17"/>
          <w:szCs w:val="17"/>
          <w:b w:val="1"/>
          <w:bCs w:val="1"/>
          <w:color w:val="auto"/>
        </w:rPr>
        <w:t xml:space="preserve"> </w:t>
      </w:r>
      <w:r>
        <w:rPr>
          <w:rFonts w:ascii="Arial" w:cs="Arial" w:eastAsia="Arial" w:hAnsi="Arial"/>
          <w:sz w:val="17"/>
          <w:szCs w:val="17"/>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1" w:name="page642"/>
    <w:bookmarkEnd w:id="641"/>
    <w:p>
      <w:pPr>
        <w:jc w:val="both"/>
        <w:ind w:firstLine="646"/>
        <w:spacing w:after="0" w:line="286" w:lineRule="auto"/>
        <w:rPr>
          <w:sz w:val="20"/>
          <w:szCs w:val="20"/>
          <w:color w:val="auto"/>
        </w:rPr>
      </w:pPr>
      <w:r>
        <w:rPr>
          <w:rFonts w:ascii="Arial" w:cs="Arial" w:eastAsia="Arial" w:hAnsi="Arial"/>
          <w:sz w:val="16"/>
          <w:szCs w:val="16"/>
          <w:b w:val="1"/>
          <w:bCs w:val="1"/>
          <w:color w:val="auto"/>
        </w:rPr>
        <w:t xml:space="preserve">12.11. Cooperation of Borrower. </w:t>
      </w:r>
      <w:r>
        <w:rPr>
          <w:rFonts w:ascii="Arial" w:cs="Arial" w:eastAsia="Arial" w:hAnsi="Arial"/>
          <w:sz w:val="16"/>
          <w:szCs w:val="16"/>
          <w:color w:val="auto"/>
        </w:rPr>
        <w:t>If necessary, Borrower agrees to (i) execute any documents (including new Secured Promissory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w:t>
      </w:r>
    </w:p>
    <w:p>
      <w:pPr>
        <w:spacing w:after="0" w:line="3" w:lineRule="exact"/>
        <w:rPr>
          <w:sz w:val="20"/>
          <w:szCs w:val="20"/>
          <w:color w:val="auto"/>
        </w:rPr>
      </w:pPr>
    </w:p>
    <w:p>
      <w:pPr>
        <w:jc w:val="both"/>
        <w:ind w:firstLine="8"/>
        <w:spacing w:after="0" w:line="251" w:lineRule="auto"/>
        <w:tabs>
          <w:tab w:leader="none" w:pos="334" w:val="left"/>
        </w:tabs>
        <w:numPr>
          <w:ilvl w:val="0"/>
          <w:numId w:val="616"/>
        </w:numPr>
        <w:rPr>
          <w:rFonts w:ascii="Arial" w:cs="Arial" w:eastAsia="Arial" w:hAnsi="Arial"/>
          <w:sz w:val="18"/>
          <w:szCs w:val="18"/>
          <w:color w:val="auto"/>
        </w:rPr>
      </w:pPr>
      <w:r>
        <w:rPr>
          <w:rFonts w:ascii="Arial" w:cs="Arial" w:eastAsia="Arial" w:hAnsi="Arial"/>
          <w:sz w:val="18"/>
          <w:szCs w:val="18"/>
          <w:color w:val="auto"/>
        </w:rPr>
        <w:t>assist Collateral Agent or the Lenders in the preparation of information relating to the financial affairs of Borrower as any prospective participant or assignee of a Term Loan Commitment or Term Loan reasonably may request in each case provided such assignment is in accordance with Section 12.1.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90" w:lineRule="exact"/>
        <w:rPr>
          <w:sz w:val="20"/>
          <w:szCs w:val="20"/>
          <w:color w:val="auto"/>
        </w:rPr>
      </w:pPr>
    </w:p>
    <w:p>
      <w:pPr>
        <w:ind w:left="660" w:hanging="652"/>
        <w:spacing w:after="0"/>
        <w:tabs>
          <w:tab w:leader="none" w:pos="660" w:val="left"/>
        </w:tabs>
        <w:numPr>
          <w:ilvl w:val="0"/>
          <w:numId w:val="6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this Agreement, the following terms have the following meanings:</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(i) with respect to a Term A Loan, February 1, 2018 (extending to February 1, 2019 upon the Funding Date of the Term B Loan) and (ii) with respect to Term B Loan, February 1, 2019.</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4" w:lineRule="exact"/>
        <w:rPr>
          <w:sz w:val="20"/>
          <w:szCs w:val="20"/>
          <w:color w:val="auto"/>
        </w:rPr>
      </w:pPr>
    </w:p>
    <w:p>
      <w:pPr>
        <w:jc w:val="both"/>
        <w:ind w:right="20" w:firstLine="646"/>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2" w:name="page643"/>
    <w:bookmarkEnd w:id="642"/>
    <w:p>
      <w:pPr>
        <w:jc w:val="both"/>
        <w:ind w:firstLine="64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4"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Rate</w:t>
      </w:r>
      <w:r>
        <w:rPr>
          <w:rFonts w:ascii="Arial" w:cs="Arial" w:eastAsia="Arial" w:hAnsi="Arial"/>
          <w:sz w:val="18"/>
          <w:szCs w:val="18"/>
          <w:color w:val="auto"/>
        </w:rPr>
        <w:t xml:space="preserve">” is with respect to a Term Loan, the per annum rate of interest (based on a year of three hundred sixty (360) days) equal to the sum of (a) the greater of (i) the thirty (30) day U.S. LIBOR rate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and (ii) Fifty-Three Hundredths percent (0.53%), plus (b) Six and Seventeen Hundredths percent (6.17%); provided, however, that if, pursuant to the foregoing calculation the Basic Rate would exceed ten percent (10.00%), then the Basic Rate shall equal ten percent (10.00%). Notwithstanding the foregoing, the Basic Rate for the Term Loan for the period from the Effective Date through and including December 31, 2016 shall be 6.79367%.</w:t>
      </w:r>
    </w:p>
    <w:p>
      <w:pPr>
        <w:spacing w:after="0" w:line="188"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3" w:name="page644"/>
    <w:bookmarkEnd w:id="643"/>
    <w:p>
      <w:pPr>
        <w:jc w:val="both"/>
        <w:ind w:firstLine="64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and (d) money market funds at least ninety-five percent (95.00%) of the assets of which constitute Cash Equivalents of the kinds described in clauses (a) through (c) of this definition.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6"/>
          <w:szCs w:val="16"/>
          <w:b w:val="1"/>
          <w:bCs w:val="1"/>
          <w:color w:val="auto"/>
        </w:rPr>
        <w:t>Auction Rate Security</w:t>
      </w:r>
      <w:r>
        <w:rPr>
          <w:rFonts w:ascii="Arial" w:cs="Arial" w:eastAsia="Arial" w:hAnsi="Arial"/>
          <w:sz w:val="16"/>
          <w:szCs w:val="16"/>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4"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as amended from time to time.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4" w:name="page645"/>
    <w:bookmarkEnd w:id="644"/>
    <w:p>
      <w:pPr>
        <w:jc w:val="both"/>
        <w:ind w:firstLine="64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9"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******6780, maintained with Silicon Valley Bank.</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5" w:name="page646"/>
    <w:bookmarkEnd w:id="645"/>
    <w:p>
      <w:pPr>
        <w:jc w:val="both"/>
        <w:ind w:firstLine="64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in its reasonable good faith business discretion.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5"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Event</w:t>
      </w:r>
      <w:r>
        <w:rPr>
          <w:rFonts w:ascii="Arial" w:cs="Arial" w:eastAsia="Arial" w:hAnsi="Arial"/>
          <w:sz w:val="18"/>
          <w:szCs w:val="18"/>
          <w:color w:val="auto"/>
        </w:rPr>
        <w:t>” is the receipt by Borrower on or after the Effective Date of gross cash proceeds of not less than Thirty Million Dollars ($30,000,000.00) from the issuance and sale by Borrower of its equity securities with at least one new lead investor.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4" w:lineRule="exact"/>
        <w:rPr>
          <w:sz w:val="20"/>
          <w:szCs w:val="20"/>
          <w:color w:val="auto"/>
        </w:rPr>
      </w:pPr>
    </w:p>
    <w:p>
      <w:pPr>
        <w:jc w:val="both"/>
        <w:ind w:firstLine="64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being repaid (or then due) multiplied by the Final Payment Percentage, payable to Lenders in accordance with their respective Pro Rata Shares. For the avoidance of doubt, the calculation of any Final Payment shall not include the principal amount prepaid in accordance with Section 2.2(d)(ii) if a Final Payment based on such principal amount was made at the time of such prepayment.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Six and Fifty Hundredths percent (6.50%).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6" w:name="page647"/>
    <w:bookmarkEnd w:id="6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territory thereof.</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6"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3"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7" w:name="page648"/>
    <w:bookmarkEnd w:id="6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8" w:lineRule="exact"/>
        <w:rPr>
          <w:sz w:val="20"/>
          <w:szCs w:val="20"/>
          <w:color w:val="auto"/>
        </w:rPr>
      </w:pPr>
    </w:p>
    <w:p>
      <w:pPr>
        <w:ind w:left="1720" w:hanging="420"/>
        <w:spacing w:after="0"/>
        <w:tabs>
          <w:tab w:leader="none" w:pos="172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3" w:lineRule="exact"/>
        <w:rPr>
          <w:rFonts w:ascii="Arial" w:cs="Arial" w:eastAsia="Arial" w:hAnsi="Arial"/>
          <w:sz w:val="18"/>
          <w:szCs w:val="18"/>
          <w:color w:val="auto"/>
        </w:rPr>
      </w:pPr>
    </w:p>
    <w:p>
      <w:pPr>
        <w:ind w:left="1880" w:hanging="580"/>
        <w:spacing w:after="0"/>
        <w:tabs>
          <w:tab w:leader="none" w:pos="188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operating manuals;</w:t>
      </w:r>
    </w:p>
    <w:p>
      <w:pPr>
        <w:spacing w:after="0" w:line="209" w:lineRule="exact"/>
        <w:rPr>
          <w:rFonts w:ascii="Arial" w:cs="Arial" w:eastAsia="Arial" w:hAnsi="Arial"/>
          <w:sz w:val="17"/>
          <w:szCs w:val="17"/>
          <w:color w:val="auto"/>
        </w:rPr>
      </w:pPr>
    </w:p>
    <w:p>
      <w:pPr>
        <w:ind w:left="1720" w:hanging="420"/>
        <w:spacing w:after="0"/>
        <w:tabs>
          <w:tab w:leader="none" w:pos="172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3" w:lineRule="exact"/>
        <w:rPr>
          <w:rFonts w:ascii="Arial" w:cs="Arial" w:eastAsia="Arial" w:hAnsi="Arial"/>
          <w:sz w:val="18"/>
          <w:szCs w:val="18"/>
          <w:color w:val="auto"/>
        </w:rPr>
      </w:pPr>
    </w:p>
    <w:p>
      <w:pPr>
        <w:ind w:firstLine="1300"/>
        <w:spacing w:after="0" w:line="276" w:lineRule="auto"/>
        <w:tabs>
          <w:tab w:leader="none" w:pos="1785" w:val="left"/>
        </w:tabs>
        <w:numPr>
          <w:ilvl w:val="0"/>
          <w:numId w:val="618"/>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9" w:lineRule="exact"/>
        <w:rPr>
          <w:rFonts w:ascii="Arial" w:cs="Arial" w:eastAsia="Arial" w:hAnsi="Arial"/>
          <w:sz w:val="18"/>
          <w:szCs w:val="18"/>
          <w:color w:val="auto"/>
        </w:rPr>
      </w:pPr>
    </w:p>
    <w:p>
      <w:pPr>
        <w:ind w:left="1700" w:hanging="400"/>
        <w:spacing w:after="0"/>
        <w:tabs>
          <w:tab w:leader="none" w:pos="170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0"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Wouter Latour as of the Effective Date, (ii) Chief Financial Officer, who is John Harland as of the Effective Date and (iii) Chief Scientific Officer, who is Sean Tucker as of the Effective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7"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8" w:name="page649"/>
    <w:bookmarkEnd w:id="648"/>
    <w:p>
      <w:pPr>
        <w:jc w:val="both"/>
        <w:ind w:right="20"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3"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Warrants, the Perfection Certificates, each Compliance Certificate, each Disbursement Letter, any subordination agreements, the Post Closing Letter,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80"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of Borrower or any Subsidiary (taken as a whole) or (c) a material impairment of the prospect of repayment of any portion of the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for each Term Loan, January 1, 2021.</w:t>
      </w:r>
    </w:p>
    <w:p>
      <w:pPr>
        <w:spacing w:after="0" w:line="224"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(other than the Warrants), or otherwise,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4"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jc w:val="both"/>
        <w:ind w:firstLine="64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29"/>
          <w:szCs w:val="29"/>
          <w:color w:val="auto"/>
          <w:vertAlign w:val="superscript"/>
        </w:rPr>
        <w:t>st</w:t>
      </w:r>
      <w:r>
        <w:rPr>
          <w:rFonts w:ascii="Arial" w:cs="Arial" w:eastAsia="Arial" w:hAnsi="Arial"/>
          <w:sz w:val="18"/>
          <w:szCs w:val="18"/>
          <w:color w:val="auto"/>
        </w:rPr>
        <w:t>) calendar day of each calendar month, commencing on February 1, 2017.</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49" w:name="page650"/>
    <w:bookmarkEnd w:id="6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8" w:lineRule="exact"/>
        <w:rPr>
          <w:sz w:val="20"/>
          <w:szCs w:val="20"/>
          <w:color w:val="auto"/>
        </w:rPr>
      </w:pPr>
    </w:p>
    <w:p>
      <w:pPr>
        <w:ind w:left="1720" w:hanging="420"/>
        <w:spacing w:after="0"/>
        <w:tabs>
          <w:tab w:leader="none" w:pos="172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3" w:lineRule="exact"/>
        <w:rPr>
          <w:rFonts w:ascii="Arial" w:cs="Arial" w:eastAsia="Arial" w:hAnsi="Arial"/>
          <w:sz w:val="18"/>
          <w:szCs w:val="18"/>
          <w:color w:val="auto"/>
        </w:rPr>
      </w:pPr>
    </w:p>
    <w:p>
      <w:pPr>
        <w:ind w:left="1720" w:hanging="420"/>
        <w:spacing w:after="0"/>
        <w:tabs>
          <w:tab w:leader="none" w:pos="172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3" w:lineRule="exact"/>
        <w:rPr>
          <w:rFonts w:ascii="Arial" w:cs="Arial" w:eastAsia="Arial" w:hAnsi="Arial"/>
          <w:sz w:val="18"/>
          <w:szCs w:val="18"/>
          <w:color w:val="auto"/>
        </w:rPr>
      </w:pPr>
    </w:p>
    <w:p>
      <w:pPr>
        <w:ind w:left="1740" w:hanging="440"/>
        <w:spacing w:after="0"/>
        <w:tabs>
          <w:tab w:leader="none" w:pos="174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3" w:lineRule="exact"/>
        <w:rPr>
          <w:rFonts w:ascii="Arial" w:cs="Arial" w:eastAsia="Arial" w:hAnsi="Arial"/>
          <w:sz w:val="18"/>
          <w:szCs w:val="18"/>
          <w:color w:val="auto"/>
        </w:rPr>
      </w:pPr>
    </w:p>
    <w:p>
      <w:pPr>
        <w:jc w:val="both"/>
        <w:ind w:firstLine="1300"/>
        <w:spacing w:after="0" w:line="295" w:lineRule="auto"/>
        <w:tabs>
          <w:tab w:leader="none" w:pos="1752" w:val="left"/>
        </w:tabs>
        <w:numPr>
          <w:ilvl w:val="0"/>
          <w:numId w:val="619"/>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One Hundred Thousand Dollars ($100,000.00)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61" w:lineRule="exact"/>
        <w:rPr>
          <w:rFonts w:ascii="Arial" w:cs="Arial" w:eastAsia="Arial" w:hAnsi="Arial"/>
          <w:sz w:val="16"/>
          <w:szCs w:val="16"/>
          <w:color w:val="auto"/>
        </w:rPr>
      </w:pPr>
    </w:p>
    <w:p>
      <w:pPr>
        <w:ind w:left="1700" w:hanging="400"/>
        <w:spacing w:after="0"/>
        <w:tabs>
          <w:tab w:leader="none" w:pos="170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w:t>
      </w:r>
    </w:p>
    <w:p>
      <w:pPr>
        <w:spacing w:after="0" w:line="235" w:lineRule="exact"/>
        <w:rPr>
          <w:rFonts w:ascii="Arial" w:cs="Arial" w:eastAsia="Arial" w:hAnsi="Arial"/>
          <w:sz w:val="17"/>
          <w:szCs w:val="17"/>
          <w:color w:val="auto"/>
        </w:rPr>
      </w:pPr>
    </w:p>
    <w:p>
      <w:pPr>
        <w:ind w:firstLine="1300"/>
        <w:spacing w:after="0" w:line="276" w:lineRule="auto"/>
        <w:tabs>
          <w:tab w:leader="none" w:pos="1786" w:val="left"/>
        </w:tabs>
        <w:numPr>
          <w:ilvl w:val="0"/>
          <w:numId w:val="619"/>
        </w:numPr>
        <w:rPr>
          <w:rFonts w:ascii="Arial" w:cs="Arial" w:eastAsia="Arial" w:hAnsi="Arial"/>
          <w:sz w:val="18"/>
          <w:szCs w:val="18"/>
          <w:color w:val="auto"/>
        </w:rPr>
      </w:pPr>
      <w:r>
        <w:rPr>
          <w:rFonts w:ascii="Arial" w:cs="Arial" w:eastAsia="Arial" w:hAnsi="Arial"/>
          <w:sz w:val="18"/>
          <w:szCs w:val="18"/>
          <w:color w:val="auto"/>
        </w:rPr>
        <w:t>other unsecured Indebtedness not specifically enumerated in this defined term “Permitted Indebtedness” not to exceed Twenty-Five Thousand Dollars ($25,000) outstanding at any time; and</w:t>
      </w:r>
    </w:p>
    <w:p>
      <w:pPr>
        <w:spacing w:after="0" w:line="169" w:lineRule="exact"/>
        <w:rPr>
          <w:rFonts w:ascii="Arial" w:cs="Arial" w:eastAsia="Arial" w:hAnsi="Arial"/>
          <w:sz w:val="18"/>
          <w:szCs w:val="18"/>
          <w:color w:val="auto"/>
        </w:rPr>
      </w:pPr>
    </w:p>
    <w:p>
      <w:pPr>
        <w:jc w:val="both"/>
        <w:ind w:firstLine="1300"/>
        <w:spacing w:after="0" w:line="262" w:lineRule="auto"/>
        <w:tabs>
          <w:tab w:leader="none" w:pos="1769" w:val="left"/>
        </w:tabs>
        <w:numPr>
          <w:ilvl w:val="0"/>
          <w:numId w:val="619"/>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Investments” </w:t>
      </w:r>
      <w:r>
        <w:rPr>
          <w:rFonts w:ascii="Arial" w:cs="Arial" w:eastAsia="Arial" w:hAnsi="Arial"/>
          <w:sz w:val="18"/>
          <w:szCs w:val="18"/>
          <w:color w:val="auto"/>
        </w:rPr>
        <w:t>are:</w:t>
      </w:r>
    </w:p>
    <w:p>
      <w:pPr>
        <w:spacing w:after="0" w:line="228" w:lineRule="exact"/>
        <w:rPr>
          <w:sz w:val="20"/>
          <w:szCs w:val="20"/>
          <w:color w:val="auto"/>
        </w:rPr>
      </w:pPr>
    </w:p>
    <w:p>
      <w:pPr>
        <w:ind w:left="1720" w:hanging="420"/>
        <w:spacing w:after="0"/>
        <w:tabs>
          <w:tab w:leader="none" w:pos="17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3" w:lineRule="exact"/>
        <w:rPr>
          <w:rFonts w:ascii="Arial" w:cs="Arial" w:eastAsia="Arial" w:hAnsi="Arial"/>
          <w:sz w:val="18"/>
          <w:szCs w:val="18"/>
          <w:color w:val="auto"/>
        </w:rPr>
      </w:pPr>
    </w:p>
    <w:p>
      <w:pPr>
        <w:ind w:firstLine="1300"/>
        <w:spacing w:after="0" w:line="340" w:lineRule="auto"/>
        <w:tabs>
          <w:tab w:leader="none" w:pos="1739"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4" w:lineRule="exact"/>
        <w:rPr>
          <w:rFonts w:ascii="Arial" w:cs="Arial" w:eastAsia="Arial" w:hAnsi="Arial"/>
          <w:sz w:val="16"/>
          <w:szCs w:val="16"/>
          <w:color w:val="auto"/>
        </w:rPr>
      </w:pPr>
    </w:p>
    <w:p>
      <w:pPr>
        <w:ind w:left="1780" w:hanging="480"/>
        <w:spacing w:after="0"/>
        <w:tabs>
          <w:tab w:leader="none" w:pos="1780" w:val="left"/>
        </w:tabs>
        <w:numPr>
          <w:ilvl w:val="0"/>
          <w:numId w:val="620"/>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50" w:name="page651"/>
    <w:bookmarkEnd w:id="650"/>
    <w:p>
      <w:pPr>
        <w:jc w:val="both"/>
        <w:ind w:firstLine="1300"/>
        <w:spacing w:after="0" w:line="285" w:lineRule="auto"/>
        <w:tabs>
          <w:tab w:leader="none" w:pos="1847"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Investments consisting of deposit accounts and/or securities accounts in which Collateral Agent has a perfected security interest (except as otherwise provided in Section 6.6(b)) and which are maintained in accordance with Borrower’s investment policy, as amended from time to time, provided that such investment policy (and any such amendment thereto) has been approved in writing by Collateral Agent;</w:t>
      </w:r>
    </w:p>
    <w:p>
      <w:pPr>
        <w:spacing w:after="0" w:line="164" w:lineRule="exact"/>
        <w:rPr>
          <w:rFonts w:ascii="Arial" w:cs="Arial" w:eastAsia="Arial" w:hAnsi="Arial"/>
          <w:sz w:val="17"/>
          <w:szCs w:val="17"/>
          <w:color w:val="auto"/>
        </w:rPr>
      </w:pPr>
    </w:p>
    <w:p>
      <w:pPr>
        <w:ind w:left="1720" w:hanging="420"/>
        <w:spacing w:after="0"/>
        <w:tabs>
          <w:tab w:leader="none" w:pos="172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3" w:lineRule="exact"/>
        <w:rPr>
          <w:rFonts w:ascii="Arial" w:cs="Arial" w:eastAsia="Arial" w:hAnsi="Arial"/>
          <w:sz w:val="18"/>
          <w:szCs w:val="18"/>
          <w:color w:val="auto"/>
        </w:rPr>
      </w:pPr>
    </w:p>
    <w:p>
      <w:pPr>
        <w:jc w:val="both"/>
        <w:ind w:firstLine="1300"/>
        <w:spacing w:after="0" w:line="258" w:lineRule="auto"/>
        <w:tabs>
          <w:tab w:leader="none" w:pos="1757"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w:t>
      </w:r>
    </w:p>
    <w:p>
      <w:pPr>
        <w:spacing w:after="0" w:line="186" w:lineRule="exact"/>
        <w:rPr>
          <w:rFonts w:ascii="Arial" w:cs="Arial" w:eastAsia="Arial" w:hAnsi="Arial"/>
          <w:sz w:val="18"/>
          <w:szCs w:val="18"/>
          <w:color w:val="auto"/>
        </w:rPr>
      </w:pPr>
    </w:p>
    <w:p>
      <w:pPr>
        <w:jc w:val="both"/>
        <w:ind w:firstLine="1300"/>
        <w:spacing w:after="0" w:line="258" w:lineRule="auto"/>
        <w:tabs>
          <w:tab w:leader="none" w:pos="175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Investments (i) by Borrower in a Subsidiary that is a co-Borrower or secured guarantor of the Obligations, (ii) by Borrower in one or more of its Subsidiaries that are neither co-Borrowers nor guarantors of the Obligations; provided, that the aggregate amount of all such Investments do not exceed Fifty Thousand Dollars ($50,000.00) in any fiscal year, and (iii) by Subsidiaries (that are neither co-Borrowers nor guarantors of the Obligations) in Borrower or in a Subsidiary that is a co-Borrower or secured guarantor of the Obligations;</w:t>
      </w:r>
    </w:p>
    <w:p>
      <w:pPr>
        <w:spacing w:after="0" w:line="186" w:lineRule="exact"/>
        <w:rPr>
          <w:rFonts w:ascii="Arial" w:cs="Arial" w:eastAsia="Arial" w:hAnsi="Arial"/>
          <w:sz w:val="18"/>
          <w:szCs w:val="18"/>
          <w:color w:val="auto"/>
        </w:rPr>
      </w:pPr>
    </w:p>
    <w:p>
      <w:pPr>
        <w:jc w:val="both"/>
        <w:ind w:firstLine="1300"/>
        <w:spacing w:after="0" w:line="262" w:lineRule="auto"/>
        <w:tabs>
          <w:tab w:leader="none" w:pos="181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Repurchases of stock from former employees or directors of Borrower under the terms of applicable repurchase agreements in an aggregate amount not to exceed Two Hundred Thousand Dollars ($200,000.00) in any fiscal year, provided that no Event of Default has occurred, is continuing or would exist after giving effect to the repurchases;</w:t>
      </w:r>
    </w:p>
    <w:p>
      <w:pPr>
        <w:spacing w:after="0" w:line="183" w:lineRule="exact"/>
        <w:rPr>
          <w:rFonts w:ascii="Arial" w:cs="Arial" w:eastAsia="Arial" w:hAnsi="Arial"/>
          <w:sz w:val="18"/>
          <w:szCs w:val="18"/>
          <w:color w:val="auto"/>
        </w:rPr>
      </w:pPr>
    </w:p>
    <w:p>
      <w:pPr>
        <w:ind w:firstLine="1300"/>
        <w:spacing w:after="0" w:line="306" w:lineRule="auto"/>
        <w:tabs>
          <w:tab w:leader="none" w:pos="1698"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7" w:lineRule="exact"/>
        <w:rPr>
          <w:rFonts w:ascii="Arial" w:cs="Arial" w:eastAsia="Arial" w:hAnsi="Arial"/>
          <w:sz w:val="17"/>
          <w:szCs w:val="17"/>
          <w:color w:val="auto"/>
        </w:rPr>
      </w:pPr>
    </w:p>
    <w:p>
      <w:pPr>
        <w:ind w:firstLine="1300"/>
        <w:spacing w:after="0" w:line="306" w:lineRule="auto"/>
        <w:tabs>
          <w:tab w:leader="none" w:pos="1716"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47" w:lineRule="exact"/>
        <w:rPr>
          <w:rFonts w:ascii="Arial" w:cs="Arial" w:eastAsia="Arial" w:hAnsi="Arial"/>
          <w:sz w:val="17"/>
          <w:szCs w:val="17"/>
          <w:color w:val="auto"/>
        </w:rPr>
      </w:pPr>
    </w:p>
    <w:p>
      <w:pPr>
        <w:ind w:left="1740" w:hanging="440"/>
        <w:spacing w:after="0"/>
        <w:tabs>
          <w:tab w:leader="none" w:pos="1740"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Investments in compliance with Borrower’s board approved investment policy; and</w:t>
      </w:r>
    </w:p>
    <w:p>
      <w:pPr>
        <w:spacing w:after="0" w:line="223" w:lineRule="exact"/>
        <w:rPr>
          <w:rFonts w:ascii="Arial" w:cs="Arial" w:eastAsia="Arial" w:hAnsi="Arial"/>
          <w:sz w:val="18"/>
          <w:szCs w:val="18"/>
          <w:color w:val="auto"/>
        </w:rPr>
      </w:pPr>
    </w:p>
    <w:p>
      <w:pPr>
        <w:ind w:firstLine="1300"/>
        <w:spacing w:after="0" w:line="276" w:lineRule="auto"/>
        <w:tabs>
          <w:tab w:leader="none" w:pos="1798"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51" w:name="page652"/>
    <w:bookmarkEnd w:id="651"/>
    <w:p>
      <w:pPr>
        <w:jc w:val="both"/>
        <w:ind w:firstLine="64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w:t>
      </w:r>
    </w:p>
    <w:p>
      <w:pPr>
        <w:spacing w:after="0" w:line="3" w:lineRule="exact"/>
        <w:rPr>
          <w:sz w:val="20"/>
          <w:szCs w:val="20"/>
          <w:color w:val="auto"/>
        </w:rPr>
      </w:pPr>
    </w:p>
    <w:p>
      <w:pPr>
        <w:jc w:val="both"/>
        <w:ind w:firstLine="8"/>
        <w:spacing w:after="0" w:line="269" w:lineRule="auto"/>
        <w:tabs>
          <w:tab w:leader="none" w:pos="319" w:val="left"/>
        </w:tabs>
        <w:numPr>
          <w:ilvl w:val="0"/>
          <w:numId w:val="622"/>
        </w:numPr>
        <w:rPr>
          <w:rFonts w:ascii="Arial" w:cs="Arial" w:eastAsia="Arial" w:hAnsi="Arial"/>
          <w:sz w:val="17"/>
          <w:szCs w:val="17"/>
          <w:color w:val="auto"/>
        </w:rPr>
      </w:pPr>
      <w:r>
        <w:rPr>
          <w:rFonts w:ascii="Arial" w:cs="Arial" w:eastAsia="Arial" w:hAnsi="Arial"/>
          <w:sz w:val="17"/>
          <w:szCs w:val="17"/>
          <w:color w:val="auto"/>
        </w:rPr>
        <w:t>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are:</w:t>
      </w:r>
    </w:p>
    <w:p>
      <w:pPr>
        <w:spacing w:after="0" w:line="228" w:lineRule="exact"/>
        <w:rPr>
          <w:sz w:val="20"/>
          <w:szCs w:val="20"/>
          <w:color w:val="auto"/>
        </w:rPr>
      </w:pPr>
    </w:p>
    <w:p>
      <w:pPr>
        <w:ind w:left="1760" w:hanging="460"/>
        <w:spacing w:after="0"/>
        <w:tabs>
          <w:tab w:leader="none" w:pos="1760" w:val="left"/>
        </w:tabs>
        <w:numPr>
          <w:ilvl w:val="0"/>
          <w:numId w:val="623"/>
        </w:numPr>
        <w:rPr>
          <w:rFonts w:ascii="Arial" w:cs="Arial" w:eastAsia="Arial" w:hAnsi="Arial"/>
          <w:sz w:val="16"/>
          <w:szCs w:val="16"/>
          <w:color w:val="auto"/>
        </w:rPr>
      </w:pPr>
      <w:r>
        <w:rPr>
          <w:rFonts w:ascii="Arial" w:cs="Arial" w:eastAsia="Arial" w:hAnsi="Arial"/>
          <w:sz w:val="16"/>
          <w:szCs w:val="16"/>
          <w:color w:val="auto"/>
        </w:rPr>
        <w:t>Liens existing on the Effective Date and disclosed on the Perfection Certificates or arising under this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09" w:lineRule="exact"/>
        <w:rPr>
          <w:sz w:val="20"/>
          <w:szCs w:val="20"/>
          <w:color w:val="auto"/>
        </w:rPr>
      </w:pPr>
    </w:p>
    <w:p>
      <w:pPr>
        <w:jc w:val="both"/>
        <w:ind w:firstLine="1300"/>
        <w:spacing w:after="0" w:line="262" w:lineRule="auto"/>
        <w:tabs>
          <w:tab w:leader="none" w:pos="1748" w:val="left"/>
        </w:tabs>
        <w:numPr>
          <w:ilvl w:val="0"/>
          <w:numId w:val="624"/>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9" w:lineRule="exact"/>
        <w:rPr>
          <w:rFonts w:ascii="Arial" w:cs="Arial" w:eastAsia="Arial" w:hAnsi="Arial"/>
          <w:sz w:val="18"/>
          <w:szCs w:val="18"/>
          <w:color w:val="auto"/>
        </w:rPr>
      </w:pPr>
    </w:p>
    <w:p>
      <w:pPr>
        <w:jc w:val="both"/>
        <w:ind w:firstLine="1300"/>
        <w:spacing w:after="0" w:line="280" w:lineRule="auto"/>
        <w:tabs>
          <w:tab w:leader="none" w:pos="1799" w:val="left"/>
        </w:tabs>
        <w:numPr>
          <w:ilvl w:val="0"/>
          <w:numId w:val="624"/>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left="80" w:firstLine="1284"/>
        <w:spacing w:after="0" w:line="258" w:lineRule="auto"/>
        <w:tabs>
          <w:tab w:leader="none" w:pos="1808" w:val="left"/>
        </w:tabs>
        <w:numPr>
          <w:ilvl w:val="1"/>
          <w:numId w:val="624"/>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7" w:lineRule="exact"/>
        <w:rPr>
          <w:sz w:val="20"/>
          <w:szCs w:val="20"/>
          <w:color w:val="auto"/>
        </w:rPr>
      </w:pPr>
    </w:p>
    <w:p>
      <w:pPr>
        <w:ind w:firstLine="1300"/>
        <w:spacing w:after="0" w:line="276" w:lineRule="auto"/>
        <w:tabs>
          <w:tab w:leader="none" w:pos="1715" w:val="left"/>
        </w:tabs>
        <w:numPr>
          <w:ilvl w:val="0"/>
          <w:numId w:val="625"/>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9" w:lineRule="exact"/>
        <w:rPr>
          <w:rFonts w:ascii="Arial" w:cs="Arial" w:eastAsia="Arial" w:hAnsi="Arial"/>
          <w:sz w:val="18"/>
          <w:szCs w:val="18"/>
          <w:color w:val="auto"/>
        </w:rPr>
      </w:pPr>
    </w:p>
    <w:p>
      <w:pPr>
        <w:jc w:val="both"/>
        <w:ind w:firstLine="1300"/>
        <w:spacing w:after="0" w:line="278" w:lineRule="auto"/>
        <w:tabs>
          <w:tab w:leader="none" w:pos="1771" w:val="left"/>
        </w:tabs>
        <w:numPr>
          <w:ilvl w:val="0"/>
          <w:numId w:val="625"/>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52" w:name="page653"/>
    <w:bookmarkEnd w:id="652"/>
    <w:p>
      <w:pPr>
        <w:jc w:val="both"/>
        <w:ind w:firstLine="1300"/>
        <w:spacing w:after="0" w:line="262" w:lineRule="auto"/>
        <w:tabs>
          <w:tab w:leader="none" w:pos="1847" w:val="left"/>
        </w:tabs>
        <w:numPr>
          <w:ilvl w:val="0"/>
          <w:numId w:val="626"/>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3" w:lineRule="exact"/>
        <w:rPr>
          <w:rFonts w:ascii="Arial" w:cs="Arial" w:eastAsia="Arial" w:hAnsi="Arial"/>
          <w:sz w:val="18"/>
          <w:szCs w:val="18"/>
          <w:color w:val="auto"/>
        </w:rPr>
      </w:pPr>
    </w:p>
    <w:p>
      <w:pPr>
        <w:ind w:left="1740" w:hanging="440"/>
        <w:spacing w:after="0"/>
        <w:tabs>
          <w:tab w:leader="none" w:pos="174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246" w:lineRule="exact"/>
        <w:rPr>
          <w:rFonts w:ascii="Arial" w:cs="Arial" w:eastAsia="Arial" w:hAnsi="Arial"/>
          <w:sz w:val="16"/>
          <w:szCs w:val="16"/>
          <w:color w:val="auto"/>
        </w:rPr>
      </w:pPr>
    </w:p>
    <w:p>
      <w:pPr>
        <w:jc w:val="both"/>
        <w:ind w:firstLine="1300"/>
        <w:spacing w:after="0" w:line="310" w:lineRule="auto"/>
        <w:tabs>
          <w:tab w:leader="none" w:pos="1737" w:val="left"/>
        </w:tabs>
        <w:numPr>
          <w:ilvl w:val="0"/>
          <w:numId w:val="626"/>
        </w:numPr>
        <w:rPr>
          <w:rFonts w:ascii="Arial" w:cs="Arial" w:eastAsia="Arial" w:hAnsi="Arial"/>
          <w:sz w:val="16"/>
          <w:szCs w:val="16"/>
          <w:color w:val="auto"/>
        </w:rPr>
      </w:pPr>
      <w:r>
        <w:rPr>
          <w:rFonts w:ascii="Arial" w:cs="Arial" w:eastAsia="Arial" w:hAnsi="Arial"/>
          <w:sz w:val="16"/>
          <w:szCs w:val="16"/>
          <w:color w:val="auto"/>
        </w:rPr>
        <w:t>Liens consisting of and restricted to deposits to secure the performance of leases incurred in the ordinary course of business and not representing an obligation for borrowed money so long all such deposits: (1) are made at the commencement of a lease or its renewal when there is no underlying default under such lease, and (2) are in an aggregate amount not exceeding Two Hundred Fifty Thousand Dollars ($250,000.00) at any time;</w:t>
      </w:r>
    </w:p>
    <w:p>
      <w:pPr>
        <w:spacing w:after="0" w:line="148" w:lineRule="exact"/>
        <w:rPr>
          <w:rFonts w:ascii="Arial" w:cs="Arial" w:eastAsia="Arial" w:hAnsi="Arial"/>
          <w:sz w:val="16"/>
          <w:szCs w:val="16"/>
          <w:color w:val="auto"/>
        </w:rPr>
      </w:pPr>
    </w:p>
    <w:p>
      <w:pPr>
        <w:ind w:firstLine="1300"/>
        <w:spacing w:after="0" w:line="276" w:lineRule="auto"/>
        <w:tabs>
          <w:tab w:leader="none" w:pos="1686" w:val="left"/>
        </w:tabs>
        <w:numPr>
          <w:ilvl w:val="0"/>
          <w:numId w:val="626"/>
        </w:numPr>
        <w:rPr>
          <w:rFonts w:ascii="Arial" w:cs="Arial" w:eastAsia="Arial" w:hAnsi="Arial"/>
          <w:sz w:val="18"/>
          <w:szCs w:val="18"/>
          <w:color w:val="auto"/>
        </w:rPr>
      </w:pPr>
      <w:r>
        <w:rPr>
          <w:rFonts w:ascii="Arial" w:cs="Arial" w:eastAsia="Arial" w:hAnsi="Arial"/>
          <w:sz w:val="18"/>
          <w:szCs w:val="18"/>
          <w:color w:val="auto"/>
        </w:rPr>
        <w:t>easements, reservations, rights-of-way, restrictions, minor defects or irregularities in title and other similar Liens affecting real property not interfering in any material respect with the ordinary course of the business;</w:t>
      </w:r>
    </w:p>
    <w:p>
      <w:pPr>
        <w:spacing w:after="0" w:line="169" w:lineRule="exact"/>
        <w:rPr>
          <w:rFonts w:ascii="Arial" w:cs="Arial" w:eastAsia="Arial" w:hAnsi="Arial"/>
          <w:sz w:val="18"/>
          <w:szCs w:val="18"/>
          <w:color w:val="auto"/>
        </w:rPr>
      </w:pPr>
    </w:p>
    <w:p>
      <w:pPr>
        <w:jc w:val="both"/>
        <w:ind w:firstLine="1300"/>
        <w:spacing w:after="0" w:line="256" w:lineRule="auto"/>
        <w:tabs>
          <w:tab w:leader="none" w:pos="1821" w:val="left"/>
        </w:tabs>
        <w:numPr>
          <w:ilvl w:val="0"/>
          <w:numId w:val="626"/>
        </w:numPr>
        <w:rPr>
          <w:rFonts w:ascii="Arial" w:cs="Arial" w:eastAsia="Arial" w:hAnsi="Arial"/>
          <w:sz w:val="18"/>
          <w:szCs w:val="18"/>
          <w:color w:val="auto"/>
        </w:rPr>
      </w:pPr>
      <w:r>
        <w:rPr>
          <w:rFonts w:ascii="Arial" w:cs="Arial" w:eastAsia="Arial" w:hAnsi="Arial"/>
          <w:sz w:val="18"/>
          <w:szCs w:val="18"/>
          <w:color w:val="auto"/>
        </w:rPr>
        <w:t>Liens consisting of and restricted to deposits to secure the performance of bids, trade contracts (other than for borrowed money), contracts for the purchase of property permitted hereunder, statutory obligations, surety and appeal bonds, performance bonds and other obligations of a like nature, in each case, incurred in the ordinary course of business, and not representing obligations for borrowed money exceeding an aggregate amount of Two Hundred Fifty Thousand Dollars ($250,000.00) at any given time (provided, further, that the aggregate amount of all such deposits at any given time may not exceed Two Hundred Fifty Thousand Dollars ($250,000.00) either);</w:t>
      </w:r>
    </w:p>
    <w:p>
      <w:pPr>
        <w:spacing w:after="0" w:line="188" w:lineRule="exact"/>
        <w:rPr>
          <w:rFonts w:ascii="Arial" w:cs="Arial" w:eastAsia="Arial" w:hAnsi="Arial"/>
          <w:sz w:val="18"/>
          <w:szCs w:val="18"/>
          <w:color w:val="auto"/>
        </w:rPr>
      </w:pPr>
    </w:p>
    <w:p>
      <w:pPr>
        <w:ind w:left="1700" w:hanging="400"/>
        <w:spacing w:after="0"/>
        <w:tabs>
          <w:tab w:leader="none" w:pos="170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Liens consisting of Permitted Licenses; and</w:t>
      </w:r>
    </w:p>
    <w:p>
      <w:pPr>
        <w:spacing w:after="0" w:line="223" w:lineRule="exact"/>
        <w:rPr>
          <w:rFonts w:ascii="Arial" w:cs="Arial" w:eastAsia="Arial" w:hAnsi="Arial"/>
          <w:sz w:val="18"/>
          <w:szCs w:val="18"/>
          <w:color w:val="auto"/>
        </w:rPr>
      </w:pPr>
    </w:p>
    <w:p>
      <w:pPr>
        <w:jc w:val="both"/>
        <w:ind w:firstLine="1300"/>
        <w:spacing w:after="0" w:line="262" w:lineRule="auto"/>
        <w:tabs>
          <w:tab w:leader="none" w:pos="1848" w:val="left"/>
        </w:tabs>
        <w:numPr>
          <w:ilvl w:val="0"/>
          <w:numId w:val="626"/>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(n),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79" w:lineRule="exact"/>
        <w:rPr>
          <w:sz w:val="20"/>
          <w:szCs w:val="20"/>
          <w:color w:val="auto"/>
        </w:rPr>
      </w:pPr>
    </w:p>
    <w:p>
      <w:pPr>
        <w:ind w:right="20"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and Borrower.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53" w:name="page654"/>
    <w:bookmarkEnd w:id="653"/>
    <w:p>
      <w:pPr>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7" w:lineRule="exact"/>
        <w:rPr>
          <w:sz w:val="20"/>
          <w:szCs w:val="20"/>
          <w:color w:val="auto"/>
        </w:rPr>
      </w:pPr>
    </w:p>
    <w:p>
      <w:pPr>
        <w:ind w:firstLine="1946"/>
        <w:spacing w:after="0" w:line="276" w:lineRule="auto"/>
        <w:tabs>
          <w:tab w:leader="none" w:pos="2401" w:val="left"/>
        </w:tabs>
        <w:numPr>
          <w:ilvl w:val="0"/>
          <w:numId w:val="627"/>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69" w:lineRule="exact"/>
        <w:rPr>
          <w:rFonts w:ascii="Arial" w:cs="Arial" w:eastAsia="Arial" w:hAnsi="Arial"/>
          <w:sz w:val="18"/>
          <w:szCs w:val="18"/>
          <w:color w:val="auto"/>
        </w:rPr>
      </w:pPr>
    </w:p>
    <w:p>
      <w:pPr>
        <w:ind w:firstLine="1946"/>
        <w:spacing w:after="0" w:line="340" w:lineRule="auto"/>
        <w:tabs>
          <w:tab w:leader="none" w:pos="2399" w:val="left"/>
        </w:tabs>
        <w:numPr>
          <w:ilvl w:val="0"/>
          <w:numId w:val="627"/>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4" w:lineRule="exact"/>
        <w:rPr>
          <w:rFonts w:ascii="Arial" w:cs="Arial" w:eastAsia="Arial" w:hAnsi="Arial"/>
          <w:sz w:val="16"/>
          <w:szCs w:val="16"/>
          <w:color w:val="auto"/>
        </w:rPr>
      </w:pPr>
    </w:p>
    <w:p>
      <w:pPr>
        <w:ind w:firstLine="1946"/>
        <w:spacing w:after="0" w:line="276" w:lineRule="auto"/>
        <w:tabs>
          <w:tab w:leader="none" w:pos="2455" w:val="left"/>
        </w:tabs>
        <w:numPr>
          <w:ilvl w:val="0"/>
          <w:numId w:val="627"/>
        </w:numPr>
        <w:rPr>
          <w:rFonts w:ascii="Arial" w:cs="Arial" w:eastAsia="Arial" w:hAnsi="Arial"/>
          <w:sz w:val="18"/>
          <w:szCs w:val="18"/>
          <w:color w:val="auto"/>
        </w:rPr>
      </w:pPr>
      <w:r>
        <w:rPr>
          <w:rFonts w:ascii="Arial" w:cs="Arial" w:eastAsia="Arial" w:hAnsi="Arial"/>
          <w:sz w:val="18"/>
          <w:szCs w:val="18"/>
          <w:color w:val="auto"/>
        </w:rPr>
        <w:t>for a prepayment made after the second anniversary of the Funding Date of such Term Loan and prior to the Maturity Date, One percent (1.00%) of the principal amount of the Term Loans prepaid.</w:t>
      </w:r>
    </w:p>
    <w:p>
      <w:pPr>
        <w:spacing w:after="0" w:line="16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5" w:lineRule="exact"/>
        <w:rPr>
          <w:sz w:val="20"/>
          <w:szCs w:val="20"/>
          <w:color w:val="auto"/>
        </w:rPr>
      </w:pPr>
    </w:p>
    <w:p>
      <w:pPr>
        <w:jc w:val="both"/>
        <w:ind w:firstLine="64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(i) for so long as all of the Persons that are Lenders on the Effective Date (each an “</w:t>
      </w:r>
      <w:r>
        <w:rPr>
          <w:rFonts w:ascii="Arial" w:cs="Arial" w:eastAsia="Arial" w:hAnsi="Arial"/>
          <w:sz w:val="18"/>
          <w:szCs w:val="18"/>
          <w:b w:val="1"/>
          <w:bCs w:val="1"/>
          <w:color w:val="auto"/>
        </w:rPr>
        <w:t>Original Lender</w:t>
      </w:r>
      <w:r>
        <w:rPr>
          <w:rFonts w:ascii="Arial" w:cs="Arial" w:eastAsia="Arial" w:hAnsi="Arial"/>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6"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4"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date of the occurrence of the Equity Event and ending on the earliest of (i) December 31, 2017, (ii) the date that is sixty (60) days immediately following the date of the occurrence of the Equity Event and (iii) the occurrence of an Event of Default; provided, however, that the Second Draw Period shall not commence if on the date of the occurrence of the Equity Event an Event of Default has occurred and is continuing.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54" w:name="page655"/>
    <w:bookmarkEnd w:id="6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4" w:lineRule="exact"/>
        <w:rPr>
          <w:sz w:val="20"/>
          <w:szCs w:val="20"/>
          <w:color w:val="auto"/>
        </w:rPr>
      </w:pPr>
    </w:p>
    <w:p>
      <w:pPr>
        <w:jc w:val="both"/>
        <w:ind w:firstLine="64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spacing w:after="0" w:line="168" w:lineRule="exact"/>
        <w:rPr>
          <w:sz w:val="20"/>
          <w:szCs w:val="20"/>
          <w:color w:val="auto"/>
        </w:rPr>
      </w:pPr>
    </w:p>
    <w:p>
      <w:pPr>
        <w:jc w:val="both"/>
        <w:ind w:firstLine="646"/>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jc w:val="both"/>
        <w:ind w:firstLine="646"/>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jc w:val="both"/>
        <w:ind w:firstLine="646"/>
        <w:spacing w:after="0" w:line="31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2.2(a)(ii) hereof.</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4"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3" w:lineRule="exact"/>
        <w:rPr>
          <w:sz w:val="20"/>
          <w:szCs w:val="20"/>
          <w:color w:val="auto"/>
        </w:rPr>
      </w:pPr>
    </w:p>
    <w:p>
      <w:pPr>
        <w:jc w:val="both"/>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55" w:name="page656"/>
    <w:bookmarkEnd w:id="655"/>
    <w:p>
      <w:pPr>
        <w:ind w:firstLine="646"/>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56" w:name="page657"/>
    <w:bookmarkEnd w:id="65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caused this Agreement to be executed as of the Effective Date.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Wouter Latour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5">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 Wouter Latour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6">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7">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8">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9">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579" w:right="1440" w:bottom="1440" w:gutter="0" w:footer="0" w:header="0"/>
        </w:sectPr>
      </w:pPr>
    </w:p>
    <w:bookmarkStart w:id="657" w:name="page658"/>
    <w:bookmarkEnd w:id="657"/>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as of the Effective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3">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4">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c>
          <w:tcPr>
            <w:tcW w:w="6840" w:type="dxa"/>
            <w:vAlign w:val="bottom"/>
          </w:tcPr>
          <w:p>
            <w:pPr>
              <w:spacing w:after="0"/>
              <w:rPr>
                <w:sz w:val="19"/>
                <w:szCs w:val="19"/>
                <w:color w:val="auto"/>
              </w:rPr>
            </w:pPr>
          </w:p>
        </w:tc>
      </w:tr>
      <w:tr>
        <w:trPr>
          <w:trHeight w:val="4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Davis</w:t>
            </w:r>
          </w:p>
        </w:tc>
        <w:tc>
          <w:tcPr>
            <w:tcW w:w="6840" w:type="dxa"/>
            <w:vAlign w:val="bottom"/>
          </w:tcPr>
          <w:p>
            <w:pPr>
              <w:spacing w:after="0"/>
              <w:rPr>
                <w:sz w:val="24"/>
                <w:szCs w:val="24"/>
                <w:color w:val="auto"/>
              </w:rPr>
            </w:pPr>
          </w:p>
        </w:tc>
      </w:tr>
      <w:tr>
        <w:trPr>
          <w:trHeight w:val="4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 Finance, Secretary &amp; Treasurer</w:t>
            </w:r>
          </w:p>
        </w:tc>
        <w:tc>
          <w:tcPr>
            <w:tcW w:w="6840" w:type="dxa"/>
            <w:vAlign w:val="bottom"/>
          </w:tcPr>
          <w:p>
            <w:pPr>
              <w:spacing w:after="0"/>
              <w:rPr>
                <w:sz w:val="24"/>
                <w:szCs w:val="24"/>
                <w:color w:val="auto"/>
              </w:rPr>
            </w:pPr>
          </w:p>
        </w:tc>
      </w:tr>
      <w:tr>
        <w:trPr>
          <w:trHeight w:val="855"/>
        </w:trPr>
        <w:tc>
          <w:tcPr>
            <w:tcW w:w="580" w:type="dxa"/>
            <w:vAlign w:val="bottom"/>
          </w:tcPr>
          <w:p>
            <w:pPr>
              <w:spacing w:after="0"/>
              <w:rPr>
                <w:sz w:val="24"/>
                <w:szCs w:val="24"/>
                <w:color w:val="auto"/>
              </w:rPr>
            </w:pPr>
          </w:p>
        </w:tc>
        <w:tc>
          <w:tcPr>
            <w:tcW w:w="10840" w:type="dxa"/>
            <w:vAlign w:val="bottom"/>
            <w:gridSpan w:val="2"/>
          </w:tcPr>
          <w:p>
            <w:pPr>
              <w:ind w:left="3280"/>
              <w:spacing w:after="0"/>
              <w:rPr>
                <w:sz w:val="20"/>
                <w:szCs w:val="20"/>
                <w:color w:val="auto"/>
              </w:rPr>
            </w:pPr>
            <w:r>
              <w:rPr>
                <w:rFonts w:ascii="Arial" w:cs="Arial" w:eastAsia="Arial" w:hAnsi="Arial"/>
                <w:sz w:val="18"/>
                <w:szCs w:val="18"/>
                <w:b w:val="1"/>
                <w:bCs w:val="1"/>
                <w:i w:val="1"/>
                <w:iCs w:val="1"/>
                <w:color w:val="auto"/>
              </w:rPr>
              <w:t>[Signature Page to Loan and Security Agreement]</w:t>
            </w:r>
          </w:p>
        </w:tc>
      </w:tr>
      <w:tr>
        <w:trPr>
          <w:trHeight w:val="357"/>
        </w:trPr>
        <w:tc>
          <w:tcPr>
            <w:tcW w:w="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658" w:name="page659"/>
    <w:bookmarkEnd w:id="658"/>
    <w:p>
      <w:pPr>
        <w:jc w:val="center"/>
        <w:spacing w:after="0"/>
        <w:rPr>
          <w:sz w:val="20"/>
          <w:szCs w:val="20"/>
          <w:color w:val="auto"/>
        </w:rPr>
      </w:pPr>
      <w:r>
        <w:rPr>
          <w:rFonts w:ascii="Arial" w:cs="Arial" w:eastAsia="Arial" w:hAnsi="Arial"/>
          <w:sz w:val="18"/>
          <w:szCs w:val="18"/>
          <w:b w:val="1"/>
          <w:bCs w:val="1"/>
          <w:color w:val="auto"/>
        </w:rPr>
        <w:t>SCHEDULE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Lender</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Loan Commitment</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Commitment Percentage</w:t>
            </w:r>
          </w:p>
        </w:tc>
      </w:tr>
      <w:tr>
        <w:trPr>
          <w:trHeight w:val="209"/>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OXFORD FINANCE LLC</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$5,000,000.00</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100.00%</w:t>
            </w:r>
          </w:p>
        </w:tc>
      </w:tr>
      <w:tr>
        <w:trPr>
          <w:trHeight w:val="639"/>
        </w:trPr>
        <w:tc>
          <w:tcPr>
            <w:tcW w:w="3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B Loans</w:t>
            </w:r>
          </w:p>
        </w:tc>
        <w:tc>
          <w:tcPr>
            <w:tcW w:w="3800" w:type="dxa"/>
            <w:vAlign w:val="bottom"/>
            <w:tcBorders>
              <w:bottom w:val="single" w:sz="8" w:color="auto"/>
            </w:tcBorders>
          </w:tcPr>
          <w:p>
            <w:pPr>
              <w:spacing w:after="0"/>
              <w:rPr>
                <w:sz w:val="24"/>
                <w:szCs w:val="24"/>
                <w:color w:val="auto"/>
              </w:rPr>
            </w:pPr>
          </w:p>
        </w:tc>
      </w:tr>
      <w:tr>
        <w:trPr>
          <w:trHeight w:val="209"/>
        </w:trPr>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Lender</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Loan Commitment</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Commitment Percentage</w:t>
            </w:r>
          </w:p>
        </w:tc>
      </w:tr>
      <w:tr>
        <w:trPr>
          <w:trHeight w:val="209"/>
        </w:trPr>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OXFORD FINANCE LLC</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100.00%</w:t>
            </w:r>
          </w:p>
        </w:tc>
      </w:tr>
      <w:tr>
        <w:trPr>
          <w:trHeight w:val="639"/>
        </w:trPr>
        <w:tc>
          <w:tcPr>
            <w:tcW w:w="3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 (all Term Loans</w:t>
            </w:r>
          </w:p>
        </w:tc>
        <w:tc>
          <w:tcPr>
            <w:tcW w:w="3800" w:type="dxa"/>
            <w:vAlign w:val="bottom"/>
            <w:tcBorders>
              <w:bottom w:val="single" w:sz="8" w:color="auto"/>
            </w:tcBorders>
          </w:tcPr>
          <w:p>
            <w:pPr>
              <w:spacing w:after="0"/>
              <w:rPr>
                <w:sz w:val="24"/>
                <w:szCs w:val="24"/>
                <w:color w:val="auto"/>
              </w:rPr>
            </w:pPr>
          </w:p>
        </w:tc>
      </w:tr>
      <w:tr>
        <w:trPr>
          <w:trHeight w:val="209"/>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Lender</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Loan Commitment</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Commitment Percentage</w:t>
            </w:r>
          </w:p>
        </w:tc>
      </w:tr>
      <w:tr>
        <w:trPr>
          <w:trHeight w:val="209"/>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OXFORD FINANCE LLC</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100.00%</w:t>
            </w:r>
          </w:p>
        </w:tc>
      </w:tr>
      <w:tr>
        <w:trPr>
          <w:trHeight w:val="566"/>
        </w:trPr>
        <w:tc>
          <w:tcPr>
            <w:tcW w:w="3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9" w:right="239" w:bottom="1440" w:gutter="0" w:footer="0" w:header="0"/>
        </w:sectPr>
      </w:pPr>
    </w:p>
    <w:bookmarkStart w:id="659" w:name="page660"/>
    <w:bookmarkEnd w:id="659"/>
    <w:p>
      <w:pPr>
        <w:jc w:val="center"/>
        <w:spacing w:after="0"/>
        <w:rPr>
          <w:sz w:val="20"/>
          <w:szCs w:val="20"/>
          <w:color w:val="auto"/>
        </w:rPr>
      </w:pPr>
      <w:r>
        <w:rPr>
          <w:rFonts w:ascii="Arial" w:cs="Arial" w:eastAsia="Arial" w:hAnsi="Arial"/>
          <w:sz w:val="18"/>
          <w:szCs w:val="18"/>
          <w:b w:val="1"/>
          <w:bCs w:val="1"/>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right="20" w:firstLine="646"/>
        <w:spacing w:after="0" w:line="340"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5" w:lineRule="exact"/>
        <w:rPr>
          <w:sz w:val="20"/>
          <w:szCs w:val="20"/>
          <w:color w:val="auto"/>
        </w:rPr>
      </w:pPr>
    </w:p>
    <w:p>
      <w:pPr>
        <w:jc w:val="both"/>
        <w:ind w:firstLine="646"/>
        <w:spacing w:after="0" w:line="283" w:lineRule="auto"/>
        <w:rPr>
          <w:sz w:val="20"/>
          <w:szCs w:val="20"/>
          <w:color w:val="auto"/>
        </w:rPr>
      </w:pPr>
      <w:r>
        <w:rPr>
          <w:rFonts w:ascii="Arial" w:cs="Arial" w:eastAsia="Arial" w:hAnsi="Arial"/>
          <w:sz w:val="16"/>
          <w:szCs w:val="16"/>
          <w:color w:val="auto"/>
        </w:rPr>
        <w:t>Notwithstanding the foregoing, the Collateral does not include the following, whether now owned or hereafter acquired, and wherever located: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and (ii) more than 65% of the total combined voting power of all classes of stock entitled to vote the shares of capital stock (the “Shares”)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and</w:t>
      </w:r>
    </w:p>
    <w:p>
      <w:pPr>
        <w:spacing w:after="0" w:line="2" w:lineRule="exact"/>
        <w:rPr>
          <w:sz w:val="20"/>
          <w:szCs w:val="20"/>
          <w:color w:val="auto"/>
        </w:rPr>
      </w:pPr>
    </w:p>
    <w:p>
      <w:pPr>
        <w:jc w:val="both"/>
        <w:ind w:firstLine="8"/>
        <w:spacing w:after="0" w:line="252" w:lineRule="auto"/>
        <w:tabs>
          <w:tab w:leader="none" w:pos="316" w:val="left"/>
        </w:tabs>
        <w:numPr>
          <w:ilvl w:val="0"/>
          <w:numId w:val="628"/>
        </w:numPr>
        <w:rPr>
          <w:rFonts w:ascii="Arial" w:cs="Arial" w:eastAsia="Arial" w:hAnsi="Arial"/>
          <w:sz w:val="18"/>
          <w:szCs w:val="18"/>
          <w:color w:val="auto"/>
        </w:rPr>
      </w:pPr>
      <w:r>
        <w:rPr>
          <w:rFonts w:ascii="Arial" w:cs="Arial" w:eastAsia="Arial" w:hAnsi="Arial"/>
          <w:sz w:val="18"/>
          <w:szCs w:val="18"/>
          <w:color w:val="auto"/>
        </w:rPr>
        <w:t>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191" w:lineRule="exact"/>
        <w:rPr>
          <w:sz w:val="20"/>
          <w:szCs w:val="20"/>
          <w:color w:val="auto"/>
        </w:rPr>
      </w:pPr>
    </w:p>
    <w:p>
      <w:pPr>
        <w:ind w:right="20" w:firstLine="646"/>
        <w:spacing w:after="0" w:line="340" w:lineRule="auto"/>
        <w:rPr>
          <w:sz w:val="20"/>
          <w:szCs w:val="20"/>
          <w:color w:val="auto"/>
        </w:rPr>
      </w:pPr>
      <w:r>
        <w:rPr>
          <w:rFonts w:ascii="Arial" w:cs="Arial" w:eastAsia="Arial" w:hAnsi="Arial"/>
          <w:sz w:val="16"/>
          <w:szCs w:val="16"/>
          <w:color w:val="auto"/>
        </w:rPr>
        <w:t>Pursuant to the terms of a certain negative pledge arrangement contained in the Loan and Security Agreement dated as of December 22, 2016 among Borrower, Collateral Agent and the Lenders party thereto, Borrower has agreed not to encumber any of its Intellectual Property except as permitted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725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60" w:name="page661"/>
    <w:bookmarkEnd w:id="660"/>
    <w:p>
      <w:pPr>
        <w:jc w:val="center"/>
        <w:spacing w:after="0"/>
        <w:rPr>
          <w:sz w:val="20"/>
          <w:szCs w:val="20"/>
          <w:color w:val="auto"/>
        </w:rPr>
      </w:pPr>
      <w:r>
        <w:rPr>
          <w:rFonts w:ascii="Arial" w:cs="Arial" w:eastAsia="Arial" w:hAnsi="Arial"/>
          <w:sz w:val="18"/>
          <w:szCs w:val="18"/>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7255"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661" w:name="page662"/>
    <w:bookmarkEnd w:id="661"/>
    <w:p>
      <w:pPr>
        <w:jc w:val="center"/>
        <w:spacing w:after="0"/>
        <w:rPr>
          <w:sz w:val="20"/>
          <w:szCs w:val="20"/>
          <w:color w:val="auto"/>
        </w:rPr>
      </w:pPr>
      <w:r>
        <w:rPr>
          <w:rFonts w:ascii="Arial" w:cs="Arial" w:eastAsia="Arial" w:hAnsi="Arial"/>
          <w:sz w:val="18"/>
          <w:szCs w:val="18"/>
          <w:b w:val="1"/>
          <w:bCs w:val="1"/>
          <w:color w:val="auto"/>
        </w:rPr>
        <w:t>DISBURSEMENT LETTER</w:t>
      </w:r>
    </w:p>
    <w:p>
      <w:pPr>
        <w:spacing w:after="0" w:line="228" w:lineRule="exact"/>
        <w:rPr>
          <w:sz w:val="20"/>
          <w:szCs w:val="20"/>
          <w:color w:val="auto"/>
        </w:rPr>
      </w:pPr>
    </w:p>
    <w:p>
      <w:pPr>
        <w:ind w:left="6020" w:hanging="1128"/>
        <w:spacing w:after="0"/>
        <w:tabs>
          <w:tab w:leader="none" w:pos="602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-10795</wp:posOffset>
            </wp:positionV>
            <wp:extent cx="72136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204"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__________ of VAXART, INC., a Delaware corporation with offices located at 385 Oyster Point Blvd.,</w:t>
      </w:r>
    </w:p>
    <w:p>
      <w:pPr>
        <w:spacing w:after="0" w:line="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Suite 9A, South San Francisco, CA 94080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does hereby certify to </w:t>
      </w:r>
      <w:r>
        <w:rPr>
          <w:rFonts w:ascii="Arial" w:cs="Arial" w:eastAsia="Arial" w:hAnsi="Arial"/>
          <w:sz w:val="16"/>
          <w:szCs w:val="16"/>
          <w:b w:val="1"/>
          <w:bCs w:val="1"/>
          <w:color w:val="auto"/>
        </w:rPr>
        <w:t>OXFORD FINANCE LLC</w:t>
      </w:r>
      <w:r>
        <w:rPr>
          <w:rFonts w:ascii="Arial" w:cs="Arial" w:eastAsia="Arial" w:hAnsi="Arial"/>
          <w:sz w:val="16"/>
          <w:szCs w:val="16"/>
          <w:color w:val="auto"/>
        </w:rPr>
        <w:t xml:space="preserve"> (“</w:t>
      </w:r>
      <w:r>
        <w:rPr>
          <w:rFonts w:ascii="Arial" w:cs="Arial" w:eastAsia="Arial" w:hAnsi="Arial"/>
          <w:sz w:val="16"/>
          <w:szCs w:val="16"/>
          <w:b w:val="1"/>
          <w:bCs w:val="1"/>
          <w:color w:val="auto"/>
        </w:rPr>
        <w:t>Oxford</w:t>
      </w:r>
      <w:r>
        <w:rPr>
          <w:rFonts w:ascii="Arial" w:cs="Arial" w:eastAsia="Arial" w:hAnsi="Arial"/>
          <w:sz w:val="16"/>
          <w:szCs w:val="16"/>
          <w:color w:val="auto"/>
        </w:rPr>
        <w:t>” and “</w:t>
      </w:r>
      <w:r>
        <w:rPr>
          <w:rFonts w:ascii="Arial" w:cs="Arial" w:eastAsia="Arial" w:hAnsi="Arial"/>
          <w:sz w:val="16"/>
          <w:szCs w:val="16"/>
          <w:b w:val="1"/>
          <w:bCs w:val="1"/>
          <w:color w:val="auto"/>
        </w:rPr>
        <w:t>Lender</w:t>
      </w:r>
      <w:r>
        <w:rPr>
          <w:rFonts w:ascii="Arial" w:cs="Arial" w:eastAsia="Arial" w:hAnsi="Arial"/>
          <w:sz w:val="16"/>
          <w:szCs w:val="16"/>
          <w:color w:val="auto"/>
        </w:rPr>
        <w:t>”), as collateral agent (the “</w:t>
      </w:r>
      <w:r>
        <w:rPr>
          <w:rFonts w:ascii="Arial" w:cs="Arial" w:eastAsia="Arial" w:hAnsi="Arial"/>
          <w:sz w:val="16"/>
          <w:szCs w:val="16"/>
          <w:b w:val="1"/>
          <w:bCs w:val="1"/>
          <w:color w:val="auto"/>
        </w:rPr>
        <w:t>Collateral Agent</w:t>
      </w:r>
      <w:r>
        <w:rPr>
          <w:rFonts w:ascii="Arial" w:cs="Arial" w:eastAsia="Arial" w:hAnsi="Arial"/>
          <w:sz w:val="16"/>
          <w:szCs w:val="16"/>
          <w:color w:val="auto"/>
        </w:rPr>
        <w:t>”) in connection with that certain Loan and Security Agreement dated as of [___________</w:t>
      </w:r>
      <w:r>
        <w:rPr>
          <w:rFonts w:ascii="Arial" w:cs="Arial" w:eastAsia="Arial" w:hAnsi="Arial"/>
          <w:sz w:val="16"/>
          <w:szCs w:val="16"/>
          <w:u w:val="single" w:color="auto"/>
          <w:color w:val="auto"/>
        </w:rPr>
        <w:t>,</w:t>
      </w:r>
      <w:r>
        <w:rPr>
          <w:rFonts w:ascii="Arial" w:cs="Arial" w:eastAsia="Arial" w:hAnsi="Arial"/>
          <w:sz w:val="16"/>
          <w:szCs w:val="16"/>
          <w:color w:val="auto"/>
        </w:rPr>
        <w:t xml:space="preserve"> 2016], by and among Borrower, Collateral</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85" w:lineRule="exact"/>
        <w:rPr>
          <w:sz w:val="20"/>
          <w:szCs w:val="20"/>
          <w:color w:val="auto"/>
        </w:rPr>
      </w:pPr>
    </w:p>
    <w:p>
      <w:pPr>
        <w:jc w:val="both"/>
        <w:ind w:firstLine="654"/>
        <w:spacing w:after="0" w:line="262" w:lineRule="auto"/>
        <w:tabs>
          <w:tab w:leader="none" w:pos="97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 provided, that those representations and warranties expressly referring to a specific date shall be true, accurate and complete in all material respects as of such date.</w:t>
      </w:r>
    </w:p>
    <w:p>
      <w:pPr>
        <w:spacing w:after="0" w:line="183" w:lineRule="exact"/>
        <w:rPr>
          <w:rFonts w:ascii="Arial" w:cs="Arial" w:eastAsia="Arial" w:hAnsi="Arial"/>
          <w:sz w:val="18"/>
          <w:szCs w:val="18"/>
          <w:color w:val="auto"/>
        </w:rPr>
      </w:pPr>
    </w:p>
    <w:p>
      <w:pPr>
        <w:ind w:left="960" w:hanging="306"/>
        <w:spacing w:after="0"/>
        <w:tabs>
          <w:tab w:leader="none" w:pos="960" w:val="left"/>
        </w:tabs>
        <w:numPr>
          <w:ilvl w:val="0"/>
          <w:numId w:val="630"/>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5" w:lineRule="exact"/>
        <w:rPr>
          <w:rFonts w:ascii="Arial" w:cs="Arial" w:eastAsia="Arial" w:hAnsi="Arial"/>
          <w:sz w:val="17"/>
          <w:szCs w:val="17"/>
          <w:color w:val="auto"/>
        </w:rPr>
      </w:pPr>
    </w:p>
    <w:p>
      <w:pPr>
        <w:ind w:left="960" w:hanging="306"/>
        <w:spacing w:after="0"/>
        <w:tabs>
          <w:tab w:leader="none" w:pos="9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3" w:lineRule="exact"/>
        <w:rPr>
          <w:rFonts w:ascii="Arial" w:cs="Arial" w:eastAsia="Arial" w:hAnsi="Arial"/>
          <w:sz w:val="18"/>
          <w:szCs w:val="18"/>
          <w:color w:val="auto"/>
        </w:rPr>
      </w:pPr>
    </w:p>
    <w:p>
      <w:pPr>
        <w:ind w:firstLine="654"/>
        <w:spacing w:after="0" w:line="276" w:lineRule="auto"/>
        <w:tabs>
          <w:tab w:leader="none" w:pos="1029" w:val="left"/>
        </w:tabs>
        <w:numPr>
          <w:ilvl w:val="0"/>
          <w:numId w:val="630"/>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69" w:lineRule="exact"/>
        <w:rPr>
          <w:rFonts w:ascii="Arial" w:cs="Arial" w:eastAsia="Arial" w:hAnsi="Arial"/>
          <w:sz w:val="18"/>
          <w:szCs w:val="18"/>
          <w:color w:val="auto"/>
        </w:rPr>
      </w:pPr>
    </w:p>
    <w:p>
      <w:pPr>
        <w:ind w:left="960" w:hanging="306"/>
        <w:spacing w:after="0"/>
        <w:tabs>
          <w:tab w:leader="none" w:pos="9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3" w:lineRule="exact"/>
        <w:rPr>
          <w:rFonts w:ascii="Arial" w:cs="Arial" w:eastAsia="Arial" w:hAnsi="Arial"/>
          <w:sz w:val="18"/>
          <w:szCs w:val="18"/>
          <w:color w:val="auto"/>
        </w:rPr>
      </w:pPr>
    </w:p>
    <w:p>
      <w:pPr>
        <w:ind w:left="960" w:hanging="306"/>
        <w:spacing w:after="0"/>
        <w:tabs>
          <w:tab w:leader="none" w:pos="960"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62" w:name="page663"/>
    <w:bookmarkEnd w:id="662"/>
    <w:tbl>
      <w:tblPr>
        <w:tblLayout w:type="fixed"/>
        <w:tblInd w:w="6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7.  The proceeds of the Term [A][B] Loan shall be disbursed as follows:</w:t>
            </w:r>
          </w:p>
        </w:tc>
        <w:tc>
          <w:tcPr>
            <w:tcW w:w="2820" w:type="dxa"/>
            <w:vAlign w:val="bottom"/>
          </w:tcPr>
          <w:p>
            <w:pPr>
              <w:spacing w:after="0"/>
              <w:rPr>
                <w:sz w:val="19"/>
                <w:szCs w:val="19"/>
                <w:color w:val="auto"/>
              </w:rPr>
            </w:pPr>
          </w:p>
        </w:tc>
      </w:tr>
      <w:tr>
        <w:trPr>
          <w:trHeight w:val="416"/>
        </w:trPr>
        <w:tc>
          <w:tcPr>
            <w:tcW w:w="6580" w:type="dxa"/>
            <w:vAlign w:val="bottom"/>
          </w:tcPr>
          <w:p>
            <w:pPr>
              <w:ind w:left="320"/>
              <w:spacing w:after="0"/>
              <w:rPr>
                <w:sz w:val="20"/>
                <w:szCs w:val="20"/>
                <w:color w:val="auto"/>
              </w:rPr>
            </w:pPr>
            <w:r>
              <w:rPr>
                <w:rFonts w:ascii="Arial" w:cs="Arial" w:eastAsia="Arial" w:hAnsi="Arial"/>
                <w:sz w:val="18"/>
                <w:szCs w:val="18"/>
                <w:color w:val="auto"/>
              </w:rPr>
              <w:t>Disbursement from Oxford:</w:t>
            </w:r>
          </w:p>
        </w:tc>
        <w:tc>
          <w:tcPr>
            <w:tcW w:w="2820" w:type="dxa"/>
            <w:vAlign w:val="bottom"/>
          </w:tcPr>
          <w:p>
            <w:pPr>
              <w:spacing w:after="0"/>
              <w:rPr>
                <w:sz w:val="24"/>
                <w:szCs w:val="24"/>
                <w:color w:val="auto"/>
              </w:rPr>
            </w:pPr>
          </w:p>
        </w:tc>
      </w:tr>
      <w:tr>
        <w:trPr>
          <w:trHeight w:val="215"/>
        </w:trPr>
        <w:tc>
          <w:tcPr>
            <w:tcW w:w="658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$______________</w:t>
            </w:r>
          </w:p>
        </w:tc>
      </w:tr>
      <w:tr>
        <w:trPr>
          <w:trHeight w:val="215"/>
        </w:trPr>
        <w:tc>
          <w:tcPr>
            <w:tcW w:w="6580" w:type="dxa"/>
            <w:vAlign w:val="bottom"/>
          </w:tcPr>
          <w:p>
            <w:pPr>
              <w:ind w:left="400"/>
              <w:spacing w:after="0"/>
              <w:rPr>
                <w:sz w:val="20"/>
                <w:szCs w:val="20"/>
                <w:color w:val="auto"/>
              </w:rPr>
            </w:pPr>
            <w:r>
              <w:rPr>
                <w:rFonts w:ascii="Arial" w:cs="Arial" w:eastAsia="Arial" w:hAnsi="Arial"/>
                <w:sz w:val="18"/>
                <w:szCs w:val="18"/>
                <w:color w:val="auto"/>
              </w:rPr>
              <w:t>Plus:</w:t>
            </w:r>
          </w:p>
        </w:tc>
        <w:tc>
          <w:tcPr>
            <w:tcW w:w="2820" w:type="dxa"/>
            <w:vAlign w:val="bottom"/>
          </w:tcPr>
          <w:p>
            <w:pPr>
              <w:spacing w:after="0"/>
              <w:rPr>
                <w:sz w:val="18"/>
                <w:szCs w:val="18"/>
                <w:color w:val="auto"/>
              </w:rPr>
            </w:pPr>
          </w:p>
        </w:tc>
      </w:tr>
      <w:tr>
        <w:trPr>
          <w:trHeight w:val="230"/>
        </w:trPr>
        <w:tc>
          <w:tcPr>
            <w:tcW w:w="6580" w:type="dxa"/>
            <w:vAlign w:val="bottom"/>
          </w:tcPr>
          <w:p>
            <w:pPr>
              <w:ind w:left="400"/>
              <w:spacing w:after="0"/>
              <w:rPr>
                <w:sz w:val="20"/>
                <w:szCs w:val="20"/>
                <w:color w:val="auto"/>
              </w:rPr>
            </w:pPr>
            <w:r>
              <w:rPr>
                <w:rFonts w:ascii="Arial" w:cs="Arial" w:eastAsia="Arial" w:hAnsi="Arial"/>
                <w:sz w:val="18"/>
                <w:szCs w:val="18"/>
                <w:color w:val="auto"/>
              </w:rPr>
              <w:t>--Deposit Received</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$25,000.00</w:t>
            </w:r>
          </w:p>
        </w:tc>
      </w:tr>
      <w:tr>
        <w:trPr>
          <w:trHeight w:val="416"/>
        </w:trPr>
        <w:tc>
          <w:tcPr>
            <w:tcW w:w="6580" w:type="dxa"/>
            <w:vAlign w:val="bottom"/>
          </w:tcPr>
          <w:p>
            <w:pPr>
              <w:ind w:left="400"/>
              <w:spacing w:after="0"/>
              <w:rPr>
                <w:sz w:val="20"/>
                <w:szCs w:val="20"/>
                <w:color w:val="auto"/>
              </w:rPr>
            </w:pPr>
            <w:r>
              <w:rPr>
                <w:rFonts w:ascii="Arial" w:cs="Arial" w:eastAsia="Arial" w:hAnsi="Arial"/>
                <w:sz w:val="18"/>
                <w:szCs w:val="18"/>
                <w:color w:val="auto"/>
              </w:rPr>
              <w:t>Less:</w:t>
            </w:r>
          </w:p>
        </w:tc>
        <w:tc>
          <w:tcPr>
            <w:tcW w:w="2820" w:type="dxa"/>
            <w:vAlign w:val="bottom"/>
          </w:tcPr>
          <w:p>
            <w:pPr>
              <w:spacing w:after="0"/>
              <w:rPr>
                <w:sz w:val="24"/>
                <w:szCs w:val="24"/>
                <w:color w:val="auto"/>
              </w:rPr>
            </w:pPr>
          </w:p>
        </w:tc>
      </w:tr>
      <w:tr>
        <w:trPr>
          <w:trHeight w:val="215"/>
        </w:trPr>
        <w:tc>
          <w:tcPr>
            <w:tcW w:w="6580" w:type="dxa"/>
            <w:vAlign w:val="bottom"/>
          </w:tcPr>
          <w:p>
            <w:pPr>
              <w:ind w:left="400"/>
              <w:spacing w:after="0"/>
              <w:rPr>
                <w:sz w:val="20"/>
                <w:szCs w:val="20"/>
                <w:color w:val="auto"/>
              </w:rPr>
            </w:pPr>
            <w:r>
              <w:rPr>
                <w:rFonts w:ascii="Arial" w:cs="Arial" w:eastAsia="Arial" w:hAnsi="Arial"/>
                <w:sz w:val="18"/>
                <w:szCs w:val="18"/>
                <w:color w:val="auto"/>
              </w:rPr>
              <w:t>--Facility Fee</w:t>
            </w:r>
          </w:p>
        </w:tc>
        <w:tc>
          <w:tcPr>
            <w:tcW w:w="2820" w:type="dxa"/>
            <w:vAlign w:val="bottom"/>
          </w:tcPr>
          <w:p>
            <w:pPr>
              <w:ind w:left="1800"/>
              <w:spacing w:after="0"/>
              <w:rPr>
                <w:sz w:val="20"/>
                <w:szCs w:val="20"/>
                <w:color w:val="auto"/>
              </w:rPr>
            </w:pPr>
            <w:r>
              <w:rPr>
                <w:rFonts w:ascii="Arial" w:cs="Arial" w:eastAsia="Arial" w:hAnsi="Arial"/>
                <w:sz w:val="18"/>
                <w:szCs w:val="18"/>
                <w:color w:val="auto"/>
                <w:w w:val="97"/>
              </w:rPr>
              <w:t>($25,000.00)</w:t>
            </w:r>
          </w:p>
        </w:tc>
      </w:tr>
      <w:tr>
        <w:trPr>
          <w:trHeight w:val="215"/>
        </w:trPr>
        <w:tc>
          <w:tcPr>
            <w:tcW w:w="6580" w:type="dxa"/>
            <w:vAlign w:val="bottom"/>
          </w:tcPr>
          <w:p>
            <w:pPr>
              <w:ind w:left="400"/>
              <w:spacing w:after="0"/>
              <w:rPr>
                <w:sz w:val="20"/>
                <w:szCs w:val="20"/>
                <w:color w:val="auto"/>
              </w:rPr>
            </w:pPr>
            <w:r>
              <w:rPr>
                <w:rFonts w:ascii="Arial" w:cs="Arial" w:eastAsia="Arial" w:hAnsi="Arial"/>
                <w:sz w:val="18"/>
                <w:szCs w:val="18"/>
                <w:color w:val="auto"/>
              </w:rPr>
              <w:t>--Interim Interest</w:t>
            </w:r>
          </w:p>
        </w:tc>
        <w:tc>
          <w:tcPr>
            <w:tcW w:w="2820" w:type="dxa"/>
            <w:vAlign w:val="bottom"/>
          </w:tcPr>
          <w:p>
            <w:pPr>
              <w:ind w:left="1800"/>
              <w:spacing w:after="0"/>
              <w:rPr>
                <w:sz w:val="20"/>
                <w:szCs w:val="20"/>
                <w:color w:val="auto"/>
              </w:rPr>
            </w:pPr>
            <w:r>
              <w:rPr>
                <w:rFonts w:ascii="Arial" w:cs="Arial" w:eastAsia="Arial" w:hAnsi="Arial"/>
                <w:sz w:val="18"/>
                <w:szCs w:val="18"/>
                <w:color w:val="auto"/>
                <w:w w:val="97"/>
              </w:rPr>
              <w:t>($________)</w:t>
            </w:r>
          </w:p>
        </w:tc>
      </w:tr>
      <w:tr>
        <w:trPr>
          <w:trHeight w:val="230"/>
        </w:trPr>
        <w:tc>
          <w:tcPr>
            <w:tcW w:w="6580" w:type="dxa"/>
            <w:vAlign w:val="bottom"/>
          </w:tcPr>
          <w:p>
            <w:pPr>
              <w:ind w:left="400"/>
              <w:spacing w:after="0"/>
              <w:rPr>
                <w:sz w:val="20"/>
                <w:szCs w:val="20"/>
                <w:color w:val="auto"/>
              </w:rPr>
            </w:pPr>
            <w:r>
              <w:rPr>
                <w:rFonts w:ascii="Arial" w:cs="Arial" w:eastAsia="Arial" w:hAnsi="Arial"/>
                <w:sz w:val="18"/>
                <w:szCs w:val="18"/>
                <w:color w:val="auto"/>
              </w:rPr>
              <w:t>--Lender’s Legal Fees</w:t>
            </w:r>
          </w:p>
        </w:tc>
        <w:tc>
          <w:tcPr>
            <w:tcW w:w="2820" w:type="dxa"/>
            <w:vAlign w:val="bottom"/>
          </w:tcPr>
          <w:p>
            <w:pPr>
              <w:ind w:left="1800"/>
              <w:spacing w:after="0"/>
              <w:rPr>
                <w:sz w:val="20"/>
                <w:szCs w:val="20"/>
                <w:color w:val="auto"/>
              </w:rPr>
            </w:pPr>
            <w:r>
              <w:rPr>
                <w:rFonts w:ascii="Arial" w:cs="Arial" w:eastAsia="Arial" w:hAnsi="Arial"/>
                <w:sz w:val="18"/>
                <w:szCs w:val="18"/>
                <w:color w:val="auto"/>
                <w:w w:val="91"/>
              </w:rPr>
              <w:t>($________)*</w:t>
            </w:r>
          </w:p>
        </w:tc>
      </w:tr>
      <w:tr>
        <w:trPr>
          <w:trHeight w:val="431"/>
        </w:trPr>
        <w:tc>
          <w:tcPr>
            <w:tcW w:w="6580" w:type="dxa"/>
            <w:vAlign w:val="bottom"/>
          </w:tcPr>
          <w:p>
            <w:pPr>
              <w:ind w:left="320"/>
              <w:spacing w:after="0"/>
              <w:rPr>
                <w:sz w:val="20"/>
                <w:szCs w:val="20"/>
                <w:color w:val="auto"/>
              </w:rPr>
            </w:pPr>
            <w:r>
              <w:rPr>
                <w:rFonts w:ascii="Arial" w:cs="Arial" w:eastAsia="Arial" w:hAnsi="Arial"/>
                <w:sz w:val="18"/>
                <w:szCs w:val="18"/>
                <w:b w:val="1"/>
                <w:bCs w:val="1"/>
                <w:color w:val="auto"/>
              </w:rPr>
              <w:t>Net Proceeds due from Oxford:</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$______________</w:t>
            </w:r>
          </w:p>
        </w:tc>
      </w:tr>
      <w:tr>
        <w:trPr>
          <w:trHeight w:val="412"/>
        </w:trPr>
        <w:tc>
          <w:tcPr>
            <w:tcW w:w="6580" w:type="dxa"/>
            <w:vAlign w:val="bottom"/>
          </w:tcPr>
          <w:p>
            <w:pPr>
              <w:ind w:left="320"/>
              <w:spacing w:after="0"/>
              <w:rPr>
                <w:sz w:val="20"/>
                <w:szCs w:val="20"/>
                <w:color w:val="auto"/>
              </w:rPr>
            </w:pPr>
            <w:r>
              <w:rPr>
                <w:rFonts w:ascii="Arial" w:cs="Arial" w:eastAsia="Arial" w:hAnsi="Arial"/>
                <w:sz w:val="18"/>
                <w:szCs w:val="18"/>
                <w:b w:val="1"/>
                <w:bCs w:val="1"/>
                <w:color w:val="auto"/>
              </w:rPr>
              <w:t>TOTAL TERM [A][B] LOAN NET PROCEEDS</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$______________</w:t>
            </w:r>
          </w:p>
        </w:tc>
      </w:tr>
      <w:tr>
        <w:trPr>
          <w:trHeight w:val="234"/>
        </w:trPr>
        <w:tc>
          <w:tcPr>
            <w:tcW w:w="6580" w:type="dxa"/>
            <w:vAlign w:val="bottom"/>
          </w:tcPr>
          <w:p>
            <w:pPr>
              <w:ind w:left="320"/>
              <w:spacing w:after="0"/>
              <w:rPr>
                <w:sz w:val="20"/>
                <w:szCs w:val="20"/>
                <w:color w:val="auto"/>
              </w:rPr>
            </w:pPr>
            <w:r>
              <w:rPr>
                <w:rFonts w:ascii="Arial" w:cs="Arial" w:eastAsia="Arial" w:hAnsi="Arial"/>
                <w:sz w:val="18"/>
                <w:szCs w:val="18"/>
                <w:b w:val="1"/>
                <w:bCs w:val="1"/>
                <w:color w:val="auto"/>
              </w:rPr>
              <w:t>FROM LENDERS</w:t>
            </w:r>
          </w:p>
        </w:tc>
        <w:tc>
          <w:tcPr>
            <w:tcW w:w="2820" w:type="dxa"/>
            <w:vAlign w:val="bottom"/>
          </w:tcPr>
          <w:p>
            <w:pPr>
              <w:spacing w:after="0"/>
              <w:rPr>
                <w:sz w:val="20"/>
                <w:szCs w:val="20"/>
                <w:color w:val="auto"/>
              </w:rPr>
            </w:pPr>
          </w:p>
        </w:tc>
      </w:tr>
    </w:tbl>
    <w:p>
      <w:pPr>
        <w:spacing w:after="0" w:line="228" w:lineRule="exact"/>
        <w:rPr>
          <w:sz w:val="20"/>
          <w:szCs w:val="20"/>
          <w:color w:val="auto"/>
        </w:rPr>
      </w:pPr>
    </w:p>
    <w:p>
      <w:pPr>
        <w:ind w:left="960" w:hanging="306"/>
        <w:spacing w:after="0"/>
        <w:tabs>
          <w:tab w:leader="none" w:pos="9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[initial][Term Loan][Term A Loan] shall amortize in accordance with the Amortization Table attached hereto.</w:t>
      </w:r>
    </w:p>
    <w:p>
      <w:pPr>
        <w:spacing w:after="0" w:line="223" w:lineRule="exact"/>
        <w:rPr>
          <w:rFonts w:ascii="Arial" w:cs="Arial" w:eastAsia="Arial" w:hAnsi="Arial"/>
          <w:sz w:val="18"/>
          <w:szCs w:val="18"/>
          <w:color w:val="auto"/>
        </w:rPr>
      </w:pPr>
    </w:p>
    <w:p>
      <w:pPr>
        <w:ind w:left="960" w:hanging="306"/>
        <w:spacing w:after="0"/>
        <w:tabs>
          <w:tab w:leader="none" w:pos="96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The aggregate net proceeds of the Term Loans shall be transferred to the Designated Deposit Account as follows:</w:t>
      </w:r>
    </w:p>
    <w:p>
      <w:pPr>
        <w:sectPr>
          <w:pgSz w:w="11900" w:h="16838" w:orient="portrait"/>
          <w:cols w:equalWidth="0" w:num="1">
            <w:col w:w="11320"/>
          </w:cols>
          <w:pgMar w:left="240" w:top="583" w:right="339" w:bottom="1440" w:gutter="0" w:footer="0" w:header="0"/>
        </w:sectPr>
      </w:pPr>
    </w:p>
    <w:p>
      <w:pPr>
        <w:spacing w:after="0" w:line="2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Name:</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Bank Address: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Account Number:</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00" w:lineRule="exact"/>
        <w:rPr>
          <w:sz w:val="20"/>
          <w:szCs w:val="20"/>
          <w:color w:val="auto"/>
        </w:rPr>
      </w:pPr>
    </w:p>
    <w:p>
      <w:pPr>
        <w:sectPr>
          <w:pgSz w:w="11900" w:h="16838" w:orient="portrait"/>
          <w:cols w:equalWidth="0" w:num="2">
            <w:col w:w="5320" w:space="720"/>
            <w:col w:w="5280"/>
          </w:cols>
          <w:pgMar w:left="240" w:top="583"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[Balance of Page Intentionally Left Blank]</w:t>
      </w:r>
    </w:p>
    <w:p>
      <w:pPr>
        <w:sectPr>
          <w:pgSz w:w="11900" w:h="16838" w:orient="portrait"/>
          <w:cols w:equalWidth="0" w:num="1">
            <w:col w:w="11320"/>
          </w:cols>
          <w:pgMar w:left="240" w:top="5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 Legal fees and costs are through the Effective Date. Post-closing legal fees and costs, payable after the Effective Date, to be invoiced and paid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7255"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20"/>
          </w:cols>
          <w:pgMar w:left="240" w:top="583" w:right="339" w:bottom="1440" w:gutter="0" w:footer="0" w:header="0"/>
          <w:type w:val="continuous"/>
        </w:sectPr>
      </w:pPr>
    </w:p>
    <w:bookmarkStart w:id="663" w:name="page664"/>
    <w:bookmarkEnd w:id="663"/>
    <w:p>
      <w:pPr>
        <w:spacing w:after="0"/>
        <w:rPr>
          <w:sz w:val="20"/>
          <w:szCs w:val="20"/>
          <w:color w:val="auto"/>
        </w:rPr>
      </w:pPr>
      <w:r>
        <w:rPr>
          <w:rFonts w:ascii="Arial" w:cs="Arial" w:eastAsia="Arial" w:hAnsi="Arial"/>
          <w:sz w:val="18"/>
          <w:szCs w:val="18"/>
          <w:color w:val="auto"/>
        </w:rPr>
        <w:t>Dated as of the date first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COLLATERAL AGENT AND LENDER:</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OXFORD FINANCE LLC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3">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4">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5">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725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219"/>
          </w:cols>
          <w:pgMar w:left="240" w:top="583" w:right="1440" w:bottom="1440" w:gutter="0" w:footer="0" w:header="0"/>
        </w:sectPr>
      </w:pPr>
    </w:p>
    <w:bookmarkStart w:id="664" w:name="page665"/>
    <w:bookmarkEnd w:id="664"/>
    <w:p>
      <w:pPr>
        <w:jc w:val="center"/>
        <w:ind w:right="-20"/>
        <w:spacing w:after="0"/>
        <w:rPr>
          <w:sz w:val="20"/>
          <w:szCs w:val="20"/>
          <w:color w:val="auto"/>
        </w:rPr>
      </w:pPr>
      <w:r>
        <w:rPr>
          <w:rFonts w:ascii="Arial" w:cs="Arial" w:eastAsia="Arial" w:hAnsi="Arial"/>
          <w:sz w:val="18"/>
          <w:szCs w:val="18"/>
          <w:b w:val="1"/>
          <w:bCs w:val="1"/>
          <w:color w:val="auto"/>
        </w:rPr>
        <w:t>AMORTIZATION TABLE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(Term [A][B] Loan)</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7255"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665" w:name="page666"/>
    <w:bookmarkEnd w:id="66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0"/>
        </w:trPr>
        <w:tc>
          <w:tcPr>
            <w:tcW w:w="9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51"/>
        </w:trPr>
        <w:tc>
          <w:tcPr>
            <w:tcW w:w="940" w:type="dxa"/>
            <w:vAlign w:val="bottom"/>
          </w:tcPr>
          <w:p>
            <w:pPr>
              <w:spacing w:after="0"/>
              <w:rPr>
                <w:sz w:val="20"/>
                <w:szCs w:val="20"/>
                <w:color w:val="auto"/>
              </w:rPr>
            </w:pPr>
            <w:r>
              <w:rPr>
                <w:rFonts w:ascii="Arial" w:cs="Arial" w:eastAsia="Arial" w:hAnsi="Arial"/>
                <w:sz w:val="18"/>
                <w:szCs w:val="18"/>
                <w:color w:val="auto"/>
              </w:rPr>
              <w:t>TO:</w:t>
            </w: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OXFORD FINANCE LLC, as Collateral Agent and Lender</w:t>
            </w:r>
          </w:p>
        </w:tc>
      </w:tr>
      <w:tr>
        <w:trPr>
          <w:trHeight w:val="431"/>
        </w:trPr>
        <w:tc>
          <w:tcPr>
            <w:tcW w:w="940" w:type="dxa"/>
            <w:vAlign w:val="bottom"/>
          </w:tcPr>
          <w:p>
            <w:pPr>
              <w:spacing w:after="0"/>
              <w:rPr>
                <w:sz w:val="20"/>
                <w:szCs w:val="20"/>
                <w:color w:val="auto"/>
              </w:rPr>
            </w:pPr>
            <w:r>
              <w:rPr>
                <w:rFonts w:ascii="Arial" w:cs="Arial" w:eastAsia="Arial" w:hAnsi="Arial"/>
                <w:sz w:val="18"/>
                <w:szCs w:val="18"/>
                <w:color w:val="auto"/>
              </w:rPr>
              <w:t>FROM:</w:t>
            </w:r>
          </w:p>
        </w:tc>
        <w:tc>
          <w:tcPr>
            <w:tcW w:w="5660" w:type="dxa"/>
            <w:vAlign w:val="bottom"/>
            <w:gridSpan w:val="2"/>
          </w:tcPr>
          <w:p>
            <w:pPr>
              <w:ind w:left="360"/>
              <w:spacing w:after="0"/>
              <w:rPr>
                <w:sz w:val="20"/>
                <w:szCs w:val="20"/>
                <w:color w:val="auto"/>
              </w:rPr>
            </w:pPr>
            <w:r>
              <w:rPr>
                <w:rFonts w:ascii="Arial" w:cs="Arial" w:eastAsia="Arial" w:hAnsi="Arial"/>
                <w:sz w:val="18"/>
                <w:szCs w:val="18"/>
                <w:color w:val="auto"/>
              </w:rPr>
              <w:t>VAXART, INC.</w:t>
            </w: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undersigned authorized officer (“</w:t>
      </w:r>
      <w:r>
        <w:rPr>
          <w:rFonts w:ascii="Arial" w:cs="Arial" w:eastAsia="Arial" w:hAnsi="Arial"/>
          <w:sz w:val="18"/>
          <w:szCs w:val="18"/>
          <w:b w:val="1"/>
          <w:bCs w:val="1"/>
          <w:color w:val="auto"/>
        </w:rPr>
        <w:t>Officer</w:t>
      </w:r>
      <w:r>
        <w:rPr>
          <w:rFonts w:ascii="Arial" w:cs="Arial" w:eastAsia="Arial" w:hAnsi="Arial"/>
          <w:sz w:val="18"/>
          <w:szCs w:val="18"/>
          <w:color w:val="auto"/>
        </w:rPr>
        <w:t>”) of VAXART, INC. (“</w:t>
      </w:r>
      <w:r>
        <w:rPr>
          <w:rFonts w:ascii="Arial" w:cs="Arial" w:eastAsia="Arial" w:hAnsi="Arial"/>
          <w:sz w:val="18"/>
          <w:szCs w:val="18"/>
          <w:b w:val="1"/>
          <w:bCs w:val="1"/>
          <w:color w:val="auto"/>
        </w:rPr>
        <w:t>Borrower</w:t>
      </w:r>
      <w:r>
        <w:rPr>
          <w:rFonts w:ascii="Arial" w:cs="Arial" w:eastAsia="Arial" w:hAnsi="Arial"/>
          <w:sz w:val="18"/>
          <w:szCs w:val="18"/>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capitalized terms used but not otherwise defined herein shall have the meanings given them in the Loan Agreement),</w:t>
      </w:r>
    </w:p>
    <w:p>
      <w:pPr>
        <w:spacing w:after="0" w:line="180" w:lineRule="exact"/>
        <w:rPr>
          <w:sz w:val="20"/>
          <w:szCs w:val="20"/>
          <w:color w:val="auto"/>
        </w:rPr>
      </w:pPr>
    </w:p>
    <w:p>
      <w:pPr>
        <w:ind w:left="1740" w:hanging="440"/>
        <w:spacing w:after="0"/>
        <w:tabs>
          <w:tab w:leader="none" w:pos="1740" w:val="left"/>
        </w:tabs>
        <w:numPr>
          <w:ilvl w:val="0"/>
          <w:numId w:val="632"/>
        </w:numPr>
        <w:rPr>
          <w:rFonts w:ascii="Arial" w:cs="Arial" w:eastAsia="Arial" w:hAnsi="Arial"/>
          <w:sz w:val="16"/>
          <w:szCs w:val="16"/>
          <w:color w:val="auto"/>
        </w:rPr>
      </w:pPr>
      <w:r>
        <w:rPr>
          <w:rFonts w:ascii="Arial" w:cs="Arial" w:eastAsia="Arial" w:hAnsi="Arial"/>
          <w:sz w:val="16"/>
          <w:szCs w:val="16"/>
          <w:color w:val="auto"/>
        </w:rPr>
        <w:t>Borrower is in complete compliance for the period ending ___________ with all required covenants in the Loan Agreement, except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noted below;</w:t>
      </w:r>
    </w:p>
    <w:p>
      <w:pPr>
        <w:spacing w:after="0" w:line="209" w:lineRule="exact"/>
        <w:rPr>
          <w:sz w:val="20"/>
          <w:szCs w:val="20"/>
          <w:color w:val="auto"/>
        </w:rPr>
      </w:pPr>
    </w:p>
    <w:p>
      <w:pPr>
        <w:ind w:left="1720" w:hanging="420"/>
        <w:spacing w:after="0"/>
        <w:tabs>
          <w:tab w:leader="none" w:pos="172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3" w:lineRule="exact"/>
        <w:rPr>
          <w:rFonts w:ascii="Arial" w:cs="Arial" w:eastAsia="Arial" w:hAnsi="Arial"/>
          <w:sz w:val="18"/>
          <w:szCs w:val="18"/>
          <w:color w:val="auto"/>
        </w:rPr>
      </w:pPr>
    </w:p>
    <w:p>
      <w:pPr>
        <w:jc w:val="both"/>
        <w:ind w:firstLine="1300"/>
        <w:spacing w:after="0" w:line="278" w:lineRule="auto"/>
        <w:tabs>
          <w:tab w:leader="none" w:pos="1715" w:val="left"/>
        </w:tabs>
        <w:numPr>
          <w:ilvl w:val="0"/>
          <w:numId w:val="633"/>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0" w:lineRule="exact"/>
        <w:rPr>
          <w:rFonts w:ascii="Arial" w:cs="Arial" w:eastAsia="Arial" w:hAnsi="Arial"/>
          <w:sz w:val="17"/>
          <w:szCs w:val="17"/>
          <w:color w:val="auto"/>
        </w:rPr>
      </w:pPr>
    </w:p>
    <w:p>
      <w:pPr>
        <w:jc w:val="both"/>
        <w:ind w:firstLine="1300"/>
        <w:spacing w:after="0" w:line="262" w:lineRule="auto"/>
        <w:tabs>
          <w:tab w:leader="none" w:pos="183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or extensions therefore, and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3" w:lineRule="exact"/>
        <w:rPr>
          <w:rFonts w:ascii="Arial" w:cs="Arial" w:eastAsia="Arial" w:hAnsi="Arial"/>
          <w:sz w:val="18"/>
          <w:szCs w:val="18"/>
          <w:color w:val="auto"/>
        </w:rPr>
      </w:pPr>
    </w:p>
    <w:p>
      <w:pPr>
        <w:ind w:right="20" w:firstLine="1300"/>
        <w:spacing w:after="0" w:line="276" w:lineRule="auto"/>
        <w:tabs>
          <w:tab w:leader="none" w:pos="173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66" w:name="page667"/>
    <w:bookmarkEnd w:id="666"/>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20" w:type="dxa"/>
            <w:vAlign w:val="bottom"/>
          </w:tcPr>
          <w:p>
            <w:pPr>
              <w:ind w:left="1320"/>
              <w:spacing w:after="0"/>
              <w:rPr>
                <w:sz w:val="20"/>
                <w:szCs w:val="20"/>
                <w:color w:val="auto"/>
              </w:rPr>
            </w:pPr>
            <w:r>
              <w:rPr>
                <w:rFonts w:ascii="Arial" w:cs="Arial" w:eastAsia="Arial" w:hAnsi="Arial"/>
                <w:sz w:val="18"/>
                <w:szCs w:val="18"/>
                <w:b w:val="1"/>
                <w:bCs w:val="1"/>
                <w:color w:val="auto"/>
              </w:rPr>
              <w:t>Reporting Covenant</w:t>
            </w:r>
          </w:p>
        </w:tc>
        <w:tc>
          <w:tcPr>
            <w:tcW w:w="2060" w:type="dxa"/>
            <w:vAlign w:val="bottom"/>
          </w:tcPr>
          <w:p>
            <w:pPr>
              <w:ind w:left="1060"/>
              <w:spacing w:after="0"/>
              <w:rPr>
                <w:sz w:val="20"/>
                <w:szCs w:val="20"/>
                <w:color w:val="auto"/>
              </w:rPr>
            </w:pPr>
            <w:r>
              <w:rPr>
                <w:rFonts w:ascii="Arial" w:cs="Arial" w:eastAsia="Arial" w:hAnsi="Arial"/>
                <w:sz w:val="18"/>
                <w:szCs w:val="18"/>
                <w:b w:val="1"/>
                <w:bCs w:val="1"/>
                <w:color w:val="auto"/>
                <w:w w:val="89"/>
              </w:rPr>
              <w:t>Requirement</w:t>
            </w:r>
          </w:p>
        </w:tc>
        <w:tc>
          <w:tcPr>
            <w:tcW w:w="0" w:type="dxa"/>
            <w:vAlign w:val="bottom"/>
          </w:tcPr>
          <w:p>
            <w:pPr>
              <w:spacing w:after="0"/>
              <w:rPr>
                <w:sz w:val="1"/>
                <w:szCs w:val="1"/>
                <w:color w:val="auto"/>
              </w:rPr>
            </w:pPr>
          </w:p>
        </w:tc>
      </w:tr>
      <w:tr>
        <w:trPr>
          <w:trHeight w:val="431"/>
        </w:trPr>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1)</w:t>
            </w:r>
          </w:p>
        </w:tc>
        <w:tc>
          <w:tcPr>
            <w:tcW w:w="402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2060" w:type="dxa"/>
            <w:vAlign w:val="bottom"/>
          </w:tcPr>
          <w:p>
            <w:pPr>
              <w:ind w:left="80"/>
              <w:spacing w:after="0"/>
              <w:rPr>
                <w:sz w:val="20"/>
                <w:szCs w:val="20"/>
                <w:color w:val="auto"/>
              </w:rPr>
            </w:pPr>
            <w:r>
              <w:rPr>
                <w:rFonts w:ascii="Arial" w:cs="Arial" w:eastAsia="Arial" w:hAnsi="Arial"/>
                <w:sz w:val="18"/>
                <w:szCs w:val="18"/>
                <w:color w:val="auto"/>
              </w:rPr>
              <w:t>Monthly within 30 days</w:t>
            </w:r>
          </w:p>
        </w:tc>
        <w:tc>
          <w:tcPr>
            <w:tcW w:w="0" w:type="dxa"/>
            <w:vAlign w:val="bottom"/>
          </w:tcPr>
          <w:p>
            <w:pPr>
              <w:spacing w:after="0"/>
              <w:rPr>
                <w:sz w:val="1"/>
                <w:szCs w:val="1"/>
                <w:color w:val="auto"/>
              </w:rPr>
            </w:pPr>
          </w:p>
        </w:tc>
      </w:tr>
      <w:tr>
        <w:trPr>
          <w:trHeight w:val="412"/>
        </w:trPr>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2)</w:t>
            </w:r>
          </w:p>
        </w:tc>
        <w:tc>
          <w:tcPr>
            <w:tcW w:w="4020" w:type="dxa"/>
            <w:vAlign w:val="bottom"/>
          </w:tcPr>
          <w:p>
            <w:pPr>
              <w:ind w:left="200"/>
              <w:spacing w:after="0"/>
              <w:rPr>
                <w:sz w:val="20"/>
                <w:szCs w:val="20"/>
                <w:color w:val="auto"/>
              </w:rPr>
            </w:pPr>
            <w:r>
              <w:rPr>
                <w:rFonts w:ascii="Arial" w:cs="Arial" w:eastAsia="Arial" w:hAnsi="Arial"/>
                <w:sz w:val="18"/>
                <w:szCs w:val="18"/>
                <w:color w:val="auto"/>
              </w:rPr>
              <w:t>Annual (CPA Audited) statements</w:t>
            </w:r>
          </w:p>
        </w:tc>
        <w:tc>
          <w:tcPr>
            <w:tcW w:w="2060" w:type="dxa"/>
            <w:vAlign w:val="bottom"/>
          </w:tcPr>
          <w:p>
            <w:pPr>
              <w:ind w:left="80"/>
              <w:spacing w:after="0"/>
              <w:rPr>
                <w:sz w:val="20"/>
                <w:szCs w:val="20"/>
                <w:color w:val="auto"/>
              </w:rPr>
            </w:pPr>
            <w:r>
              <w:rPr>
                <w:rFonts w:ascii="Arial" w:cs="Arial" w:eastAsia="Arial" w:hAnsi="Arial"/>
                <w:sz w:val="18"/>
                <w:szCs w:val="18"/>
                <w:color w:val="auto"/>
                <w:w w:val="93"/>
              </w:rPr>
              <w:t>Within 180 days after FYE</w:t>
            </w:r>
          </w:p>
        </w:tc>
        <w:tc>
          <w:tcPr>
            <w:tcW w:w="0" w:type="dxa"/>
            <w:vAlign w:val="bottom"/>
          </w:tcPr>
          <w:p>
            <w:pPr>
              <w:spacing w:after="0"/>
              <w:rPr>
                <w:sz w:val="1"/>
                <w:szCs w:val="1"/>
                <w:color w:val="auto"/>
              </w:rPr>
            </w:pPr>
          </w:p>
        </w:tc>
      </w:tr>
      <w:tr>
        <w:trPr>
          <w:trHeight w:val="219"/>
        </w:trPr>
        <w:tc>
          <w:tcPr>
            <w:tcW w:w="38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3)</w:t>
            </w:r>
          </w:p>
        </w:tc>
        <w:tc>
          <w:tcPr>
            <w:tcW w:w="4020" w:type="dxa"/>
            <w:vAlign w:val="bottom"/>
          </w:tcPr>
          <w:p>
            <w:pPr>
              <w:ind w:left="200"/>
              <w:spacing w:after="0"/>
              <w:rPr>
                <w:sz w:val="20"/>
                <w:szCs w:val="20"/>
                <w:color w:val="auto"/>
              </w:rPr>
            </w:pPr>
            <w:r>
              <w:rPr>
                <w:rFonts w:ascii="Arial" w:cs="Arial" w:eastAsia="Arial" w:hAnsi="Arial"/>
                <w:sz w:val="18"/>
                <w:szCs w:val="18"/>
                <w:color w:val="auto"/>
                <w:w w:val="92"/>
              </w:rPr>
              <w:t>Annual Financial Projections/Budget (prepared on a</w:t>
            </w:r>
          </w:p>
        </w:tc>
        <w:tc>
          <w:tcPr>
            <w:tcW w:w="2060" w:type="dxa"/>
            <w:vAlign w:val="bottom"/>
          </w:tcPr>
          <w:p>
            <w:pPr>
              <w:ind w:left="80"/>
              <w:spacing w:after="0"/>
              <w:rPr>
                <w:sz w:val="20"/>
                <w:szCs w:val="20"/>
                <w:color w:val="auto"/>
              </w:rPr>
            </w:pPr>
            <w:r>
              <w:rPr>
                <w:rFonts w:ascii="Arial" w:cs="Arial" w:eastAsia="Arial" w:hAnsi="Arial"/>
                <w:sz w:val="18"/>
                <w:szCs w:val="18"/>
                <w:color w:val="auto"/>
              </w:rPr>
              <w:t>Annually (within 30 days</w:t>
            </w:r>
          </w:p>
        </w:tc>
        <w:tc>
          <w:tcPr>
            <w:tcW w:w="0" w:type="dxa"/>
            <w:vAlign w:val="bottom"/>
          </w:tcPr>
          <w:p>
            <w:pPr>
              <w:spacing w:after="0"/>
              <w:rPr>
                <w:sz w:val="1"/>
                <w:szCs w:val="1"/>
                <w:color w:val="auto"/>
              </w:rPr>
            </w:pPr>
          </w:p>
        </w:tc>
      </w:tr>
      <w:tr>
        <w:trPr>
          <w:trHeight w:val="215"/>
        </w:trPr>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7"/>
              </w:rPr>
              <w:t>4)</w:t>
            </w:r>
          </w:p>
        </w:tc>
        <w:tc>
          <w:tcPr>
            <w:tcW w:w="4020" w:type="dxa"/>
            <w:vAlign w:val="bottom"/>
          </w:tcPr>
          <w:p>
            <w:pPr>
              <w:ind w:left="200"/>
              <w:spacing w:after="0"/>
              <w:rPr>
                <w:sz w:val="20"/>
                <w:szCs w:val="20"/>
                <w:color w:val="auto"/>
              </w:rPr>
            </w:pPr>
            <w:r>
              <w:rPr>
                <w:rFonts w:ascii="Arial" w:cs="Arial" w:eastAsia="Arial" w:hAnsi="Arial"/>
                <w:sz w:val="18"/>
                <w:szCs w:val="18"/>
                <w:color w:val="auto"/>
              </w:rPr>
              <w:t>monthly basis)</w:t>
            </w:r>
          </w:p>
        </w:tc>
        <w:tc>
          <w:tcPr>
            <w:tcW w:w="2060" w:type="dxa"/>
            <w:vAlign w:val="bottom"/>
          </w:tcPr>
          <w:p>
            <w:pPr>
              <w:ind w:left="80"/>
              <w:spacing w:after="0"/>
              <w:rPr>
                <w:sz w:val="20"/>
                <w:szCs w:val="20"/>
                <w:color w:val="auto"/>
              </w:rPr>
            </w:pPr>
            <w:r>
              <w:rPr>
                <w:rFonts w:ascii="Arial" w:cs="Arial" w:eastAsia="Arial" w:hAnsi="Arial"/>
                <w:sz w:val="18"/>
                <w:szCs w:val="18"/>
                <w:color w:val="auto"/>
                <w:w w:val="92"/>
              </w:rPr>
              <w:t>of FYE), and when revised</w:t>
            </w:r>
          </w:p>
        </w:tc>
        <w:tc>
          <w:tcPr>
            <w:tcW w:w="0" w:type="dxa"/>
            <w:vAlign w:val="bottom"/>
          </w:tcPr>
          <w:p>
            <w:pPr>
              <w:spacing w:after="0"/>
              <w:rPr>
                <w:sz w:val="1"/>
                <w:szCs w:val="1"/>
                <w:color w:val="auto"/>
              </w:rPr>
            </w:pPr>
          </w:p>
        </w:tc>
      </w:tr>
      <w:tr>
        <w:trPr>
          <w:trHeight w:val="215"/>
        </w:trPr>
        <w:tc>
          <w:tcPr>
            <w:tcW w:w="380" w:type="dxa"/>
            <w:vAlign w:val="bottom"/>
            <w:vMerge w:val="continue"/>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8-K, 10-K and 10-Q Filings</w:t>
            </w:r>
          </w:p>
        </w:tc>
        <w:tc>
          <w:tcPr>
            <w:tcW w:w="2060" w:type="dxa"/>
            <w:vAlign w:val="bottom"/>
          </w:tcPr>
          <w:p>
            <w:pPr>
              <w:ind w:left="80"/>
              <w:spacing w:after="0"/>
              <w:rPr>
                <w:sz w:val="20"/>
                <w:szCs w:val="20"/>
                <w:color w:val="auto"/>
              </w:rPr>
            </w:pPr>
            <w:r>
              <w:rPr>
                <w:rFonts w:ascii="Arial" w:cs="Arial" w:eastAsia="Arial" w:hAnsi="Arial"/>
                <w:sz w:val="18"/>
                <w:szCs w:val="18"/>
                <w:color w:val="auto"/>
                <w:w w:val="93"/>
              </w:rPr>
              <w:t>If applicable, within 5 days</w:t>
            </w:r>
          </w:p>
        </w:tc>
        <w:tc>
          <w:tcPr>
            <w:tcW w:w="0" w:type="dxa"/>
            <w:vAlign w:val="bottom"/>
          </w:tcPr>
          <w:p>
            <w:pPr>
              <w:spacing w:after="0"/>
              <w:rPr>
                <w:sz w:val="1"/>
                <w:szCs w:val="1"/>
                <w:color w:val="auto"/>
              </w:rPr>
            </w:pPr>
          </w:p>
        </w:tc>
      </w:tr>
      <w:tr>
        <w:trPr>
          <w:trHeight w:val="215"/>
        </w:trPr>
        <w:tc>
          <w:tcPr>
            <w:tcW w:w="3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7"/>
              </w:rPr>
              <w:t>5)</w:t>
            </w:r>
          </w:p>
        </w:tc>
        <w:tc>
          <w:tcPr>
            <w:tcW w:w="4020" w:type="dxa"/>
            <w:vAlign w:val="bottom"/>
          </w:tcPr>
          <w:p>
            <w:pPr>
              <w:spacing w:after="0"/>
              <w:rPr>
                <w:sz w:val="18"/>
                <w:szCs w:val="18"/>
                <w:color w:val="auto"/>
              </w:rPr>
            </w:pPr>
          </w:p>
        </w:tc>
        <w:tc>
          <w:tcPr>
            <w:tcW w:w="2060" w:type="dxa"/>
            <w:vAlign w:val="bottom"/>
          </w:tcPr>
          <w:p>
            <w:pPr>
              <w:ind w:left="80"/>
              <w:spacing w:after="0"/>
              <w:rPr>
                <w:sz w:val="20"/>
                <w:szCs w:val="20"/>
                <w:color w:val="auto"/>
              </w:rPr>
            </w:pPr>
            <w:r>
              <w:rPr>
                <w:rFonts w:ascii="Arial" w:cs="Arial" w:eastAsia="Arial" w:hAnsi="Arial"/>
                <w:sz w:val="18"/>
                <w:szCs w:val="18"/>
                <w:color w:val="auto"/>
              </w:rPr>
              <w:t>of filing</w:t>
            </w: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2060" w:type="dxa"/>
            <w:vAlign w:val="bottom"/>
          </w:tcPr>
          <w:p>
            <w:pPr>
              <w:ind w:left="80"/>
              <w:spacing w:after="0"/>
              <w:rPr>
                <w:sz w:val="20"/>
                <w:szCs w:val="20"/>
                <w:color w:val="auto"/>
              </w:rPr>
            </w:pPr>
            <w:r>
              <w:rPr>
                <w:rFonts w:ascii="Arial" w:cs="Arial" w:eastAsia="Arial" w:hAnsi="Arial"/>
                <w:sz w:val="18"/>
                <w:szCs w:val="18"/>
                <w:color w:val="auto"/>
              </w:rPr>
              <w:t>Monthly within 30 days</w:t>
            </w:r>
          </w:p>
        </w:tc>
        <w:tc>
          <w:tcPr>
            <w:tcW w:w="0" w:type="dxa"/>
            <w:vAlign w:val="bottom"/>
          </w:tcPr>
          <w:p>
            <w:pPr>
              <w:spacing w:after="0"/>
              <w:rPr>
                <w:sz w:val="1"/>
                <w:szCs w:val="1"/>
                <w:color w:val="auto"/>
              </w:rPr>
            </w:pPr>
          </w:p>
        </w:tc>
      </w:tr>
    </w:tbl>
    <w:p>
      <w:pPr>
        <w:ind w:left="580" w:right="3620" w:hanging="572"/>
        <w:spacing w:after="0" w:line="264" w:lineRule="auto"/>
        <w:tabs>
          <w:tab w:leader="none" w:pos="580" w:val="left"/>
        </w:tabs>
        <w:numPr>
          <w:ilvl w:val="0"/>
          <w:numId w:val="634"/>
        </w:numPr>
        <w:rPr>
          <w:rFonts w:ascii="Arial" w:cs="Arial" w:eastAsia="Arial" w:hAnsi="Arial"/>
          <w:sz w:val="17"/>
          <w:szCs w:val="17"/>
          <w:b w:val="1"/>
          <w:bCs w:val="1"/>
          <w:color w:val="auto"/>
        </w:rPr>
      </w:pPr>
      <w:r>
        <w:rPr>
          <w:rFonts w:ascii="Arial" w:cs="Arial" w:eastAsia="Arial" w:hAnsi="Arial"/>
          <w:sz w:val="17"/>
          <w:szCs w:val="17"/>
          <w:color w:val="auto"/>
        </w:rPr>
        <w:t>Total amount of Borrower’s cash and cash equivalents at the last day of the measurement period</w:t>
      </w:r>
    </w:p>
    <w:p>
      <w:pPr>
        <w:ind w:left="580" w:right="3820" w:hanging="572"/>
        <w:spacing w:after="0" w:line="252" w:lineRule="auto"/>
        <w:tabs>
          <w:tab w:leader="none" w:pos="580" w:val="left"/>
        </w:tabs>
        <w:numPr>
          <w:ilvl w:val="0"/>
          <w:numId w:val="634"/>
        </w:numPr>
        <w:rPr>
          <w:rFonts w:ascii="Arial" w:cs="Arial" w:eastAsia="Arial" w:hAnsi="Arial"/>
          <w:sz w:val="18"/>
          <w:szCs w:val="18"/>
          <w:b w:val="1"/>
          <w:bCs w:val="1"/>
          <w:color w:val="auto"/>
        </w:rPr>
      </w:pPr>
      <w:r>
        <w:rPr>
          <w:rFonts w:ascii="Arial" w:cs="Arial" w:eastAsia="Arial" w:hAnsi="Arial"/>
          <w:sz w:val="18"/>
          <w:szCs w:val="18"/>
          <w:color w:val="auto"/>
        </w:rPr>
        <w:t>Total amount of Borrower’s Subsidiaries’ cash and cash equivalents at the last day of the measurement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Deposit and Securities Accounts</w:t>
            </w:r>
          </w:p>
        </w:tc>
        <w:tc>
          <w:tcPr>
            <w:tcW w:w="2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51"/>
        </w:trPr>
        <w:tc>
          <w:tcPr>
            <w:tcW w:w="55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7"/>
              </w:rPr>
              <w:t>(Please list all accounts; attach separate sheet if additional space needed)</w:t>
            </w:r>
          </w:p>
        </w:tc>
        <w:tc>
          <w:tcPr>
            <w:tcW w:w="720" w:type="dxa"/>
            <w:vAlign w:val="bottom"/>
          </w:tcPr>
          <w:p>
            <w:pPr>
              <w:spacing w:after="0"/>
              <w:rPr>
                <w:sz w:val="24"/>
                <w:szCs w:val="24"/>
                <w:color w:val="auto"/>
              </w:rPr>
            </w:pPr>
          </w:p>
        </w:tc>
      </w:tr>
      <w:tr>
        <w:trPr>
          <w:trHeight w:val="431"/>
        </w:trPr>
        <w:tc>
          <w:tcPr>
            <w:tcW w:w="2460" w:type="dxa"/>
            <w:vAlign w:val="bottom"/>
          </w:tcPr>
          <w:p>
            <w:pPr>
              <w:ind w:left="580"/>
              <w:spacing w:after="0"/>
              <w:rPr>
                <w:sz w:val="20"/>
                <w:szCs w:val="20"/>
                <w:color w:val="auto"/>
              </w:rPr>
            </w:pPr>
            <w:r>
              <w:rPr>
                <w:rFonts w:ascii="Arial" w:cs="Arial" w:eastAsia="Arial" w:hAnsi="Arial"/>
                <w:sz w:val="18"/>
                <w:szCs w:val="18"/>
                <w:b w:val="1"/>
                <w:bCs w:val="1"/>
                <w:color w:val="auto"/>
              </w:rPr>
              <w:t>Institution Name</w:t>
            </w:r>
          </w:p>
        </w:tc>
        <w:tc>
          <w:tcPr>
            <w:tcW w:w="2220" w:type="dxa"/>
            <w:vAlign w:val="bottom"/>
          </w:tcPr>
          <w:p>
            <w:pPr>
              <w:ind w:left="420"/>
              <w:spacing w:after="0"/>
              <w:rPr>
                <w:sz w:val="20"/>
                <w:szCs w:val="20"/>
                <w:color w:val="auto"/>
              </w:rPr>
            </w:pPr>
            <w:r>
              <w:rPr>
                <w:rFonts w:ascii="Arial" w:cs="Arial" w:eastAsia="Arial" w:hAnsi="Arial"/>
                <w:sz w:val="18"/>
                <w:szCs w:val="18"/>
                <w:b w:val="1"/>
                <w:bCs w:val="1"/>
                <w:color w:val="auto"/>
              </w:rPr>
              <w:t>Account Number</w:t>
            </w:r>
          </w:p>
        </w:tc>
        <w:tc>
          <w:tcPr>
            <w:tcW w:w="1600" w:type="dxa"/>
            <w:vAlign w:val="bottom"/>
            <w:gridSpan w:val="2"/>
          </w:tcPr>
          <w:p>
            <w:pPr>
              <w:ind w:left="480"/>
              <w:spacing w:after="0"/>
              <w:rPr>
                <w:sz w:val="20"/>
                <w:szCs w:val="20"/>
                <w:color w:val="auto"/>
              </w:rPr>
            </w:pPr>
            <w:r>
              <w:rPr>
                <w:rFonts w:ascii="Arial" w:cs="Arial" w:eastAsia="Arial" w:hAnsi="Arial"/>
                <w:sz w:val="18"/>
                <w:szCs w:val="18"/>
                <w:b w:val="1"/>
                <w:bCs w:val="1"/>
                <w:color w:val="auto"/>
                <w:w w:val="87"/>
              </w:rPr>
              <w:t>New Account?</w:t>
            </w:r>
          </w:p>
        </w:tc>
      </w:tr>
      <w:tr>
        <w:trPr>
          <w:trHeight w:val="431"/>
        </w:trPr>
        <w:tc>
          <w:tcPr>
            <w:tcW w:w="2460" w:type="dxa"/>
            <w:vAlign w:val="bottom"/>
          </w:tcPr>
          <w:p>
            <w:pPr>
              <w:spacing w:after="0"/>
              <w:rPr>
                <w:sz w:val="20"/>
                <w:szCs w:val="20"/>
                <w:color w:val="auto"/>
              </w:rPr>
            </w:pPr>
            <w:r>
              <w:rPr>
                <w:rFonts w:ascii="Arial" w:cs="Arial" w:eastAsia="Arial" w:hAnsi="Arial"/>
                <w:sz w:val="18"/>
                <w:szCs w:val="18"/>
                <w:color w:val="auto"/>
              </w:rPr>
              <w:t>1)</w:t>
            </w:r>
          </w:p>
        </w:tc>
        <w:tc>
          <w:tcPr>
            <w:tcW w:w="2220" w:type="dxa"/>
            <w:vAlign w:val="bottom"/>
          </w:tcPr>
          <w:p>
            <w:pPr>
              <w:spacing w:after="0"/>
              <w:rPr>
                <w:sz w:val="24"/>
                <w:szCs w:val="24"/>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Yes</w:t>
            </w:r>
          </w:p>
        </w:tc>
        <w:tc>
          <w:tcPr>
            <w:tcW w:w="72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431"/>
        </w:trPr>
        <w:tc>
          <w:tcPr>
            <w:tcW w:w="2460" w:type="dxa"/>
            <w:vAlign w:val="bottom"/>
          </w:tcPr>
          <w:p>
            <w:pPr>
              <w:spacing w:after="0"/>
              <w:rPr>
                <w:sz w:val="20"/>
                <w:szCs w:val="20"/>
                <w:color w:val="auto"/>
              </w:rPr>
            </w:pPr>
            <w:r>
              <w:rPr>
                <w:rFonts w:ascii="Arial" w:cs="Arial" w:eastAsia="Arial" w:hAnsi="Arial"/>
                <w:sz w:val="18"/>
                <w:szCs w:val="18"/>
                <w:color w:val="auto"/>
              </w:rPr>
              <w:t>2)</w:t>
            </w:r>
          </w:p>
        </w:tc>
        <w:tc>
          <w:tcPr>
            <w:tcW w:w="2220" w:type="dxa"/>
            <w:vAlign w:val="bottom"/>
          </w:tcPr>
          <w:p>
            <w:pPr>
              <w:spacing w:after="0"/>
              <w:rPr>
                <w:sz w:val="24"/>
                <w:szCs w:val="24"/>
                <w:color w:val="auto"/>
              </w:rPr>
            </w:pPr>
          </w:p>
        </w:tc>
        <w:tc>
          <w:tcPr>
            <w:tcW w:w="880" w:type="dxa"/>
            <w:vAlign w:val="bottom"/>
          </w:tcPr>
          <w:p>
            <w:pPr>
              <w:ind w:left="480"/>
              <w:spacing w:after="0"/>
              <w:rPr>
                <w:sz w:val="20"/>
                <w:szCs w:val="20"/>
                <w:color w:val="auto"/>
              </w:rPr>
            </w:pPr>
            <w:r>
              <w:rPr>
                <w:rFonts w:ascii="Arial" w:cs="Arial" w:eastAsia="Arial" w:hAnsi="Arial"/>
                <w:sz w:val="18"/>
                <w:szCs w:val="18"/>
                <w:color w:val="auto"/>
              </w:rPr>
              <w:t>Yes</w:t>
            </w:r>
          </w:p>
        </w:tc>
        <w:tc>
          <w:tcPr>
            <w:tcW w:w="720" w:type="dxa"/>
            <w:vAlign w:val="bottom"/>
          </w:tcPr>
          <w:p>
            <w:pPr>
              <w:ind w:left="14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br w:type="column"/>
      </w:r>
    </w:p>
    <w:p>
      <w:pPr>
        <w:ind w:left="300"/>
        <w:spacing w:after="0"/>
        <w:tabs>
          <w:tab w:leader="none" w:pos="2180" w:val="left"/>
        </w:tabs>
        <w:rPr>
          <w:sz w:val="20"/>
          <w:szCs w:val="20"/>
          <w:color w:val="auto"/>
        </w:rPr>
      </w:pPr>
      <w:r>
        <w:rPr>
          <w:rFonts w:ascii="Arial" w:cs="Arial" w:eastAsia="Arial" w:hAnsi="Arial"/>
          <w:sz w:val="18"/>
          <w:szCs w:val="18"/>
          <w:b w:val="1"/>
          <w:bCs w:val="1"/>
          <w:color w:val="auto"/>
        </w:rPr>
        <w:t>Actual</w:t>
      </w:r>
      <w:r>
        <w:rPr>
          <w:sz w:val="20"/>
          <w:szCs w:val="20"/>
          <w:color w:val="auto"/>
        </w:rPr>
        <w:tab/>
      </w:r>
      <w:r>
        <w:rPr>
          <w:rFonts w:ascii="Arial" w:cs="Arial" w:eastAsia="Arial" w:hAnsi="Arial"/>
          <w:sz w:val="18"/>
          <w:szCs w:val="18"/>
          <w:b w:val="1"/>
          <w:bCs w:val="1"/>
          <w:color w:val="auto"/>
        </w:rPr>
        <w:t>Complies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416"/>
        </w:trPr>
        <w:tc>
          <w:tcPr>
            <w:tcW w:w="102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230"/>
        </w:trPr>
        <w:tc>
          <w:tcPr>
            <w:tcW w:w="102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431"/>
        </w:trPr>
        <w:tc>
          <w:tcPr>
            <w:tcW w:w="102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416"/>
        </w:trPr>
        <w:tc>
          <w:tcPr>
            <w:tcW w:w="1020" w:type="dxa"/>
            <w:vAlign w:val="bottom"/>
          </w:tcPr>
          <w:p>
            <w:pPr>
              <w:spacing w:after="0"/>
              <w:rPr>
                <w:sz w:val="24"/>
                <w:szCs w:val="24"/>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230"/>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86"/>
              </w:rPr>
              <w:t>$_____</w:t>
            </w: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r>
        <w:trPr>
          <w:trHeight w:val="646"/>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86"/>
              </w:rPr>
              <w:t>$_____</w:t>
            </w:r>
          </w:p>
        </w:tc>
        <w:tc>
          <w:tcPr>
            <w:tcW w:w="880" w:type="dxa"/>
            <w:vAlign w:val="bottom"/>
          </w:tcPr>
          <w:p>
            <w:pPr>
              <w:ind w:left="500"/>
              <w:spacing w:after="0"/>
              <w:rPr>
                <w:sz w:val="20"/>
                <w:szCs w:val="20"/>
                <w:color w:val="auto"/>
              </w:rPr>
            </w:pPr>
            <w:r>
              <w:rPr>
                <w:rFonts w:ascii="Arial" w:cs="Arial" w:eastAsia="Arial" w:hAnsi="Arial"/>
                <w:sz w:val="18"/>
                <w:szCs w:val="18"/>
                <w:color w:val="auto"/>
              </w:rPr>
              <w:t>Yes</w:t>
            </w:r>
          </w:p>
        </w:tc>
        <w:tc>
          <w:tcPr>
            <w:tcW w:w="440" w:type="dxa"/>
            <w:vAlign w:val="bottom"/>
          </w:tcPr>
          <w:p>
            <w:pPr>
              <w:ind w:left="120"/>
              <w:spacing w:after="0"/>
              <w:rPr>
                <w:sz w:val="20"/>
                <w:szCs w:val="20"/>
                <w:color w:val="auto"/>
              </w:rPr>
            </w:pPr>
            <w:r>
              <w:rPr>
                <w:rFonts w:ascii="Arial" w:cs="Arial" w:eastAsia="Arial" w:hAnsi="Arial"/>
                <w:sz w:val="18"/>
                <w:szCs w:val="18"/>
                <w:color w:val="auto"/>
              </w:rPr>
              <w:t>No</w:t>
            </w:r>
          </w:p>
        </w:tc>
        <w:tc>
          <w:tcPr>
            <w:tcW w:w="420" w:type="dxa"/>
            <w:vAlign w:val="bottom"/>
          </w:tcPr>
          <w:p>
            <w:pPr>
              <w:ind w:left="120"/>
              <w:spacing w:after="0"/>
              <w:rPr>
                <w:sz w:val="20"/>
                <w:szCs w:val="20"/>
                <w:color w:val="auto"/>
              </w:rPr>
            </w:pPr>
            <w:r>
              <w:rPr>
                <w:rFonts w:ascii="Arial" w:cs="Arial" w:eastAsia="Arial" w:hAnsi="Arial"/>
                <w:sz w:val="18"/>
                <w:szCs w:val="18"/>
                <w:color w:val="auto"/>
                <w:w w:val="93"/>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Control Agreement in place?</w:t>
      </w:r>
    </w:p>
    <w:p>
      <w:pPr>
        <w:spacing w:after="0" w:line="239"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Yes</w:t>
        <w:tab/>
        <w:t>No</w:t>
      </w:r>
    </w:p>
    <w:p>
      <w:pPr>
        <w:spacing w:after="0" w:line="224"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Yes</w:t>
        <w:tab/>
        <w:t>No</w:t>
      </w:r>
    </w:p>
    <w:p>
      <w:pPr>
        <w:spacing w:after="0" w:line="222" w:lineRule="exact"/>
        <w:rPr>
          <w:sz w:val="20"/>
          <w:szCs w:val="20"/>
          <w:color w:val="auto"/>
        </w:rPr>
      </w:pPr>
    </w:p>
    <w:p>
      <w:pPr>
        <w:sectPr>
          <w:pgSz w:w="11900" w:h="16838" w:orient="portrait"/>
          <w:cols w:equalWidth="0" w:num="2">
            <w:col w:w="6720" w:space="720"/>
            <w:col w:w="3060"/>
          </w:cols>
          <w:pgMar w:left="240" w:top="579" w:right="115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Matters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1)</w:t>
            </w:r>
          </w:p>
        </w:tc>
        <w:tc>
          <w:tcPr>
            <w:tcW w:w="7400" w:type="dxa"/>
            <w:vAlign w:val="bottom"/>
          </w:tcPr>
          <w:p>
            <w:pPr>
              <w:ind w:left="200"/>
              <w:spacing w:after="0"/>
              <w:rPr>
                <w:sz w:val="20"/>
                <w:szCs w:val="20"/>
                <w:color w:val="auto"/>
              </w:rPr>
            </w:pPr>
            <w:r>
              <w:rPr>
                <w:rFonts w:ascii="Arial" w:cs="Arial" w:eastAsia="Arial" w:hAnsi="Arial"/>
                <w:sz w:val="18"/>
                <w:szCs w:val="18"/>
                <w:color w:val="auto"/>
              </w:rPr>
              <w:t>Have there been any changes in any Key Person since the last Compliance Certificate?</w:t>
            </w:r>
          </w:p>
        </w:tc>
        <w:tc>
          <w:tcPr>
            <w:tcW w:w="840" w:type="dxa"/>
            <w:vAlign w:val="bottom"/>
          </w:tcPr>
          <w:p>
            <w:pPr>
              <w:ind w:left="46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416"/>
        </w:trPr>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2)</w:t>
            </w:r>
          </w:p>
        </w:tc>
        <w:tc>
          <w:tcPr>
            <w:tcW w:w="7400" w:type="dxa"/>
            <w:vAlign w:val="bottom"/>
          </w:tcPr>
          <w:p>
            <w:pPr>
              <w:ind w:left="200"/>
              <w:spacing w:after="0"/>
              <w:rPr>
                <w:sz w:val="20"/>
                <w:szCs w:val="20"/>
                <w:color w:val="auto"/>
              </w:rPr>
            </w:pPr>
            <w:r>
              <w:rPr>
                <w:rFonts w:ascii="Arial" w:cs="Arial" w:eastAsia="Arial" w:hAnsi="Arial"/>
                <w:sz w:val="18"/>
                <w:szCs w:val="18"/>
                <w:color w:val="auto"/>
                <w:w w:val="97"/>
              </w:rPr>
              <w:t>Have there been any transfers/sales/disposals/retirement of Collateral or IP prohibited by the</w:t>
            </w:r>
          </w:p>
        </w:tc>
        <w:tc>
          <w:tcPr>
            <w:tcW w:w="840" w:type="dxa"/>
            <w:vAlign w:val="bottom"/>
          </w:tcPr>
          <w:p>
            <w:pPr>
              <w:ind w:left="46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230"/>
        </w:trPr>
        <w:tc>
          <w:tcPr>
            <w:tcW w:w="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Loan Agreement?</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6"/>
        </w:trPr>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3)</w:t>
            </w:r>
          </w:p>
        </w:tc>
        <w:tc>
          <w:tcPr>
            <w:tcW w:w="7400" w:type="dxa"/>
            <w:vAlign w:val="bottom"/>
          </w:tcPr>
          <w:p>
            <w:pPr>
              <w:ind w:left="200"/>
              <w:spacing w:after="0"/>
              <w:rPr>
                <w:sz w:val="20"/>
                <w:szCs w:val="20"/>
                <w:color w:val="auto"/>
              </w:rPr>
            </w:pPr>
            <w:r>
              <w:rPr>
                <w:rFonts w:ascii="Arial" w:cs="Arial" w:eastAsia="Arial" w:hAnsi="Arial"/>
                <w:sz w:val="18"/>
                <w:szCs w:val="18"/>
                <w:color w:val="auto"/>
                <w:w w:val="96"/>
              </w:rPr>
              <w:t>Have there been any new or pending claims or causes of action against Borrower that involve</w:t>
            </w:r>
          </w:p>
        </w:tc>
        <w:tc>
          <w:tcPr>
            <w:tcW w:w="840" w:type="dxa"/>
            <w:vAlign w:val="bottom"/>
          </w:tcPr>
          <w:p>
            <w:pPr>
              <w:ind w:left="46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230"/>
        </w:trPr>
        <w:tc>
          <w:tcPr>
            <w:tcW w:w="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more than One Hundred Fifty Thousand Dollars ($150,000.00)?</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6"/>
        </w:trPr>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4)</w:t>
            </w:r>
          </w:p>
        </w:tc>
        <w:tc>
          <w:tcPr>
            <w:tcW w:w="7400" w:type="dxa"/>
            <w:vAlign w:val="bottom"/>
          </w:tcPr>
          <w:p>
            <w:pPr>
              <w:ind w:left="200"/>
              <w:spacing w:after="0"/>
              <w:rPr>
                <w:sz w:val="20"/>
                <w:szCs w:val="20"/>
                <w:color w:val="auto"/>
              </w:rPr>
            </w:pPr>
            <w:r>
              <w:rPr>
                <w:rFonts w:ascii="Arial" w:cs="Arial" w:eastAsia="Arial" w:hAnsi="Arial"/>
                <w:sz w:val="18"/>
                <w:szCs w:val="18"/>
                <w:color w:val="auto"/>
                <w:w w:val="97"/>
              </w:rPr>
              <w:t>Have there been any material changes to the capitalization table of Borrower? If yes, provide</w:t>
            </w:r>
          </w:p>
        </w:tc>
        <w:tc>
          <w:tcPr>
            <w:tcW w:w="840" w:type="dxa"/>
            <w:vAlign w:val="bottom"/>
          </w:tcPr>
          <w:p>
            <w:pPr>
              <w:ind w:left="460"/>
              <w:spacing w:after="0"/>
              <w:rPr>
                <w:sz w:val="20"/>
                <w:szCs w:val="20"/>
                <w:color w:val="auto"/>
              </w:rPr>
            </w:pPr>
            <w:r>
              <w:rPr>
                <w:rFonts w:ascii="Arial" w:cs="Arial" w:eastAsia="Arial" w:hAnsi="Arial"/>
                <w:sz w:val="18"/>
                <w:szCs w:val="18"/>
                <w:color w:val="auto"/>
              </w:rPr>
              <w:t>Yes</w:t>
            </w:r>
          </w:p>
        </w:tc>
        <w:tc>
          <w:tcPr>
            <w:tcW w:w="320" w:type="dxa"/>
            <w:vAlign w:val="bottom"/>
          </w:tcPr>
          <w:p>
            <w:pPr>
              <w:ind w:left="100"/>
              <w:spacing w:after="0"/>
              <w:rPr>
                <w:sz w:val="20"/>
                <w:szCs w:val="20"/>
                <w:color w:val="auto"/>
              </w:rPr>
            </w:pPr>
            <w:r>
              <w:rPr>
                <w:rFonts w:ascii="Arial" w:cs="Arial" w:eastAsia="Arial" w:hAnsi="Arial"/>
                <w:sz w:val="18"/>
                <w:szCs w:val="18"/>
                <w:color w:val="auto"/>
                <w:w w:val="86"/>
              </w:rPr>
              <w:t>No</w:t>
            </w:r>
          </w:p>
        </w:tc>
      </w:tr>
      <w:tr>
        <w:trPr>
          <w:trHeight w:val="230"/>
        </w:trPr>
        <w:tc>
          <w:tcPr>
            <w:tcW w:w="38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copies of any such amendments or changes with this Compliance Certificate.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201" w:lineRule="exact"/>
        <w:rPr>
          <w:sz w:val="20"/>
          <w:szCs w:val="20"/>
          <w:color w:val="auto"/>
        </w:rPr>
      </w:pPr>
    </w:p>
    <w:p>
      <w:pPr>
        <w:ind w:left="580" w:right="1160" w:hanging="572"/>
        <w:spacing w:after="0" w:line="276" w:lineRule="auto"/>
        <w:tabs>
          <w:tab w:leader="none" w:pos="58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Have there been any amendments of or other changes to the Operating Documents of Borrower or any of its Subsidiaries? If yes, provide copies of any such amendments or changes with this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7255"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500"/>
          </w:cols>
          <w:pgMar w:left="240" w:top="579" w:right="1159" w:bottom="1440" w:gutter="0" w:footer="0" w:header="0"/>
          <w:type w:val="continuous"/>
        </w:sectPr>
      </w:pPr>
    </w:p>
    <w:bookmarkStart w:id="667" w:name="page668"/>
    <w:bookmarkEnd w:id="667"/>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14605</wp:posOffset>
            </wp:positionV>
            <wp:extent cx="253809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0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13970</wp:posOffset>
            </wp:positionV>
            <wp:extent cx="253809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ind w:left="5720"/>
              <w:spacing w:after="0"/>
              <w:rPr>
                <w:sz w:val="20"/>
                <w:szCs w:val="20"/>
                <w:color w:val="auto"/>
              </w:rPr>
            </w:pPr>
            <w:r>
              <w:rPr>
                <w:rFonts w:ascii="Arial" w:cs="Arial" w:eastAsia="Arial" w:hAnsi="Arial"/>
                <w:sz w:val="18"/>
                <w:szCs w:val="18"/>
                <w:b w:val="1"/>
                <w:bCs w:val="1"/>
                <w:color w:val="auto"/>
              </w:rPr>
              <w:t>LENDER USE ONLY</w:t>
            </w: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100" w:type="dxa"/>
            <w:vAlign w:val="bottom"/>
          </w:tcPr>
          <w:p>
            <w:pPr>
              <w:ind w:left="5720"/>
              <w:spacing w:after="0"/>
              <w:rPr>
                <w:sz w:val="20"/>
                <w:szCs w:val="20"/>
                <w:color w:val="auto"/>
              </w:rPr>
            </w:pPr>
            <w:r>
              <w:rPr>
                <w:rFonts w:ascii="Arial" w:cs="Arial" w:eastAsia="Arial" w:hAnsi="Arial"/>
                <w:sz w:val="18"/>
                <w:szCs w:val="18"/>
                <w:color w:val="auto"/>
              </w:rPr>
              <w:t>Received by:</w:t>
            </w: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Date: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100" w:type="dxa"/>
            <w:vAlign w:val="bottom"/>
          </w:tcPr>
          <w:p>
            <w:pPr>
              <w:ind w:left="5720"/>
              <w:spacing w:after="0"/>
              <w:rPr>
                <w:sz w:val="20"/>
                <w:szCs w:val="20"/>
                <w:color w:val="auto"/>
              </w:rPr>
            </w:pPr>
            <w:r>
              <w:rPr>
                <w:rFonts w:ascii="Arial" w:cs="Arial" w:eastAsia="Arial" w:hAnsi="Arial"/>
                <w:sz w:val="18"/>
                <w:szCs w:val="18"/>
                <w:color w:val="auto"/>
              </w:rPr>
              <w:t>Verified by:</w:t>
            </w: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Date: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580" w:type="dxa"/>
            <w:vAlign w:val="bottom"/>
            <w:gridSpan w:val="2"/>
          </w:tcPr>
          <w:p>
            <w:pPr>
              <w:ind w:left="5720"/>
              <w:spacing w:after="0"/>
              <w:rPr>
                <w:sz w:val="20"/>
                <w:szCs w:val="20"/>
                <w:color w:val="auto"/>
              </w:rPr>
            </w:pPr>
            <w:r>
              <w:rPr>
                <w:rFonts w:ascii="Arial" w:cs="Arial" w:eastAsia="Arial" w:hAnsi="Arial"/>
                <w:sz w:val="18"/>
                <w:szCs w:val="18"/>
                <w:color w:val="auto"/>
              </w:rPr>
              <w:t>Compliance</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Yes</w:t>
            </w:r>
          </w:p>
        </w:tc>
        <w:tc>
          <w:tcPr>
            <w:tcW w:w="3300" w:type="dxa"/>
            <w:vAlign w:val="bottom"/>
            <w:gridSpan w:val="3"/>
            <w:vMerge w:val="restart"/>
          </w:tcPr>
          <w:p>
            <w:pPr>
              <w:ind w:left="12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22"/>
        </w:trPr>
        <w:tc>
          <w:tcPr>
            <w:tcW w:w="7580" w:type="dxa"/>
            <w:vAlign w:val="bottom"/>
            <w:gridSpan w:val="2"/>
            <w:vMerge w:val="restart"/>
          </w:tcPr>
          <w:p>
            <w:pPr>
              <w:ind w:left="5720"/>
              <w:spacing w:after="0"/>
              <w:rPr>
                <w:sz w:val="20"/>
                <w:szCs w:val="20"/>
                <w:color w:val="auto"/>
              </w:rPr>
            </w:pPr>
            <w:r>
              <w:rPr>
                <w:rFonts w:ascii="Arial" w:cs="Arial" w:eastAsia="Arial" w:hAnsi="Arial"/>
                <w:sz w:val="18"/>
                <w:szCs w:val="18"/>
                <w:color w:val="auto"/>
              </w:rPr>
              <w:t>Status:</w:t>
            </w:r>
          </w:p>
        </w:tc>
        <w:tc>
          <w:tcPr>
            <w:tcW w:w="540" w:type="dxa"/>
            <w:vAlign w:val="bottom"/>
            <w:vMerge w:val="continue"/>
          </w:tcPr>
          <w:p>
            <w:pPr>
              <w:spacing w:after="0"/>
              <w:rPr>
                <w:sz w:val="10"/>
                <w:szCs w:val="10"/>
                <w:color w:val="auto"/>
              </w:rPr>
            </w:pPr>
          </w:p>
        </w:tc>
        <w:tc>
          <w:tcPr>
            <w:tcW w:w="3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2"/>
        </w:trPr>
        <w:tc>
          <w:tcPr>
            <w:tcW w:w="7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9" w:right="239" w:bottom="1440" w:gutter="0" w:footer="0" w:header="0"/>
        </w:sectPr>
      </w:pPr>
    </w:p>
    <w:bookmarkStart w:id="668" w:name="page669"/>
    <w:bookmarkEnd w:id="668"/>
    <w:p>
      <w:pPr>
        <w:jc w:val="center"/>
        <w:ind w:right="-20"/>
        <w:spacing w:after="0"/>
        <w:rPr>
          <w:sz w:val="20"/>
          <w:szCs w:val="20"/>
          <w:color w:val="auto"/>
        </w:rPr>
      </w:pPr>
      <w:r>
        <w:rPr>
          <w:rFonts w:ascii="Arial" w:cs="Arial" w:eastAsia="Arial" w:hAnsi="Arial"/>
          <w:sz w:val="18"/>
          <w:szCs w:val="18"/>
          <w:b w:val="1"/>
          <w:bCs w:val="1"/>
          <w:color w:val="auto"/>
        </w:rPr>
        <w:t>EXHIBIT 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7255"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669" w:name="page670"/>
    <w:bookmarkEnd w:id="669"/>
    <w:p>
      <w:pPr>
        <w:jc w:val="center"/>
        <w:ind w:right="60"/>
        <w:spacing w:after="0"/>
        <w:rPr>
          <w:sz w:val="20"/>
          <w:szCs w:val="20"/>
          <w:color w:val="auto"/>
        </w:rPr>
      </w:pPr>
      <w:r>
        <w:rPr>
          <w:rFonts w:ascii="Arial" w:cs="Arial" w:eastAsia="Arial" w:hAnsi="Arial"/>
          <w:sz w:val="17"/>
          <w:szCs w:val="17"/>
          <w:b w:val="1"/>
          <w:bCs w:val="1"/>
          <w:color w:val="auto"/>
        </w:rPr>
        <w:t>SECURED PROMISSORY NOTE</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(Term [A][B] Loan)</w:t>
      </w:r>
    </w:p>
    <w:p>
      <w:pPr>
        <w:sectPr>
          <w:pgSz w:w="11900" w:h="16838" w:orient="portrait"/>
          <w:cols w:equalWidth="0" w:num="1">
            <w:col w:w="11420"/>
          </w:cols>
          <w:pgMar w:left="240" w:top="579" w:right="2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w:t>
      </w:r>
      <w:r>
        <w:rPr>
          <w:rFonts w:ascii="Arial" w:cs="Arial" w:eastAsia="Arial" w:hAnsi="Arial"/>
          <w:sz w:val="16"/>
          <w:szCs w:val="16"/>
          <w:u w:val="single" w:color="auto"/>
          <w:color w:val="auto"/>
        </w:rPr>
        <w:t>[__________]</w:t>
      </w:r>
    </w:p>
    <w:p>
      <w:pPr>
        <w:spacing w:after="0" w:line="200" w:lineRule="exact"/>
        <w:rPr>
          <w:sz w:val="20"/>
          <w:szCs w:val="20"/>
          <w:color w:val="auto"/>
        </w:rPr>
      </w:pPr>
    </w:p>
    <w:p>
      <w:pPr>
        <w:sectPr>
          <w:pgSz w:w="11900" w:h="16838" w:orient="portrait"/>
          <w:cols w:equalWidth="0" w:num="2">
            <w:col w:w="9160" w:space="720"/>
            <w:col w:w="1540"/>
          </w:cols>
          <w:pgMar w:left="240" w:top="579" w:right="239" w:bottom="1440" w:gutter="0" w:footer="0" w:header="0"/>
          <w:type w:val="continuous"/>
        </w:sectPr>
      </w:pPr>
    </w:p>
    <w:p>
      <w:pPr>
        <w:spacing w:after="0" w:line="47" w:lineRule="exact"/>
        <w:rPr>
          <w:sz w:val="20"/>
          <w:szCs w:val="20"/>
          <w:color w:val="auto"/>
        </w:rPr>
      </w:pPr>
    </w:p>
    <w:p>
      <w:pPr>
        <w:jc w:val="both"/>
        <w:ind w:firstLine="646"/>
        <w:spacing w:after="0" w:line="287" w:lineRule="auto"/>
        <w:rPr>
          <w:sz w:val="20"/>
          <w:szCs w:val="20"/>
          <w:color w:val="auto"/>
        </w:rPr>
      </w:pPr>
      <w:r>
        <w:rPr>
          <w:rFonts w:ascii="Arial" w:cs="Arial" w:eastAsia="Arial" w:hAnsi="Arial"/>
          <w:sz w:val="16"/>
          <w:szCs w:val="16"/>
          <w:color w:val="auto"/>
        </w:rPr>
        <w:t>FOR VALUE RECEIVED, the undersigned, VAXART, INC., a Delaware corporation with offices located at 385 Oyster Point Blvd., Suite 9A, South San Francisco, CA 94080 (“</w:t>
      </w:r>
      <w:r>
        <w:rPr>
          <w:rFonts w:ascii="Arial" w:cs="Arial" w:eastAsia="Arial" w:hAnsi="Arial"/>
          <w:sz w:val="16"/>
          <w:szCs w:val="16"/>
          <w:b w:val="1"/>
          <w:bCs w:val="1"/>
          <w:color w:val="auto"/>
        </w:rPr>
        <w:t>Borrower</w:t>
      </w:r>
      <w:r>
        <w:rPr>
          <w:rFonts w:ascii="Arial" w:cs="Arial" w:eastAsia="Arial" w:hAnsi="Arial"/>
          <w:sz w:val="16"/>
          <w:szCs w:val="16"/>
          <w:color w:val="auto"/>
        </w:rPr>
        <w:t>”) HEREBY PROMISES TO PAY to the order of OXFORD FINANCE LLC (“</w:t>
      </w:r>
      <w:r>
        <w:rPr>
          <w:rFonts w:ascii="Arial" w:cs="Arial" w:eastAsia="Arial" w:hAnsi="Arial"/>
          <w:sz w:val="16"/>
          <w:szCs w:val="16"/>
          <w:b w:val="1"/>
          <w:bCs w:val="1"/>
          <w:color w:val="auto"/>
        </w:rPr>
        <w:t>Lender</w:t>
      </w:r>
      <w:r>
        <w:rPr>
          <w:rFonts w:ascii="Arial" w:cs="Arial" w:eastAsia="Arial" w:hAnsi="Arial"/>
          <w:sz w:val="16"/>
          <w:szCs w:val="16"/>
          <w:color w:val="auto"/>
        </w:rPr>
        <w:t xml:space="preserve">”) the principal amount of [ </w:t>
      </w:r>
      <w:r>
        <w:rPr>
          <w:rFonts w:ascii="Arial" w:cs="Arial" w:eastAsia="Arial" w:hAnsi="Arial"/>
          <w:sz w:val="16"/>
          <w:szCs w:val="16"/>
          <w:u w:val="single" w:color="auto"/>
          <w:color w:val="auto"/>
        </w:rPr>
        <w:t>]</w:t>
      </w:r>
      <w:r>
        <w:rPr>
          <w:rFonts w:ascii="Arial" w:cs="Arial" w:eastAsia="Arial" w:hAnsi="Arial"/>
          <w:sz w:val="16"/>
          <w:szCs w:val="16"/>
          <w:color w:val="auto"/>
        </w:rPr>
        <w:t xml:space="preserve"> MILLION DOLLARS ($_________) or such lesser amount as shall equal the outstanding principal balance of the Term [A][B] Loan made to Borrower by</w:t>
      </w:r>
    </w:p>
    <w:p>
      <w:pPr>
        <w:jc w:val="both"/>
        <w:spacing w:after="0" w:line="280" w:lineRule="auto"/>
        <w:rPr>
          <w:sz w:val="20"/>
          <w:szCs w:val="20"/>
          <w:color w:val="auto"/>
        </w:rPr>
      </w:pPr>
      <w:r>
        <w:rPr>
          <w:rFonts w:ascii="Arial" w:cs="Arial" w:eastAsia="Arial" w:hAnsi="Arial"/>
          <w:sz w:val="16"/>
          <w:szCs w:val="16"/>
          <w:color w:val="auto"/>
        </w:rPr>
        <w:t>Lender, plus interest on the aggregate unpaid principal amount of such Term [A][B] Loan, at the rates and in accordance with the terms of the Loan and Security Agreement dated [___________, 2016] by and among Borrower, Lender, Oxford Finance LLC, as Collateral Agent, and the other Lenders from time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Principal, interest and all other amounts due with respect to the Term [A][B]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Loan Agreement, among other things, (a) provides for the making of a secured Term [A][B]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 (c) or Section 2.2(d) of the Loan Agreement.</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Note and the obligation of Borrower to repay the unpaid principal amount of the Term [A][B] Loan, interest on the Term [A][B] Loan and all other amounts due Lender under the Loan Agreement is secured under the terms of the Loan Agreement.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type w:val="continuous"/>
        </w:sectPr>
      </w:pPr>
    </w:p>
    <w:bookmarkStart w:id="670" w:name="page671"/>
    <w:bookmarkEnd w:id="670"/>
    <w:p>
      <w:pPr>
        <w:jc w:val="both"/>
        <w:spacing w:after="0" w:line="256"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1" w:name="page672"/>
    <w:bookmarkEnd w:id="671"/>
    <w:p>
      <w:pPr>
        <w:jc w:val="center"/>
        <w:spacing w:after="0"/>
        <w:rPr>
          <w:sz w:val="20"/>
          <w:szCs w:val="20"/>
          <w:color w:val="auto"/>
        </w:rPr>
      </w:pPr>
      <w:r>
        <w:rPr>
          <w:rFonts w:ascii="Arial" w:cs="Arial" w:eastAsia="Arial" w:hAnsi="Arial"/>
          <w:sz w:val="16"/>
          <w:szCs w:val="16"/>
          <w:color w:val="auto"/>
        </w:rPr>
        <w:t>IN WITNESS WHEREOF, Borrower has caused this Note to be duly executed by one of its officers thereunto duly authorized on the date hereof.</w:t>
      </w: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BORROWER:</w:t>
      </w:r>
    </w:p>
    <w:p>
      <w:pPr>
        <w:spacing w:after="0" w:line="22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14605</wp:posOffset>
            </wp:positionV>
            <wp:extent cx="308483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6">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13970</wp:posOffset>
            </wp:positionV>
            <wp:extent cx="308483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7">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pacing w:after="0" w:line="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13970</wp:posOffset>
            </wp:positionV>
            <wp:extent cx="308483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8">
                      <a:extLst>
                        <a:ext uri="{28A0092B-C50C-407E-A947-70E740481C1C}"/>
                      </a:extLst>
                    </a:blip>
                    <a:srcRect/>
                    <a:stretch>
                      <a:fillRect/>
                    </a:stretch>
                  </pic:blipFill>
                  <pic:spPr bwMode="auto">
                    <a:xfrm>
                      <a:off x="0" y="0"/>
                      <a:ext cx="308483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381000</wp:posOffset>
            </wp:positionV>
            <wp:extent cx="724725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0440"/>
          </w:cols>
          <w:pgMar w:left="900" w:top="584" w:right="559" w:bottom="1440" w:gutter="0" w:footer="0" w:header="0"/>
        </w:sectPr>
      </w:pPr>
    </w:p>
    <w:bookmarkStart w:id="672" w:name="page673"/>
    <w:bookmarkEnd w:id="672"/>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LOAN INTEREST RATE AND PAYMENTS OF PRINCIPAL</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22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Payment Amount</w:t>
            </w:r>
          </w:p>
        </w:tc>
        <w:tc>
          <w:tcPr>
            <w:tcW w:w="120" w:type="dxa"/>
            <w:vAlign w:val="bottom"/>
          </w:tcPr>
          <w:p>
            <w:pPr>
              <w:spacing w:after="0"/>
              <w:rPr>
                <w:sz w:val="20"/>
                <w:szCs w:val="20"/>
                <w:color w:val="auto"/>
              </w:rPr>
            </w:pPr>
          </w:p>
        </w:tc>
        <w:tc>
          <w:tcPr>
            <w:tcW w:w="22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Notation By</w:t>
            </w:r>
          </w:p>
        </w:tc>
      </w:tr>
      <w:tr>
        <w:trPr>
          <w:trHeight w:val="781"/>
        </w:trPr>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73" w:name="page674"/>
    <w:bookmarkEnd w:id="6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b w:val="1"/>
                <w:bCs w:val="1"/>
                <w:color w:val="auto"/>
              </w:rPr>
              <w:t>CORPORATE BORROWING CERTIFICATE</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0"/>
        </w:trPr>
        <w:tc>
          <w:tcPr>
            <w:tcW w:w="144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1940" w:type="dxa"/>
            <w:vAlign w:val="bottom"/>
          </w:tcPr>
          <w:p>
            <w:pPr>
              <w:ind w:left="300"/>
              <w:spacing w:after="0"/>
              <w:rPr>
                <w:sz w:val="20"/>
                <w:szCs w:val="20"/>
                <w:color w:val="auto"/>
              </w:rPr>
            </w:pPr>
            <w:r>
              <w:rPr>
                <w:rFonts w:ascii="Arial" w:cs="Arial" w:eastAsia="Arial" w:hAnsi="Arial"/>
                <w:sz w:val="18"/>
                <w:szCs w:val="18"/>
                <w:color w:val="auto"/>
              </w:rPr>
              <w:t>VAXART, INC.</w:t>
            </w:r>
          </w:p>
        </w:tc>
        <w:tc>
          <w:tcPr>
            <w:tcW w:w="4700" w:type="dxa"/>
            <w:vAlign w:val="bottom"/>
          </w:tcPr>
          <w:p>
            <w:pPr>
              <w:ind w:left="4060"/>
              <w:spacing w:after="0"/>
              <w:rPr>
                <w:sz w:val="20"/>
                <w:szCs w:val="20"/>
                <w:color w:val="auto"/>
              </w:rPr>
            </w:pPr>
            <w:r>
              <w:rPr>
                <w:rFonts w:ascii="Arial" w:cs="Arial" w:eastAsia="Arial" w:hAnsi="Arial"/>
                <w:sz w:val="18"/>
                <w:szCs w:val="18"/>
                <w:b w:val="1"/>
                <w:bCs w:val="1"/>
                <w:color w:val="auto"/>
                <w:w w:val="95"/>
              </w:rPr>
              <w:t xml:space="preserve">DATE: </w:t>
            </w:r>
            <w:r>
              <w:rPr>
                <w:rFonts w:ascii="Arial" w:cs="Arial" w:eastAsia="Arial" w:hAnsi="Arial"/>
                <w:sz w:val="18"/>
                <w:szCs w:val="18"/>
                <w:color w:val="auto"/>
                <w:w w:val="95"/>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144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6640" w:type="dxa"/>
            <w:vAlign w:val="bottom"/>
            <w:gridSpan w:val="2"/>
          </w:tcPr>
          <w:p>
            <w:pPr>
              <w:ind w:left="300"/>
              <w:spacing w:after="0"/>
              <w:rPr>
                <w:sz w:val="20"/>
                <w:szCs w:val="20"/>
                <w:color w:val="auto"/>
              </w:rPr>
            </w:pPr>
            <w:r>
              <w:rPr>
                <w:rFonts w:ascii="Arial" w:cs="Arial" w:eastAsia="Arial" w:hAnsi="Arial"/>
                <w:sz w:val="18"/>
                <w:szCs w:val="18"/>
                <w:color w:val="auto"/>
              </w:rPr>
              <w:t>OXFORD FINANCE LLC, as Collateral Agent and Lender</w:t>
            </w:r>
          </w:p>
        </w:tc>
        <w:tc>
          <w:tcPr>
            <w:tcW w:w="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on behalf of Borrower as follows, as of the date set forth above:</w:t>
      </w:r>
    </w:p>
    <w:p>
      <w:pPr>
        <w:spacing w:after="0" w:line="224" w:lineRule="exact"/>
        <w:rPr>
          <w:sz w:val="20"/>
          <w:szCs w:val="20"/>
          <w:color w:val="auto"/>
        </w:rPr>
      </w:pPr>
    </w:p>
    <w:p>
      <w:pPr>
        <w:ind w:left="360" w:hanging="352"/>
        <w:spacing w:after="0"/>
        <w:tabs>
          <w:tab w:leader="none" w:pos="3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I am the Secretary of Borrower. My title is as set forth below.</w:t>
      </w:r>
    </w:p>
    <w:p>
      <w:pPr>
        <w:spacing w:after="0" w:line="223" w:lineRule="exact"/>
        <w:rPr>
          <w:rFonts w:ascii="Arial" w:cs="Arial" w:eastAsia="Arial" w:hAnsi="Arial"/>
          <w:sz w:val="18"/>
          <w:szCs w:val="18"/>
          <w:color w:val="auto"/>
        </w:rPr>
      </w:pPr>
    </w:p>
    <w:p>
      <w:pPr>
        <w:ind w:left="360" w:hanging="352"/>
        <w:spacing w:after="0"/>
        <w:tabs>
          <w:tab w:leader="none" w:pos="3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223" w:lineRule="exact"/>
        <w:rPr>
          <w:rFonts w:ascii="Arial" w:cs="Arial" w:eastAsia="Arial" w:hAnsi="Arial"/>
          <w:sz w:val="18"/>
          <w:szCs w:val="18"/>
          <w:color w:val="auto"/>
        </w:rPr>
      </w:pPr>
    </w:p>
    <w:p>
      <w:pPr>
        <w:jc w:val="both"/>
        <w:ind w:firstLine="8"/>
        <w:spacing w:after="0" w:line="258" w:lineRule="auto"/>
        <w:tabs>
          <w:tab w:leader="none" w:pos="382" w:val="left"/>
        </w:tabs>
        <w:numPr>
          <w:ilvl w:val="0"/>
          <w:numId w:val="63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86" w:lineRule="exact"/>
        <w:rPr>
          <w:rFonts w:ascii="Arial" w:cs="Arial" w:eastAsia="Arial" w:hAnsi="Arial"/>
          <w:sz w:val="18"/>
          <w:szCs w:val="18"/>
          <w:color w:val="auto"/>
        </w:rPr>
      </w:pPr>
    </w:p>
    <w:p>
      <w:pPr>
        <w:jc w:val="both"/>
        <w:ind w:firstLine="8"/>
        <w:spacing w:after="0" w:line="258" w:lineRule="auto"/>
        <w:tabs>
          <w:tab w:leader="none" w:pos="425" w:val="left"/>
        </w:tabs>
        <w:numPr>
          <w:ilvl w:val="0"/>
          <w:numId w:val="636"/>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725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4" w:name="page675"/>
    <w:bookmarkEnd w:id="674"/>
    <w:p>
      <w:pPr>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w:t>
      </w:r>
      <w:r>
        <w:rPr>
          <w:rFonts w:ascii="Arial" w:cs="Arial" w:eastAsia="Arial" w:hAnsi="Arial"/>
          <w:sz w:val="16"/>
          <w:szCs w:val="16"/>
          <w:b w:val="1"/>
          <w:bCs w:val="1"/>
          <w:color w:val="auto"/>
        </w:rPr>
        <w:t xml:space="preserve"> any one </w:t>
      </w:r>
      <w:r>
        <w:rPr>
          <w:rFonts w:ascii="Arial" w:cs="Arial" w:eastAsia="Arial" w:hAnsi="Arial"/>
          <w:sz w:val="16"/>
          <w:szCs w:val="16"/>
          <w:color w:val="auto"/>
        </w:rPr>
        <w:t>of the following officers or employees of Borrower, whose names, titles and signatures are below, may act on behalf of Borrower: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to</w:t>
            </w:r>
          </w:p>
        </w:tc>
      </w:tr>
      <w:tr>
        <w:trPr>
          <w:trHeight w:val="215"/>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1"/>
              </w:rPr>
              <w:t>Add or Remove</w:t>
            </w:r>
          </w:p>
        </w:tc>
      </w:tr>
      <w:tr>
        <w:trPr>
          <w:trHeight w:val="234"/>
        </w:trPr>
        <w:tc>
          <w:tcPr>
            <w:tcW w:w="20" w:type="dxa"/>
            <w:vAlign w:val="bottom"/>
          </w:tcPr>
          <w:p>
            <w:pPr>
              <w:spacing w:after="0"/>
              <w:rPr>
                <w:sz w:val="20"/>
                <w:szCs w:val="20"/>
                <w:color w:val="auto"/>
              </w:rPr>
            </w:pPr>
          </w:p>
        </w:tc>
        <w:tc>
          <w:tcPr>
            <w:tcW w:w="27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27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Signatories</w:t>
            </w: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Wouter Latour</w:t>
            </w: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8"/>
                <w:szCs w:val="18"/>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Wouter Latour</w:t>
            </w: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X</w:t>
            </w:r>
          </w:p>
        </w:tc>
      </w:tr>
      <w:tr>
        <w:trPr>
          <w:trHeight w:val="209"/>
        </w:trPr>
        <w:tc>
          <w:tcPr>
            <w:tcW w:w="2760" w:type="dxa"/>
            <w:vAlign w:val="bottom"/>
            <w:gridSpan w:val="2"/>
          </w:tcPr>
          <w:p>
            <w:pPr>
              <w:spacing w:after="0"/>
              <w:rPr>
                <w:sz w:val="20"/>
                <w:szCs w:val="20"/>
                <w:color w:val="auto"/>
              </w:rPr>
            </w:pPr>
            <w:r>
              <w:rPr>
                <w:rFonts w:ascii="Arial" w:cs="Arial" w:eastAsia="Arial" w:hAnsi="Arial"/>
                <w:sz w:val="18"/>
                <w:szCs w:val="18"/>
                <w:color w:val="auto"/>
              </w:rPr>
              <w:t>John Harland</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18"/>
                <w:szCs w:val="18"/>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Harland</w:t>
            </w:r>
          </w:p>
        </w:tc>
        <w:tc>
          <w:tcPr>
            <w:tcW w:w="12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rPr>
              <w:t>X</w:t>
            </w:r>
          </w:p>
        </w:tc>
      </w:tr>
      <w:tr>
        <w:trPr>
          <w:trHeight w:val="2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________________</w:t>
            </w:r>
          </w:p>
        </w:tc>
        <w:tc>
          <w:tcPr>
            <w:tcW w:w="2880" w:type="dxa"/>
            <w:vAlign w:val="bottom"/>
            <w:gridSpan w:val="2"/>
          </w:tcPr>
          <w:p>
            <w:pPr>
              <w:ind w:left="120"/>
              <w:spacing w:after="0"/>
              <w:rPr>
                <w:sz w:val="20"/>
                <w:szCs w:val="20"/>
                <w:color w:val="auto"/>
              </w:rPr>
            </w:pPr>
            <w:r>
              <w:rPr>
                <w:rFonts w:ascii="Arial" w:cs="Arial" w:eastAsia="Arial" w:hAnsi="Arial"/>
                <w:sz w:val="18"/>
                <w:szCs w:val="18"/>
                <w:b w:val="1"/>
                <w:bCs w:val="1"/>
                <w:color w:val="auto"/>
              </w:rPr>
              <w:t>_________________</w:t>
            </w:r>
          </w:p>
        </w:tc>
        <w:tc>
          <w:tcPr>
            <w:tcW w:w="120" w:type="dxa"/>
            <w:vAlign w:val="bottom"/>
          </w:tcPr>
          <w:p>
            <w:pPr>
              <w:spacing w:after="0"/>
              <w:rPr>
                <w:sz w:val="22"/>
                <w:szCs w:val="22"/>
                <w:color w:val="auto"/>
              </w:rPr>
            </w:pPr>
          </w:p>
        </w:tc>
        <w:tc>
          <w:tcPr>
            <w:tcW w:w="2760" w:type="dxa"/>
            <w:vAlign w:val="bottom"/>
          </w:tcPr>
          <w:p>
            <w:pPr>
              <w:jc w:val="right"/>
              <w:ind w:right="630"/>
              <w:spacing w:after="0"/>
              <w:rPr>
                <w:sz w:val="20"/>
                <w:szCs w:val="20"/>
                <w:color w:val="auto"/>
              </w:rPr>
            </w:pPr>
            <w:r>
              <w:rPr>
                <w:rFonts w:ascii="Arial" w:cs="Arial" w:eastAsia="Arial" w:hAnsi="Arial"/>
                <w:sz w:val="18"/>
                <w:szCs w:val="18"/>
                <w:b w:val="1"/>
                <w:bCs w:val="1"/>
                <w:color w:val="auto"/>
              </w:rPr>
              <w:t>_________________</w:t>
            </w:r>
          </w:p>
        </w:tc>
        <w:tc>
          <w:tcPr>
            <w:tcW w:w="120" w:type="dxa"/>
            <w:vAlign w:val="bottom"/>
          </w:tcPr>
          <w:p>
            <w:pPr>
              <w:spacing w:after="0"/>
              <w:rPr>
                <w:sz w:val="22"/>
                <w:szCs w:val="22"/>
                <w:color w:val="auto"/>
              </w:rPr>
            </w:pPr>
          </w:p>
        </w:tc>
        <w:tc>
          <w:tcPr>
            <w:tcW w:w="2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r>
    </w:tbl>
    <w:p>
      <w:pPr>
        <w:spacing w:after="0" w:line="359"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any individuals to and from the above list of persons authorized to act on behalf of Borrower.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such individuals may, on behalf of Borrower:</w:t>
      </w:r>
    </w:p>
    <w:p>
      <w:pPr>
        <w:spacing w:after="0" w:line="224"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 pursuant to that certain Loan and Security Agreement dated of even date herewith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(as defined in the Loan Agreement) any Lender requires.</w:t>
      </w:r>
    </w:p>
    <w:p>
      <w:pPr>
        <w:spacing w:after="0" w:line="224" w:lineRule="exact"/>
        <w:rPr>
          <w:sz w:val="20"/>
          <w:szCs w:val="20"/>
          <w:color w:val="auto"/>
        </w:rPr>
      </w:pPr>
    </w:p>
    <w:p>
      <w:pPr>
        <w:ind w:left="660"/>
        <w:spacing w:after="0" w:line="280" w:lineRule="auto"/>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the Collateral (as defined in the Loan Agreement) to secure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3" w:lineRule="exact"/>
        <w:rPr>
          <w:sz w:val="20"/>
          <w:szCs w:val="20"/>
          <w:color w:val="auto"/>
        </w:rPr>
      </w:pPr>
    </w:p>
    <w:p>
      <w:pPr>
        <w:ind w:left="660" w:right="20"/>
        <w:spacing w:after="0" w:line="280"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cash or otherwise use the proceeds. </w:t>
      </w: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163" w:lineRule="exact"/>
        <w:rPr>
          <w:sz w:val="20"/>
          <w:szCs w:val="20"/>
          <w:color w:val="auto"/>
        </w:rPr>
      </w:pPr>
    </w:p>
    <w:p>
      <w:pPr>
        <w:ind w:left="660" w:right="20"/>
        <w:spacing w:after="0" w:line="311" w:lineRule="auto"/>
        <w:rPr>
          <w:sz w:val="20"/>
          <w:szCs w:val="20"/>
          <w:color w:val="auto"/>
        </w:rPr>
      </w:pPr>
      <w:r>
        <w:rPr>
          <w:rFonts w:ascii="Arial" w:cs="Arial" w:eastAsia="Arial" w:hAnsi="Arial"/>
          <w:sz w:val="17"/>
          <w:szCs w:val="17"/>
          <w:b w:val="1"/>
          <w:bCs w:val="1"/>
          <w:color w:val="auto"/>
        </w:rPr>
        <w:t>Further Acts</w:t>
      </w:r>
      <w:r>
        <w:rPr>
          <w:rFonts w:ascii="Arial" w:cs="Arial" w:eastAsia="Arial" w:hAnsi="Arial"/>
          <w:sz w:val="17"/>
          <w:szCs w:val="17"/>
          <w:color w:val="auto"/>
        </w:rPr>
        <w:t>. Designate other officers of Borrower to request advances, pay fees and costs and execute other Loan Documents (including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agreement that waive Borrower’s right to a jury trial) they believe to be necessary to effectuate such resolutions.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all acts authorized by the above resolutions and any prior acts relating thereto are ratified.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5" w:name="page676"/>
    <w:bookmarkEnd w:id="675"/>
    <w:p>
      <w:pPr>
        <w:ind w:left="5712" w:right="2360" w:hanging="5712"/>
        <w:spacing w:after="0" w:line="504" w:lineRule="auto"/>
        <w:tabs>
          <w:tab w:leader="none" w:pos="348" w:val="left"/>
        </w:tabs>
        <w:numPr>
          <w:ilvl w:val="0"/>
          <w:numId w:val="637"/>
        </w:numPr>
        <w:rPr>
          <w:rFonts w:ascii="Arial" w:cs="Arial" w:eastAsia="Arial" w:hAnsi="Arial"/>
          <w:sz w:val="18"/>
          <w:szCs w:val="18"/>
          <w:color w:val="auto"/>
        </w:rPr>
      </w:pPr>
      <w:r>
        <w:rPr>
          <w:rFonts w:ascii="Arial" w:cs="Arial" w:eastAsia="Arial" w:hAnsi="Arial"/>
          <w:sz w:val="18"/>
          <w:szCs w:val="18"/>
          <w:color w:val="auto"/>
        </w:rPr>
        <w:t xml:space="preserve">The persons listed above are Borrower’s officers or employees with their titles and signatures shown next to their names. </w:t>
      </w:r>
      <w:r>
        <w:rPr>
          <w:rFonts w:ascii="Arial" w:cs="Arial" w:eastAsia="Arial" w:hAnsi="Arial"/>
          <w:sz w:val="18"/>
          <w:szCs w:val="18"/>
          <w:b w:val="1"/>
          <w:bCs w:val="1"/>
          <w:color w:val="auto"/>
        </w:rPr>
        <w:t xml:space="preserve">By: /s/ </w:t>
      </w:r>
      <w:r>
        <w:rPr>
          <w:rFonts w:ascii="Arial" w:cs="Arial" w:eastAsia="Arial" w:hAnsi="Arial"/>
          <w:sz w:val="18"/>
          <w:szCs w:val="18"/>
          <w:color w:val="auto"/>
        </w:rPr>
        <w:t>Sean Tucker</w:t>
      </w:r>
    </w:p>
    <w:p>
      <w:pPr>
        <w:spacing w:after="0" w:line="1" w:lineRule="exact"/>
        <w:rPr>
          <w:rFonts w:ascii="Arial" w:cs="Arial" w:eastAsia="Arial" w:hAnsi="Arial"/>
          <w:sz w:val="18"/>
          <w:szCs w:val="18"/>
          <w:color w:val="auto"/>
        </w:rPr>
      </w:pPr>
    </w:p>
    <w:p>
      <w:pPr>
        <w:ind w:left="5712"/>
        <w:spacing w:after="0"/>
        <w:rPr>
          <w:rFonts w:ascii="Arial" w:cs="Arial" w:eastAsia="Arial" w:hAnsi="Arial"/>
          <w:sz w:val="18"/>
          <w:szCs w:val="18"/>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Sean Tucker</w:t>
      </w:r>
    </w:p>
    <w:p>
      <w:pPr>
        <w:spacing w:after="0" w:line="237" w:lineRule="exact"/>
        <w:rPr>
          <w:rFonts w:ascii="Arial" w:cs="Arial" w:eastAsia="Arial" w:hAnsi="Arial"/>
          <w:sz w:val="18"/>
          <w:szCs w:val="18"/>
          <w:color w:val="auto"/>
        </w:rPr>
      </w:pPr>
    </w:p>
    <w:p>
      <w:pPr>
        <w:ind w:left="5712"/>
        <w:spacing w:after="0"/>
        <w:rPr>
          <w:rFonts w:ascii="Arial" w:cs="Arial" w:eastAsia="Arial" w:hAnsi="Arial"/>
          <w:sz w:val="18"/>
          <w:szCs w:val="18"/>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-546735</wp:posOffset>
            </wp:positionV>
            <wp:extent cx="32562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2">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-264160</wp:posOffset>
            </wp:positionV>
            <wp:extent cx="32562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3">
                      <a:extLst>
                        <a:ext uri="{28A0092B-C50C-407E-A947-70E740481C1C}"/>
                      </a:extLst>
                    </a:blip>
                    <a:srcRect/>
                    <a:stretch>
                      <a:fillRect/>
                    </a:stretch>
                  </pic:blipFill>
                  <pic:spPr bwMode="auto">
                    <a:xfrm>
                      <a:off x="0" y="0"/>
                      <a:ext cx="32562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17145</wp:posOffset>
            </wp:positionV>
            <wp:extent cx="32562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48" w:lineRule="exact"/>
        <w:rPr>
          <w:sz w:val="20"/>
          <w:szCs w:val="20"/>
          <w:color w:val="auto"/>
        </w:rPr>
      </w:pPr>
    </w:p>
    <w:p>
      <w:pPr>
        <w:ind w:left="-8" w:firstLine="8"/>
        <w:spacing w:after="0" w:line="276" w:lineRule="auto"/>
        <w:tabs>
          <w:tab w:leader="none" w:pos="320" w:val="left"/>
        </w:tabs>
        <w:numPr>
          <w:ilvl w:val="0"/>
          <w:numId w:val="638"/>
        </w:numPr>
        <w:rPr>
          <w:rFonts w:ascii="Arial" w:cs="Arial" w:eastAsia="Arial" w:hAnsi="Arial"/>
          <w:sz w:val="18"/>
          <w:szCs w:val="18"/>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r>
        <w:rPr>
          <w:rFonts w:ascii="Arial" w:cs="Arial" w:eastAsia="Arial" w:hAnsi="Arial"/>
          <w:sz w:val="18"/>
          <w:szCs w:val="18"/>
          <w:color w:val="auto"/>
        </w:rPr>
        <w:t>.</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 the Chief Financial Officer of Borrower, hereby certify as to paragraphs 1 through 5 above, as of the date set forth above.</w:t>
      </w:r>
    </w:p>
    <w:p>
      <w:pPr>
        <w:spacing w:after="0" w:line="200" w:lineRule="exact"/>
        <w:rPr>
          <w:sz w:val="20"/>
          <w:szCs w:val="20"/>
          <w:color w:val="auto"/>
        </w:rPr>
      </w:pPr>
    </w:p>
    <w:p>
      <w:pPr>
        <w:spacing w:after="0" w:line="289" w:lineRule="exact"/>
        <w:rPr>
          <w:sz w:val="20"/>
          <w:szCs w:val="20"/>
          <w:color w:val="auto"/>
        </w:rPr>
      </w:pPr>
    </w:p>
    <w:p>
      <w:pPr>
        <w:ind w:left="5712"/>
        <w:spacing w:after="0"/>
        <w:tabs>
          <w:tab w:leader="none" w:pos="6272"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John Harland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2562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5">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John Harland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2562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6">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17" w:lineRule="exact"/>
        <w:rPr>
          <w:sz w:val="20"/>
          <w:szCs w:val="20"/>
          <w:color w:val="auto"/>
        </w:rPr>
      </w:pPr>
    </w:p>
    <w:p>
      <w:pPr>
        <w:ind w:left="5712"/>
        <w:spacing w:after="0"/>
        <w:tabs>
          <w:tab w:leader="none" w:pos="6272"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2562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7">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47255"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676" w:name="page677"/>
    <w:bookmarkEnd w:id="676"/>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Articles/Certificate of Incorporation (including amendments)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373380</wp:posOffset>
            </wp:positionV>
            <wp:extent cx="7247255"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79" w:right="1440" w:bottom="1440" w:gutter="0" w:footer="0" w:header="0"/>
        </w:sectPr>
      </w:pPr>
    </w:p>
    <w:bookmarkStart w:id="677" w:name="page678"/>
    <w:bookmarkEnd w:id="677"/>
    <w:p>
      <w:pPr>
        <w:jc w:val="center"/>
        <w:spacing w:after="0"/>
        <w:rPr>
          <w:sz w:val="20"/>
          <w:szCs w:val="20"/>
          <w:color w:val="auto"/>
        </w:rPr>
      </w:pPr>
      <w:r>
        <w:rPr>
          <w:rFonts w:ascii="Arial" w:cs="Arial" w:eastAsia="Arial" w:hAnsi="Arial"/>
          <w:sz w:val="18"/>
          <w:szCs w:val="18"/>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394970</wp:posOffset>
            </wp:positionV>
            <wp:extent cx="7247255"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2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78" w:name="page679"/>
    <w:bookmarkEnd w:id="678"/>
    <w:p>
      <w:pPr>
        <w:spacing w:after="0"/>
        <w:tabs>
          <w:tab w:leader="none" w:pos="1720" w:val="left"/>
        </w:tabs>
        <w:rPr>
          <w:sz w:val="20"/>
          <w:szCs w:val="20"/>
          <w:color w:val="auto"/>
        </w:rPr>
      </w:pPr>
      <w:r>
        <w:rPr>
          <w:rFonts w:ascii="Arial" w:cs="Arial" w:eastAsia="Arial" w:hAnsi="Arial"/>
          <w:sz w:val="18"/>
          <w:szCs w:val="18"/>
          <w:b w:val="1"/>
          <w:bCs w:val="1"/>
          <w:color w:val="auto"/>
        </w:rPr>
        <w:t>DEBTOR:</w:t>
      </w:r>
      <w:r>
        <w:rPr>
          <w:sz w:val="20"/>
          <w:szCs w:val="20"/>
          <w:color w:val="auto"/>
        </w:rPr>
        <w:tab/>
      </w:r>
      <w:r>
        <w:rPr>
          <w:rFonts w:ascii="Arial" w:cs="Arial" w:eastAsia="Arial" w:hAnsi="Arial"/>
          <w:sz w:val="18"/>
          <w:szCs w:val="18"/>
          <w:b w:val="1"/>
          <w:bCs w:val="1"/>
          <w:color w:val="auto"/>
        </w:rPr>
        <w:t>VAXART, INC.</w:t>
      </w:r>
    </w:p>
    <w:p>
      <w:pPr>
        <w:spacing w:after="0" w:line="27"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SECURED PARTY:</w:t>
        <w:tab/>
        <w:t>OXFORD FINANCE LLC,</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as Collateral Agent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TO UCC FINANCING STATEMENT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4" w:lineRule="exact"/>
        <w:rPr>
          <w:sz w:val="20"/>
          <w:szCs w:val="20"/>
          <w:color w:val="auto"/>
        </w:rPr>
      </w:pPr>
    </w:p>
    <w:p>
      <w:pPr>
        <w:jc w:val="both"/>
        <w:ind w:firstLine="646"/>
        <w:spacing w:after="0" w:line="256"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right="20" w:firstLine="646"/>
        <w:spacing w:after="0" w:line="340"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Collateral does not include any of the following, whether now owned or hereafter acquired, and wherever located</w:t>
      </w:r>
    </w:p>
    <w:p>
      <w:pPr>
        <w:spacing w:after="0" w:line="46" w:lineRule="exact"/>
        <w:rPr>
          <w:sz w:val="20"/>
          <w:szCs w:val="20"/>
          <w:color w:val="auto"/>
        </w:rPr>
      </w:pPr>
    </w:p>
    <w:p>
      <w:pPr>
        <w:jc w:val="both"/>
        <w:ind w:firstLine="8"/>
        <w:spacing w:after="0" w:line="284" w:lineRule="auto"/>
        <w:tabs>
          <w:tab w:leader="none" w:pos="114" w:val="left"/>
        </w:tabs>
        <w:numPr>
          <w:ilvl w:val="0"/>
          <w:numId w:val="639"/>
        </w:numPr>
        <w:rPr>
          <w:rFonts w:ascii="Arial" w:cs="Arial" w:eastAsia="Arial" w:hAnsi="Arial"/>
          <w:sz w:val="16"/>
          <w:szCs w:val="16"/>
          <w:color w:val="auto"/>
        </w:rPr>
      </w:pPr>
      <w:r>
        <w:rPr>
          <w:rFonts w:ascii="Arial" w:cs="Arial" w:eastAsia="Arial" w:hAnsi="Arial"/>
          <w:sz w:val="16"/>
          <w:szCs w:val="16"/>
          <w:color w:val="auto"/>
        </w:rPr>
        <w:t>(i)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and (ii) more than 65% of the total combined voting power of all classes of stock entitled to vote the shares of capital stock (the “Shares”)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and (iii)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725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2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9" w:name="page680"/>
    <w:bookmarkEnd w:id="679"/>
    <w:p>
      <w:pPr>
        <w:jc w:val="both"/>
        <w:ind w:right="20" w:firstLine="646"/>
        <w:spacing w:after="0" w:line="276"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jc w:val="both"/>
        <w:ind w:firstLine="646"/>
        <w:spacing w:after="0" w:line="262"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420"/>
          </w:cols>
          <w:pgMar w:left="240" w:top="584" w:right="239" w:bottom="1440" w:gutter="0" w:footer="0" w:header="0"/>
        </w:sectPr>
      </w:pPr>
    </w:p>
    <w:bookmarkStart w:id="680" w:name="page681"/>
    <w:bookmarkEnd w:id="680"/>
    <w:p>
      <w:pPr>
        <w:ind w:left="10400"/>
        <w:spacing w:after="0"/>
        <w:rPr>
          <w:sz w:val="20"/>
          <w:szCs w:val="20"/>
          <w:color w:val="auto"/>
        </w:rPr>
      </w:pPr>
      <w:r>
        <w:rPr>
          <w:rFonts w:ascii="Arial" w:cs="Arial" w:eastAsia="Arial" w:hAnsi="Arial"/>
          <w:sz w:val="16"/>
          <w:szCs w:val="16"/>
          <w:b w:val="1"/>
          <w:bCs w:val="1"/>
          <w:color w:val="auto"/>
        </w:rPr>
        <w:t>Exhibit 10.29</w:t>
      </w:r>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122"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Issue 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VAXART,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375,664 (Subject to Section 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(Subject to Section 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$0.665488 per share (Subject to Section 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2026 See also Section 5.1(b).</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This Warrant to Purchase Stock (“</w:t>
      </w:r>
      <w:r>
        <w:rPr>
          <w:rFonts w:ascii="Arial" w:cs="Arial" w:eastAsia="Arial" w:hAnsi="Arial"/>
          <w:sz w:val="17"/>
          <w:szCs w:val="17"/>
          <w:b w:val="1"/>
          <w:bCs w:val="1"/>
          <w:color w:val="auto"/>
        </w:rPr>
        <w:t>Warrant</w:t>
      </w:r>
      <w:r>
        <w:rPr>
          <w:rFonts w:ascii="Arial" w:cs="Arial" w:eastAsia="Arial" w:hAnsi="Arial"/>
          <w:sz w:val="17"/>
          <w:szCs w:val="17"/>
          <w:color w:val="auto"/>
        </w:rPr>
        <w:t>”) is issued in connection with that certain Loan and Security Agreement, dated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22, 2016, herewith among Oxford Finance LLC, as Lender and Collateral Agent, the Lenders from time to time party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thereto, and the Company (as modified, amended and/or restated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40" w:space="400"/>
            <w:col w:w="9480"/>
          </w:cols>
          <w:pgMar w:left="240" w:top="122" w:right="239" w:bottom="1440" w:gutter="0" w:footer="0" w:header="0"/>
          <w:type w:val="continuous"/>
        </w:sectPr>
      </w:pPr>
    </w:p>
    <w:p>
      <w:pPr>
        <w:spacing w:after="0" w:line="5" w:lineRule="exact"/>
        <w:rPr>
          <w:sz w:val="20"/>
          <w:szCs w:val="20"/>
          <w:color w:val="auto"/>
        </w:rPr>
      </w:pPr>
    </w:p>
    <w:p>
      <w:pPr>
        <w:jc w:val="both"/>
        <w:ind w:firstLine="646"/>
        <w:spacing w:after="0" w:line="257" w:lineRule="auto"/>
        <w:rPr>
          <w:sz w:val="20"/>
          <w:szCs w:val="20"/>
          <w:color w:val="auto"/>
        </w:rPr>
      </w:pPr>
      <w:r>
        <w:rPr>
          <w:rFonts w:ascii="Arial" w:cs="Arial" w:eastAsia="Arial" w:hAnsi="Arial"/>
          <w:sz w:val="18"/>
          <w:szCs w:val="18"/>
          <w:color w:val="auto"/>
        </w:rPr>
        <w:t>THIS WARRANT CERTIFIES THAT, for good and valuable consideration, OXFORD FINANCE LLC (“</w:t>
      </w:r>
      <w:r>
        <w:rPr>
          <w:rFonts w:ascii="Arial" w:cs="Arial" w:eastAsia="Arial" w:hAnsi="Arial"/>
          <w:sz w:val="18"/>
          <w:szCs w:val="18"/>
          <w:b w:val="1"/>
          <w:bCs w:val="1"/>
          <w:color w:val="auto"/>
        </w:rPr>
        <w:t>Oxford</w:t>
      </w:r>
      <w:r>
        <w:rPr>
          <w:rFonts w:ascii="Arial" w:cs="Arial" w:eastAsia="Arial" w:hAnsi="Arial"/>
          <w:sz w:val="18"/>
          <w:szCs w:val="18"/>
          <w:color w:val="auto"/>
        </w:rPr>
        <w:t>”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88"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4" w:lineRule="exact"/>
        <w:rPr>
          <w:sz w:val="20"/>
          <w:szCs w:val="20"/>
          <w:color w:val="auto"/>
        </w:rPr>
      </w:pPr>
    </w:p>
    <w:p>
      <w:pPr>
        <w:jc w:val="both"/>
        <w:ind w:firstLine="1292"/>
        <w:spacing w:after="0" w:line="30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X = Y(A-B)/A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4"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4" w:lineRule="exact"/>
        <w:rPr>
          <w:sz w:val="20"/>
          <w:szCs w:val="20"/>
          <w:color w:val="auto"/>
        </w:rPr>
      </w:pPr>
    </w:p>
    <w:p>
      <w:pPr>
        <w:ind w:left="2600" w:right="380" w:hanging="645"/>
        <w:spacing w:after="0" w:line="276"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4"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Warrant Price.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81" w:name="page682"/>
    <w:bookmarkEnd w:id="681"/>
    <w:p>
      <w:pPr>
        <w:jc w:val="both"/>
        <w:ind w:firstLine="1292"/>
        <w:spacing w:after="0" w:line="289"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3"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0" w:lineRule="exact"/>
        <w:rPr>
          <w:sz w:val="20"/>
          <w:szCs w:val="20"/>
          <w:color w:val="auto"/>
        </w:rPr>
      </w:pPr>
    </w:p>
    <w:p>
      <w:pPr>
        <w:jc w:val="both"/>
        <w:ind w:firstLine="1300"/>
        <w:spacing w:after="0" w:line="269" w:lineRule="auto"/>
        <w:tabs>
          <w:tab w:leader="none" w:pos="1756" w:val="left"/>
        </w:tabs>
        <w:numPr>
          <w:ilvl w:val="1"/>
          <w:numId w:val="640"/>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(iii) any sale or other transfer by the stockholders of the Company of shares representing at least a majority of the Company’s then-total outstanding combined voting power or (iv) any transactions defined as a “Liquidation Event” as defined in the Company’s Amended and Restated Certificate of Corporation, as may be amended or restated from time to time.</w:t>
      </w:r>
    </w:p>
    <w:p>
      <w:pPr>
        <w:spacing w:after="0" w:line="181" w:lineRule="exact"/>
        <w:rPr>
          <w:rFonts w:ascii="Arial" w:cs="Arial" w:eastAsia="Arial" w:hAnsi="Arial"/>
          <w:sz w:val="17"/>
          <w:szCs w:val="17"/>
          <w:color w:val="auto"/>
        </w:rPr>
      </w:pPr>
    </w:p>
    <w:p>
      <w:pPr>
        <w:jc w:val="both"/>
        <w:ind w:firstLine="1300"/>
        <w:spacing w:after="0" w:line="290" w:lineRule="auto"/>
        <w:tabs>
          <w:tab w:leader="none" w:pos="1819" w:val="left"/>
        </w:tabs>
        <w:numPr>
          <w:ilvl w:val="1"/>
          <w:numId w:val="640"/>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color w:val="auto"/>
        </w:rPr>
        <w:t>Cash/Public Acquisition</w:t>
      </w:r>
      <w:r>
        <w:rPr>
          <w:rFonts w:ascii="Arial" w:cs="Arial" w:eastAsia="Arial" w:hAnsi="Arial"/>
          <w:sz w:val="16"/>
          <w:szCs w:val="16"/>
          <w:color w:val="auto"/>
        </w:rPr>
        <w:t>”), either</w:t>
      </w:r>
    </w:p>
    <w:p>
      <w:pPr>
        <w:jc w:val="both"/>
        <w:ind w:firstLine="8"/>
        <w:spacing w:after="0" w:line="254" w:lineRule="auto"/>
        <w:tabs>
          <w:tab w:leader="none" w:pos="22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82" w:name="page683"/>
    <w:bookmarkEnd w:id="682"/>
    <w:p>
      <w:pPr>
        <w:jc w:val="both"/>
        <w:ind w:firstLine="1300"/>
        <w:spacing w:after="0" w:line="269" w:lineRule="auto"/>
        <w:tabs>
          <w:tab w:leader="none" w:pos="1823" w:val="left"/>
        </w:tabs>
        <w:numPr>
          <w:ilvl w:val="0"/>
          <w:numId w:val="642"/>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0"/>
        <w:spacing w:after="0" w:line="256" w:lineRule="auto"/>
        <w:tabs>
          <w:tab w:leader="none" w:pos="1734" w:val="left"/>
        </w:tabs>
        <w:numPr>
          <w:ilvl w:val="0"/>
          <w:numId w:val="642"/>
        </w:numPr>
        <w:rPr>
          <w:rFonts w:ascii="Arial" w:cs="Arial" w:eastAsia="Arial" w:hAnsi="Arial"/>
          <w:sz w:val="18"/>
          <w:szCs w:val="18"/>
          <w:color w:val="auto"/>
        </w:rPr>
      </w:pPr>
      <w:r>
        <w:rPr>
          <w:rFonts w:ascii="Arial" w:cs="Arial" w:eastAsia="Arial" w:hAnsi="Arial"/>
          <w:sz w:val="18"/>
          <w:szCs w:val="18"/>
          <w:color w:val="auto"/>
        </w:rPr>
        <w:t>Upon the closing of any Acquisition other than a Cash/Public Acquisition defined above, the acquiring, the Company shall use its best efforts to ensure that the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4" w:lineRule="exact"/>
        <w:rPr>
          <w:rFonts w:ascii="Arial" w:cs="Arial" w:eastAsia="Arial" w:hAnsi="Arial"/>
          <w:sz w:val="18"/>
          <w:szCs w:val="18"/>
          <w:color w:val="auto"/>
        </w:rPr>
      </w:pPr>
    </w:p>
    <w:p>
      <w:pPr>
        <w:jc w:val="both"/>
        <w:ind w:firstLine="1300"/>
        <w:spacing w:after="0" w:line="271" w:lineRule="auto"/>
        <w:tabs>
          <w:tab w:leader="none" w:pos="1726" w:val="left"/>
        </w:tabs>
        <w:numPr>
          <w:ilvl w:val="0"/>
          <w:numId w:val="642"/>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jc w:val="both"/>
        <w:ind w:firstLine="1292"/>
        <w:spacing w:after="0" w:line="282"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Adjustment to Class of Shares; Number of Shares; Warrant Price; Adjustments Cumulative</w:t>
      </w:r>
      <w:r>
        <w:rPr>
          <w:rFonts w:ascii="Arial" w:cs="Arial" w:eastAsia="Arial" w:hAnsi="Arial"/>
          <w:sz w:val="16"/>
          <w:szCs w:val="16"/>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$250,000.00,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w:t>
      </w:r>
    </w:p>
    <w:p>
      <w:pPr>
        <w:spacing w:after="0" w:line="6" w:lineRule="exact"/>
        <w:rPr>
          <w:sz w:val="20"/>
          <w:szCs w:val="20"/>
          <w:color w:val="auto"/>
        </w:rPr>
      </w:pPr>
    </w:p>
    <w:p>
      <w:pPr>
        <w:ind w:firstLine="8"/>
        <w:spacing w:after="0" w:line="259" w:lineRule="auto"/>
        <w:tabs>
          <w:tab w:leader="none" w:pos="318" w:val="left"/>
        </w:tabs>
        <w:numPr>
          <w:ilvl w:val="0"/>
          <w:numId w:val="643"/>
        </w:numPr>
        <w:rPr>
          <w:rFonts w:ascii="Arial" w:cs="Arial" w:eastAsia="Arial" w:hAnsi="Arial"/>
          <w:sz w:val="18"/>
          <w:szCs w:val="18"/>
          <w:color w:val="auto"/>
        </w:rPr>
      </w:pPr>
      <w:r>
        <w:rPr>
          <w:rFonts w:ascii="Arial" w:cs="Arial" w:eastAsia="Arial" w:hAnsi="Arial"/>
          <w:sz w:val="18"/>
          <w:szCs w:val="18"/>
          <w:color w:val="auto"/>
        </w:rPr>
        <w:t>“Next Equity Financing Price” means the lowest price per share cash purchase price for which Next Equity Financing Securities are sold or issued by the Company in the Next Equity Financing.</w:t>
      </w:r>
    </w:p>
    <w:p>
      <w:pPr>
        <w:spacing w:after="0" w:line="185" w:lineRule="exact"/>
        <w:rPr>
          <w:sz w:val="20"/>
          <w:szCs w:val="20"/>
          <w:color w:val="auto"/>
        </w:rPr>
      </w:pPr>
    </w:p>
    <w:p>
      <w:pPr>
        <w:jc w:val="center"/>
        <w:ind w:right="-19"/>
        <w:spacing w:after="0"/>
        <w:tabs>
          <w:tab w:leader="none" w:pos="2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4"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xml:space="preserve">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3" w:name="page684"/>
    <w:bookmarkEnd w:id="683"/>
    <w:p>
      <w:pPr>
        <w:jc w:val="both"/>
        <w:ind w:firstLine="1292"/>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firstLine="1292"/>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9"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applicable to the Class from time to time in the manner set forth in the Company’s Certificate of Incorporation as if the Shares were issued and outstanding on and as of the date of any such required adjustment.</w:t>
      </w:r>
    </w:p>
    <w:p>
      <w:pPr>
        <w:spacing w:after="0" w:line="187" w:lineRule="exact"/>
        <w:rPr>
          <w:sz w:val="20"/>
          <w:szCs w:val="20"/>
          <w:color w:val="auto"/>
        </w:rPr>
      </w:pPr>
    </w:p>
    <w:p>
      <w:pPr>
        <w:jc w:val="both"/>
        <w:ind w:firstLine="1292"/>
        <w:spacing w:after="0" w:line="25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2"/>
        <w:spacing w:after="0" w:line="30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4" w:lineRule="exact"/>
        <w:rPr>
          <w:sz w:val="20"/>
          <w:szCs w:val="20"/>
          <w:color w:val="auto"/>
        </w:rPr>
      </w:pPr>
    </w:p>
    <w:p>
      <w:pPr>
        <w:jc w:val="center"/>
        <w:ind w:right="140"/>
        <w:spacing w:after="0"/>
        <w:tabs>
          <w:tab w:leader="none" w:pos="2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4" w:lineRule="exact"/>
        <w:rPr>
          <w:sz w:val="20"/>
          <w:szCs w:val="20"/>
          <w:color w:val="auto"/>
        </w:rPr>
      </w:pPr>
    </w:p>
    <w:p>
      <w:pPr>
        <w:jc w:val="both"/>
        <w:ind w:firstLine="1300"/>
        <w:spacing w:after="0" w:line="262" w:lineRule="auto"/>
        <w:tabs>
          <w:tab w:leader="none" w:pos="1749" w:val="left"/>
        </w:tabs>
        <w:numPr>
          <w:ilvl w:val="0"/>
          <w:numId w:val="644"/>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(as adjusted for any stock splits, dividends or similar transactions) at which shares of the Class were last sold and issued prior to the Issue Date hereof in an arms-length transaction in which at least $500,000 of such shares were sold.</w:t>
      </w:r>
    </w:p>
    <w:p>
      <w:pPr>
        <w:spacing w:after="0" w:line="183" w:lineRule="exact"/>
        <w:rPr>
          <w:rFonts w:ascii="Arial" w:cs="Arial" w:eastAsia="Arial" w:hAnsi="Arial"/>
          <w:sz w:val="18"/>
          <w:szCs w:val="18"/>
          <w:color w:val="auto"/>
        </w:rPr>
      </w:pPr>
    </w:p>
    <w:p>
      <w:pPr>
        <w:jc w:val="both"/>
        <w:ind w:firstLine="1300"/>
        <w:spacing w:after="0" w:line="274" w:lineRule="auto"/>
        <w:tabs>
          <w:tab w:leader="none" w:pos="1763" w:val="left"/>
        </w:tabs>
        <w:numPr>
          <w:ilvl w:val="0"/>
          <w:numId w:val="644"/>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4" w:name="page685"/>
    <w:bookmarkEnd w:id="684"/>
    <w:p>
      <w:pPr>
        <w:ind w:left="1720" w:hanging="420"/>
        <w:spacing w:after="0"/>
        <w:tabs>
          <w:tab w:leader="none" w:pos="1720" w:val="left"/>
        </w:tabs>
        <w:numPr>
          <w:ilvl w:val="0"/>
          <w:numId w:val="645"/>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2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4" w:lineRule="exact"/>
        <w:rPr>
          <w:sz w:val="20"/>
          <w:szCs w:val="20"/>
          <w:color w:val="auto"/>
        </w:rPr>
      </w:pPr>
    </w:p>
    <w:p>
      <w:pPr>
        <w:ind w:firstLine="1300"/>
        <w:spacing w:after="0" w:line="276" w:lineRule="auto"/>
        <w:tabs>
          <w:tab w:leader="none" w:pos="177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69" w:lineRule="exact"/>
        <w:rPr>
          <w:rFonts w:ascii="Arial" w:cs="Arial" w:eastAsia="Arial" w:hAnsi="Arial"/>
          <w:sz w:val="18"/>
          <w:szCs w:val="18"/>
          <w:color w:val="auto"/>
        </w:rPr>
      </w:pPr>
    </w:p>
    <w:p>
      <w:pPr>
        <w:ind w:right="20" w:firstLine="1300"/>
        <w:spacing w:after="0" w:line="276" w:lineRule="auto"/>
        <w:tabs>
          <w:tab w:leader="none" w:pos="1725" w:val="left"/>
        </w:tabs>
        <w:numPr>
          <w:ilvl w:val="0"/>
          <w:numId w:val="646"/>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69" w:lineRule="exact"/>
        <w:rPr>
          <w:rFonts w:ascii="Arial" w:cs="Arial" w:eastAsia="Arial" w:hAnsi="Arial"/>
          <w:sz w:val="18"/>
          <w:szCs w:val="18"/>
          <w:color w:val="auto"/>
        </w:rPr>
      </w:pPr>
    </w:p>
    <w:p>
      <w:pPr>
        <w:ind w:left="1840" w:hanging="540"/>
        <w:spacing w:after="0"/>
        <w:tabs>
          <w:tab w:leader="none" w:pos="1840" w:val="left"/>
        </w:tabs>
        <w:numPr>
          <w:ilvl w:val="0"/>
          <w:numId w:val="646"/>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09" w:lineRule="exact"/>
        <w:rPr>
          <w:rFonts w:ascii="Arial" w:cs="Arial" w:eastAsia="Arial" w:hAnsi="Arial"/>
          <w:sz w:val="16"/>
          <w:szCs w:val="16"/>
          <w:color w:val="auto"/>
        </w:rPr>
      </w:pPr>
    </w:p>
    <w:p>
      <w:pPr>
        <w:ind w:left="1740" w:hanging="440"/>
        <w:spacing w:after="0"/>
        <w:tabs>
          <w:tab w:leader="none" w:pos="174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3" w:lineRule="exact"/>
        <w:rPr>
          <w:rFonts w:ascii="Arial" w:cs="Arial" w:eastAsia="Arial" w:hAnsi="Arial"/>
          <w:sz w:val="18"/>
          <w:szCs w:val="18"/>
          <w:color w:val="auto"/>
        </w:rPr>
      </w:pPr>
    </w:p>
    <w:p>
      <w:pPr>
        <w:ind w:left="1720" w:hanging="420"/>
        <w:spacing w:after="0"/>
        <w:tabs>
          <w:tab w:leader="none" w:pos="172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4" w:lineRule="exact"/>
        <w:rPr>
          <w:sz w:val="20"/>
          <w:szCs w:val="20"/>
          <w:color w:val="auto"/>
        </w:rPr>
      </w:pPr>
    </w:p>
    <w:p>
      <w:pPr>
        <w:jc w:val="both"/>
        <w:ind w:firstLine="1946"/>
        <w:spacing w:after="0" w:line="262" w:lineRule="auto"/>
        <w:tabs>
          <w:tab w:leader="none" w:pos="253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3" w:lineRule="exact"/>
        <w:rPr>
          <w:rFonts w:ascii="Arial" w:cs="Arial" w:eastAsia="Arial" w:hAnsi="Arial"/>
          <w:sz w:val="18"/>
          <w:szCs w:val="18"/>
          <w:color w:val="auto"/>
        </w:rPr>
      </w:pPr>
    </w:p>
    <w:p>
      <w:pPr>
        <w:jc w:val="both"/>
        <w:ind w:firstLine="1946"/>
        <w:spacing w:after="0" w:line="262" w:lineRule="auto"/>
        <w:tabs>
          <w:tab w:leader="none" w:pos="2441" w:val="left"/>
        </w:tabs>
        <w:numPr>
          <w:ilvl w:val="0"/>
          <w:numId w:val="647"/>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3" w:lineRule="exact"/>
        <w:rPr>
          <w:rFonts w:ascii="Arial" w:cs="Arial" w:eastAsia="Arial" w:hAnsi="Arial"/>
          <w:sz w:val="18"/>
          <w:szCs w:val="18"/>
          <w:color w:val="auto"/>
        </w:rPr>
      </w:pPr>
    </w:p>
    <w:p>
      <w:pPr>
        <w:ind w:firstLine="1946"/>
        <w:spacing w:after="0" w:line="276" w:lineRule="auto"/>
        <w:tabs>
          <w:tab w:leader="none" w:pos="2404" w:val="left"/>
        </w:tabs>
        <w:numPr>
          <w:ilvl w:val="0"/>
          <w:numId w:val="647"/>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83" w:lineRule="exact"/>
        <w:rPr>
          <w:sz w:val="20"/>
          <w:szCs w:val="20"/>
          <w:color w:val="auto"/>
        </w:rPr>
      </w:pPr>
    </w:p>
    <w:p>
      <w:pPr>
        <w:ind w:left="2180"/>
        <w:spacing w:after="0"/>
        <w:tabs>
          <w:tab w:leader="none" w:pos="3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AND COVENANTS OF THE HOLDER.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and agrees as follows:</w:t>
      </w:r>
    </w:p>
    <w:p>
      <w:pPr>
        <w:spacing w:after="0" w:line="224"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3" w:lineRule="exact"/>
        <w:rPr>
          <w:sz w:val="20"/>
          <w:szCs w:val="20"/>
          <w:color w:val="auto"/>
        </w:rPr>
      </w:pPr>
    </w:p>
    <w:p>
      <w:pPr>
        <w:jc w:val="both"/>
        <w:ind w:firstLine="1292"/>
        <w:spacing w:after="0" w:line="29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5" w:name="page686"/>
    <w:bookmarkEnd w:id="685"/>
    <w:p>
      <w:pPr>
        <w:jc w:val="both"/>
        <w:ind w:firstLine="1292"/>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4" w:lineRule="exact"/>
        <w:rPr>
          <w:sz w:val="20"/>
          <w:szCs w:val="20"/>
          <w:color w:val="auto"/>
        </w:rPr>
      </w:pPr>
    </w:p>
    <w:p>
      <w:pPr>
        <w:jc w:val="both"/>
        <w:ind w:firstLine="1292"/>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jc w:val="both"/>
        <w:ind w:firstLine="1292"/>
        <w:spacing w:after="0" w:line="25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Holder hereby agrees that Holder shall not sell, dispose of, transfer, make any short sale of, grant any option for the purchase of, or enter into any hedging or similar transaction with the same economic effect as a sale, any Shares (or other securities) of the Company held by Holder (other than those included in the registration) during the 180-day period following the effective date of the IP0 (or such longer period, not to exceed 34 days after the expiration of the 180-day period, as the underwriters or the Company shall request in order to facilitate compliance with NASD Rule 2711 or NYSE Member Rule 472 or any successor or similar rule or regulation); provided, that, with respect the above, all officers, directors and holders of at least one percent (1%) of the Company’s voting securities of the Company are bound by and have entered into similar agreements. Any discretionary waiver or termination of the restrictions of any or all of such agreements by the Company or the underwriters shall apply pro rata to all Holders subject to such agreements, based on the number of shares subject to such agreements. Holder shall also agree to sign the underwriter’s standard lock-up agreement reflecting the foregoing.</w:t>
      </w:r>
    </w:p>
    <w:p>
      <w:pPr>
        <w:spacing w:after="0" w:line="19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4"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Holder understands that no public market now exists for any of the securities issued by the Company, and that the Company has made no assurances that a public market will ever exist for the Shares.</w:t>
      </w:r>
    </w:p>
    <w:p>
      <w:pPr>
        <w:spacing w:after="0" w:line="170" w:lineRule="exact"/>
        <w:rPr>
          <w:sz w:val="20"/>
          <w:szCs w:val="20"/>
          <w:color w:val="auto"/>
        </w:rPr>
      </w:pPr>
    </w:p>
    <w:p>
      <w:pPr>
        <w:ind w:left="4360"/>
        <w:spacing w:after="0"/>
        <w:tabs>
          <w:tab w:leader="none" w:pos="55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4" w:lineRule="exact"/>
        <w:rPr>
          <w:sz w:val="20"/>
          <w:szCs w:val="20"/>
          <w:color w:val="auto"/>
        </w:rPr>
      </w:pPr>
    </w:p>
    <w:p>
      <w:pPr>
        <w:ind w:firstLine="1300"/>
        <w:spacing w:after="0" w:line="276" w:lineRule="auto"/>
        <w:tabs>
          <w:tab w:leader="none" w:pos="1729"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69" w:lineRule="exact"/>
        <w:rPr>
          <w:rFonts w:ascii="Arial" w:cs="Arial" w:eastAsia="Arial" w:hAnsi="Arial"/>
          <w:sz w:val="18"/>
          <w:szCs w:val="18"/>
          <w:color w:val="auto"/>
        </w:rPr>
      </w:pPr>
    </w:p>
    <w:p>
      <w:pPr>
        <w:jc w:val="both"/>
        <w:ind w:firstLine="1300"/>
        <w:spacing w:after="0" w:line="256" w:lineRule="auto"/>
        <w:tabs>
          <w:tab w:leader="none" w:pos="1725" w:val="left"/>
        </w:tabs>
        <w:numPr>
          <w:ilvl w:val="0"/>
          <w:numId w:val="648"/>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6" w:name="page687"/>
    <w:bookmarkEnd w:id="686"/>
    <w:p>
      <w:pPr>
        <w:ind w:firstLine="1292"/>
        <w:spacing w:after="0" w:line="27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right="130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OXFORD FINANCE LLC DATED DECEMBER 22, 2016,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8" w:lineRule="exact"/>
        <w:rPr>
          <w:sz w:val="20"/>
          <w:szCs w:val="20"/>
          <w:color w:val="auto"/>
        </w:rPr>
      </w:pPr>
    </w:p>
    <w:p>
      <w:pPr>
        <w:jc w:val="both"/>
        <w:ind w:firstLine="1292"/>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(and Holder certifies as to the affiliate status of the transferee),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8" w:lineRule="exact"/>
        <w:rPr>
          <w:sz w:val="20"/>
          <w:szCs w:val="20"/>
          <w:color w:val="auto"/>
        </w:rPr>
      </w:pPr>
    </w:p>
    <w:p>
      <w:pPr>
        <w:jc w:val="both"/>
        <w:ind w:firstLine="1292"/>
        <w:spacing w:after="0" w:line="26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provided that such transferee makes to the Company each of the representations and warranties set forth in Section 4 hereof and agrees to be bound by all of the terms and conditions of this Warrant as if the original Holder thereof.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the Oxford Affiliate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87" w:name="page688"/>
    <w:bookmarkEnd w:id="687"/>
    <w:p>
      <w:pPr>
        <w:jc w:val="both"/>
        <w:ind w:firstLine="1292"/>
        <w:spacing w:after="0" w:line="29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VAXART,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385 Oyster Point Blvd., Suite 9A</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South San Francisco, CA 94080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Chief Financial Officer</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(650) 550-3522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Facsimile: </w:t>
      </w:r>
      <w:r>
        <w:rPr>
          <w:rFonts w:ascii="Arial" w:cs="Arial" w:eastAsia="Arial" w:hAnsi="Arial"/>
          <w:sz w:val="18"/>
          <w:szCs w:val="18"/>
          <w:u w:val="single" w:color="auto"/>
          <w:color w:val="auto"/>
        </w:rPr>
        <w:t>(650) 871-8580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jharland@vaxart.com</w:t>
      </w:r>
    </w:p>
    <w:p>
      <w:pPr>
        <w:spacing w:after="0" w:line="209" w:lineRule="exact"/>
        <w:rPr>
          <w:sz w:val="20"/>
          <w:szCs w:val="20"/>
          <w:color w:val="auto"/>
        </w:rPr>
      </w:pPr>
    </w:p>
    <w:p>
      <w:pPr>
        <w:jc w:val="center"/>
        <w:ind w:right="6540"/>
        <w:spacing w:after="0"/>
        <w:rPr>
          <w:sz w:val="20"/>
          <w:szCs w:val="20"/>
          <w:color w:val="auto"/>
        </w:rPr>
      </w:pPr>
      <w:r>
        <w:rPr>
          <w:rFonts w:ascii="Arial" w:cs="Arial" w:eastAsia="Arial" w:hAnsi="Arial"/>
          <w:sz w:val="18"/>
          <w:szCs w:val="18"/>
          <w:color w:val="auto"/>
        </w:rPr>
        <w:t>With a copy (which shall not constitute notice) to:</w:t>
      </w:r>
    </w:p>
    <w:p>
      <w:pPr>
        <w:spacing w:after="0" w:line="22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3175 Hanover St. Palo Alto, CA 94304</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Attn: </w:t>
      </w:r>
      <w:r>
        <w:rPr>
          <w:rFonts w:ascii="Arial" w:cs="Arial" w:eastAsia="Arial" w:hAnsi="Arial"/>
          <w:sz w:val="18"/>
          <w:szCs w:val="18"/>
          <w:u w:val="single" w:color="auto"/>
          <w:color w:val="auto"/>
        </w:rPr>
        <w:t>Josh Seidenfeld</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(650) 843-5862</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Facsimile: </w:t>
      </w:r>
      <w:r>
        <w:rPr>
          <w:rFonts w:ascii="Arial" w:cs="Arial" w:eastAsia="Arial" w:hAnsi="Arial"/>
          <w:sz w:val="18"/>
          <w:szCs w:val="18"/>
          <w:u w:val="single" w:color="auto"/>
          <w:color w:val="auto"/>
        </w:rPr>
        <w:t>(650) 849-7400</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jseidenfeld@cooley.com</w:t>
      </w:r>
    </w:p>
    <w:p>
      <w:pPr>
        <w:spacing w:after="0" w:line="209" w:lineRule="exact"/>
        <w:rPr>
          <w:sz w:val="20"/>
          <w:szCs w:val="20"/>
          <w:color w:val="auto"/>
        </w:rPr>
      </w:pPr>
    </w:p>
    <w:p>
      <w:pPr>
        <w:jc w:val="both"/>
        <w:ind w:right="20" w:firstLine="1292"/>
        <w:spacing w:after="0" w:line="26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3" w:lineRule="exact"/>
        <w:rPr>
          <w:sz w:val="20"/>
          <w:szCs w:val="20"/>
          <w:color w:val="auto"/>
        </w:rPr>
      </w:pPr>
    </w:p>
    <w:p>
      <w:pPr>
        <w:jc w:val="both"/>
        <w:ind w:right="20" w:firstLine="1292"/>
        <w:spacing w:after="0" w:line="30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8" w:lineRule="exact"/>
        <w:rPr>
          <w:sz w:val="20"/>
          <w:szCs w:val="20"/>
          <w:color w:val="auto"/>
        </w:rPr>
      </w:pPr>
    </w:p>
    <w:p>
      <w:pPr>
        <w:jc w:val="both"/>
        <w:ind w:firstLine="1292"/>
        <w:spacing w:after="0" w:line="262"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3"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70" w:lineRule="exact"/>
        <w:rPr>
          <w:sz w:val="20"/>
          <w:szCs w:val="20"/>
          <w:color w:val="auto"/>
        </w:rPr>
      </w:pPr>
    </w:p>
    <w:p>
      <w:pPr>
        <w:jc w:val="both"/>
        <w:ind w:firstLine="1292"/>
        <w:spacing w:after="0" w:line="27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725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8" w:name="page689"/>
    <w:bookmarkEnd w:id="688"/>
    <w:p>
      <w:pPr>
        <w:ind w:firstLine="581"/>
        <w:spacing w:after="0" w:line="276"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Latour</w:t>
            </w:r>
          </w:p>
        </w:tc>
      </w:tr>
      <w:tr>
        <w:trPr>
          <w:trHeight w:val="424"/>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 Latour</w:t>
            </w:r>
          </w:p>
        </w:tc>
      </w:tr>
      <w:tr>
        <w:trPr>
          <w:trHeight w:val="223"/>
        </w:trPr>
        <w:tc>
          <w:tcPr>
            <w:tcW w:w="9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(Print)</w:t>
            </w: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OXFORD FINANCE LL</w:t>
      </w:r>
      <w:r>
        <w:rPr>
          <w:rFonts w:ascii="Arial" w:cs="Arial" w:eastAsia="Arial" w:hAnsi="Arial"/>
          <w:sz w:val="17"/>
          <w:szCs w:val="17"/>
          <w:color w:val="auto"/>
        </w:rPr>
        <w:t>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53809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53809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3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53809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Warrant to Purchase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9" w:name="page690"/>
    <w:bookmarkEnd w:id="689"/>
    <w:p>
      <w:pPr>
        <w:ind w:firstLine="581"/>
        <w:spacing w:after="0" w:line="276"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53809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4">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14605</wp:posOffset>
            </wp:positionV>
            <wp:extent cx="253809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5">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253809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6">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c>
          <w:tcPr>
            <w:tcW w:w="6500" w:type="dxa"/>
            <w:vAlign w:val="bottom"/>
          </w:tcPr>
          <w:p>
            <w:pPr>
              <w:spacing w:after="0"/>
              <w:rPr>
                <w:sz w:val="19"/>
                <w:szCs w:val="19"/>
                <w:color w:val="auto"/>
              </w:rPr>
            </w:pPr>
          </w:p>
        </w:tc>
      </w:tr>
      <w:tr>
        <w:trPr>
          <w:trHeight w:val="424"/>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0500" w:type="dxa"/>
            <w:vAlign w:val="bottom"/>
            <w:gridSpan w:val="2"/>
          </w:tcPr>
          <w:p>
            <w:pPr>
              <w:spacing w:after="0"/>
              <w:rPr>
                <w:sz w:val="20"/>
                <w:szCs w:val="20"/>
                <w:color w:val="auto"/>
              </w:rPr>
            </w:pPr>
            <w:r>
              <w:rPr>
                <w:rFonts w:ascii="Arial" w:cs="Arial" w:eastAsia="Arial" w:hAnsi="Arial"/>
                <w:sz w:val="18"/>
                <w:szCs w:val="18"/>
                <w:color w:val="auto"/>
              </w:rPr>
              <w:t>Mark Davis</w:t>
            </w:r>
          </w:p>
        </w:tc>
      </w:tr>
      <w:tr>
        <w:trPr>
          <w:trHeight w:val="223"/>
        </w:trPr>
        <w:tc>
          <w:tcPr>
            <w:tcW w:w="92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6500" w:type="dxa"/>
            <w:vAlign w:val="bottom"/>
          </w:tcPr>
          <w:p>
            <w:pPr>
              <w:spacing w:after="0"/>
              <w:rPr>
                <w:sz w:val="19"/>
                <w:szCs w:val="19"/>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 Finance, Secretary &amp; Treasurer</w:t>
            </w:r>
          </w:p>
        </w:tc>
        <w:tc>
          <w:tcPr>
            <w:tcW w:w="6500" w:type="dxa"/>
            <w:vAlign w:val="bottom"/>
          </w:tcPr>
          <w:p>
            <w:pPr>
              <w:spacing w:after="0"/>
              <w:rPr>
                <w:sz w:val="24"/>
                <w:szCs w:val="24"/>
                <w:color w:val="auto"/>
              </w:rPr>
            </w:pPr>
          </w:p>
        </w:tc>
      </w:tr>
      <w:tr>
        <w:trPr>
          <w:trHeight w:val="855"/>
        </w:trPr>
        <w:tc>
          <w:tcPr>
            <w:tcW w:w="920" w:type="dxa"/>
            <w:vAlign w:val="bottom"/>
          </w:tcPr>
          <w:p>
            <w:pPr>
              <w:spacing w:after="0"/>
              <w:rPr>
                <w:sz w:val="24"/>
                <w:szCs w:val="24"/>
                <w:color w:val="auto"/>
              </w:rPr>
            </w:pPr>
          </w:p>
        </w:tc>
        <w:tc>
          <w:tcPr>
            <w:tcW w:w="10500" w:type="dxa"/>
            <w:vAlign w:val="bottom"/>
            <w:gridSpan w:val="2"/>
          </w:tcPr>
          <w:p>
            <w:pPr>
              <w:ind w:left="2980"/>
              <w:spacing w:after="0"/>
              <w:rPr>
                <w:sz w:val="20"/>
                <w:szCs w:val="20"/>
                <w:color w:val="auto"/>
              </w:rPr>
            </w:pPr>
            <w:r>
              <w:rPr>
                <w:rFonts w:ascii="Arial" w:cs="Arial" w:eastAsia="Arial" w:hAnsi="Arial"/>
                <w:sz w:val="18"/>
                <w:szCs w:val="18"/>
                <w:i w:val="1"/>
                <w:iCs w:val="1"/>
                <w:color w:val="auto"/>
              </w:rPr>
              <w:t>[Signature Page to Warrant to Purchase Stock]</w:t>
            </w:r>
          </w:p>
        </w:tc>
      </w:tr>
      <w:tr>
        <w:trPr>
          <w:trHeight w:val="357"/>
        </w:trPr>
        <w:tc>
          <w:tcPr>
            <w:tcW w:w="9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90" w:name="page691"/>
    <w:bookmarkEnd w:id="690"/>
    <w:p>
      <w:pPr>
        <w:jc w:val="center"/>
        <w:spacing w:after="0"/>
        <w:rPr>
          <w:sz w:val="20"/>
          <w:szCs w:val="20"/>
          <w:color w:val="auto"/>
        </w:rPr>
      </w:pPr>
      <w:r>
        <w:rPr>
          <w:rFonts w:ascii="Arial" w:cs="Arial" w:eastAsia="Arial" w:hAnsi="Arial"/>
          <w:sz w:val="18"/>
          <w:szCs w:val="18"/>
          <w:b w:val="1"/>
          <w:bCs w:val="1"/>
          <w:color w:val="auto"/>
        </w:rPr>
        <w:t>APPENDIX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EXERCISE</w:t>
      </w:r>
    </w:p>
    <w:p>
      <w:pPr>
        <w:spacing w:after="0" w:line="228" w:lineRule="exact"/>
        <w:rPr>
          <w:sz w:val="20"/>
          <w:szCs w:val="20"/>
          <w:color w:val="auto"/>
        </w:rPr>
      </w:pPr>
    </w:p>
    <w:p>
      <w:pPr>
        <w:jc w:val="both"/>
        <w:ind w:left="-20" w:firstLine="654"/>
        <w:spacing w:after="0" w:line="262" w:lineRule="auto"/>
        <w:tabs>
          <w:tab w:leader="none" w:pos="10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 shares of the Common/Series __________ Preferred [circle one] Stock of VAXART,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3" w:lineRule="exact"/>
        <w:rPr>
          <w:sz w:val="20"/>
          <w:szCs w:val="20"/>
          <w:color w:val="auto"/>
        </w:rPr>
      </w:pPr>
    </w:p>
    <w:p>
      <w:pPr>
        <w:ind w:left="960" w:hanging="326"/>
        <w:spacing w:after="0"/>
        <w:tabs>
          <w:tab w:leader="none" w:pos="96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   check in the amount of $__________ payable to order of the Company enclosed herewith</w:t>
      </w:r>
    </w:p>
    <w:p>
      <w:pPr>
        <w:spacing w:after="0" w:line="224" w:lineRule="exact"/>
        <w:rPr>
          <w:sz w:val="20"/>
          <w:szCs w:val="20"/>
          <w:color w:val="auto"/>
        </w:rPr>
      </w:pPr>
    </w:p>
    <w:p>
      <w:pPr>
        <w:ind w:left="960" w:hanging="326"/>
        <w:spacing w:after="0"/>
        <w:tabs>
          <w:tab w:leader="none" w:pos="96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   Wire transfer of immediately available funds to the Company’s account</w:t>
      </w:r>
    </w:p>
    <w:p>
      <w:pPr>
        <w:spacing w:after="0" w:line="224" w:lineRule="exact"/>
        <w:rPr>
          <w:sz w:val="20"/>
          <w:szCs w:val="20"/>
          <w:color w:val="auto"/>
        </w:rPr>
      </w:pPr>
    </w:p>
    <w:p>
      <w:pPr>
        <w:ind w:left="960" w:hanging="326"/>
        <w:spacing w:after="0"/>
        <w:tabs>
          <w:tab w:leader="none" w:pos="960" w:val="left"/>
        </w:tabs>
        <w:numPr>
          <w:ilvl w:val="0"/>
          <w:numId w:val="652"/>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224" w:lineRule="exact"/>
        <w:rPr>
          <w:sz w:val="20"/>
          <w:szCs w:val="20"/>
          <w:color w:val="auto"/>
        </w:rPr>
      </w:pPr>
    </w:p>
    <w:p>
      <w:pPr>
        <w:ind w:left="960" w:hanging="326"/>
        <w:spacing w:after="0"/>
        <w:tabs>
          <w:tab w:leader="none" w:pos="960" w:val="left"/>
        </w:tabs>
        <w:numPr>
          <w:ilvl w:val="0"/>
          <w:numId w:val="653"/>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-10795</wp:posOffset>
            </wp:positionV>
            <wp:extent cx="99631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7">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204" w:lineRule="exact"/>
        <w:rPr>
          <w:sz w:val="20"/>
          <w:szCs w:val="20"/>
          <w:color w:val="auto"/>
        </w:rPr>
      </w:pPr>
    </w:p>
    <w:p>
      <w:pPr>
        <w:ind w:left="1000" w:hanging="366"/>
        <w:spacing w:after="0"/>
        <w:tabs>
          <w:tab w:leader="none" w:pos="1000" w:val="left"/>
        </w:tabs>
        <w:numPr>
          <w:ilvl w:val="0"/>
          <w:numId w:val="65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Name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________________________________</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(Address)</w:t>
      </w:r>
    </w:p>
    <w:p>
      <w:pPr>
        <w:spacing w:after="0" w:line="209" w:lineRule="exact"/>
        <w:rPr>
          <w:sz w:val="20"/>
          <w:szCs w:val="20"/>
          <w:color w:val="auto"/>
        </w:rPr>
      </w:pPr>
    </w:p>
    <w:p>
      <w:pPr>
        <w:ind w:left="-20" w:right="20" w:firstLine="654"/>
        <w:spacing w:after="0" w:line="276" w:lineRule="auto"/>
        <w:tabs>
          <w:tab w:leader="none" w:pos="1086" w:val="left"/>
        </w:tabs>
        <w:numPr>
          <w:ilvl w:val="0"/>
          <w:numId w:val="65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and market-standoff provision in Section 4 of the Warrant to Purchase Stock as of the date hereof.</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287655</wp:posOffset>
            </wp:positionV>
            <wp:extent cx="262382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8">
                      <a:extLst>
                        <a:ext uri="{28A0092B-C50C-407E-A947-70E740481C1C}"/>
                      </a:extLst>
                    </a:blip>
                    <a:srcRect/>
                    <a:stretch>
                      <a:fillRect/>
                    </a:stretch>
                  </pic:blipFill>
                  <pic:spPr bwMode="auto">
                    <a:xfrm>
                      <a:off x="0" y="0"/>
                      <a:ext cx="2623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231584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9">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231584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40">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231584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41">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231584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42">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247255"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60" w:top="580" w:right="239" w:bottom="1440" w:gutter="0" w:footer="0" w:header="0"/>
        </w:sectPr>
      </w:pPr>
    </w:p>
    <w:bookmarkStart w:id="691" w:name="page692"/>
    <w:bookmarkEnd w:id="691"/>
    <w:p>
      <w:pPr>
        <w:jc w:val="center"/>
        <w:ind w:right="-19"/>
        <w:spacing w:after="0"/>
        <w:rPr>
          <w:sz w:val="20"/>
          <w:szCs w:val="20"/>
          <w:color w:val="auto"/>
        </w:rPr>
      </w:pPr>
      <w:r>
        <w:rPr>
          <w:rFonts w:ascii="Arial" w:cs="Arial" w:eastAsia="Arial" w:hAnsi="Arial"/>
          <w:sz w:val="18"/>
          <w:szCs w:val="18"/>
          <w:b w:val="1"/>
          <w:bCs w:val="1"/>
          <w:color w:val="auto"/>
        </w:rPr>
        <w:t>APPENDIX 2</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24"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gridSpan w:val="4"/>
          </w:tcPr>
          <w:p>
            <w:pPr>
              <w:jc w:val="right"/>
              <w:ind w:right="1680"/>
              <w:spacing w:after="0"/>
              <w:rPr>
                <w:sz w:val="20"/>
                <w:szCs w:val="20"/>
                <w:color w:val="auto"/>
              </w:rPr>
            </w:pPr>
            <w:r>
              <w:rPr>
                <w:rFonts w:ascii="Arial" w:cs="Arial" w:eastAsia="Arial" w:hAnsi="Arial"/>
                <w:sz w:val="18"/>
                <w:szCs w:val="18"/>
                <w:color w:val="auto"/>
              </w:rPr>
              <w:t>[OXFORD TRANSFEREE]</w:t>
            </w:r>
          </w:p>
        </w:tc>
      </w:tr>
      <w:tr>
        <w:trPr>
          <w:trHeight w:val="457"/>
        </w:trPr>
        <w:tc>
          <w:tcPr>
            <w:tcW w:w="680" w:type="dxa"/>
            <w:vAlign w:val="bottom"/>
          </w:tcPr>
          <w:p>
            <w:pPr>
              <w:spacing w:after="0"/>
              <w:rPr>
                <w:sz w:val="20"/>
                <w:szCs w:val="20"/>
                <w:color w:val="auto"/>
              </w:rPr>
            </w:pPr>
            <w:r>
              <w:rPr>
                <w:rFonts w:ascii="Arial" w:cs="Arial" w:eastAsia="Arial" w:hAnsi="Arial"/>
                <w:sz w:val="18"/>
                <w:szCs w:val="18"/>
                <w:color w:val="auto"/>
                <w:w w:val="92"/>
              </w:rPr>
              <w:t>Address:</w:t>
            </w:r>
          </w:p>
        </w:tc>
        <w:tc>
          <w:tcPr>
            <w:tcW w:w="4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1"/>
        </w:trPr>
        <w:tc>
          <w:tcPr>
            <w:tcW w:w="680" w:type="dxa"/>
            <w:vAlign w:val="bottom"/>
          </w:tcPr>
          <w:p>
            <w:pPr>
              <w:spacing w:after="0"/>
              <w:rPr>
                <w:sz w:val="20"/>
                <w:szCs w:val="20"/>
                <w:color w:val="auto"/>
              </w:rPr>
            </w:pPr>
            <w:r>
              <w:rPr>
                <w:rFonts w:ascii="Arial" w:cs="Arial" w:eastAsia="Arial" w:hAnsi="Arial"/>
                <w:sz w:val="18"/>
                <w:szCs w:val="18"/>
                <w:color w:val="auto"/>
              </w:rPr>
              <w:t>Tax ID:</w:t>
            </w:r>
          </w:p>
        </w:tc>
        <w:tc>
          <w:tcPr>
            <w:tcW w:w="460" w:type="dxa"/>
            <w:vAlign w:val="bottom"/>
          </w:tcPr>
          <w:p>
            <w:pPr>
              <w:spacing w:after="0"/>
              <w:rPr>
                <w:sz w:val="24"/>
                <w:szCs w:val="24"/>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that certain Warrant to Purchase Stock issued by VAXART, INC. (the “Company”), on December 22, 2016 (the “Warrant”) together with all rights, title and interest therein.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OXFORD FINANCE LLC</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4">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5">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6">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14605</wp:posOffset>
            </wp:positionV>
            <wp:extent cx="261493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[OXFORD TRANSFEREE]</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8">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9">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17"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14605</wp:posOffset>
            </wp:positionV>
            <wp:extent cx="231584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50">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7255"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5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92" w:name="page693"/>
    <w:bookmarkEnd w:id="692"/>
    <w:p>
      <w:pPr>
        <w:jc w:val="center"/>
        <w:spacing w:after="0"/>
        <w:rPr>
          <w:sz w:val="20"/>
          <w:szCs w:val="20"/>
          <w:color w:val="auto"/>
        </w:rPr>
      </w:pPr>
      <w:r>
        <w:rPr>
          <w:rFonts w:ascii="Arial" w:cs="Arial" w:eastAsia="Arial" w:hAnsi="Arial"/>
          <w:sz w:val="18"/>
          <w:szCs w:val="18"/>
          <w:color w:val="auto"/>
        </w:rPr>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Company Capitalization Table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236855</wp:posOffset>
            </wp:positionV>
            <wp:extent cx="7247255"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5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93" w:name="page694"/>
    <w:bookmarkEnd w:id="693"/>
    <w:p>
      <w:pPr>
        <w:jc w:val="center"/>
        <w:spacing w:after="0"/>
        <w:rPr>
          <w:sz w:val="20"/>
          <w:szCs w:val="20"/>
          <w:color w:val="auto"/>
        </w:rPr>
      </w:pPr>
      <w:r>
        <w:rPr>
          <w:rFonts w:ascii="Arial" w:cs="Arial" w:eastAsia="Arial" w:hAnsi="Arial"/>
          <w:sz w:val="18"/>
          <w:szCs w:val="18"/>
          <w:b w:val="1"/>
          <w:bCs w:val="1"/>
          <w:color w:val="auto"/>
        </w:rPr>
        <w:t>Vaxart, Inc. - Cap Table - Ownership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-129540</wp:posOffset>
            </wp:positionV>
            <wp:extent cx="7251065" cy="694372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3">
                      <a:extLst>
                        <a:ext uri="{28A0092B-C50C-407E-A947-70E740481C1C}"/>
                      </a:extLst>
                    </a:blip>
                    <a:srcRect/>
                    <a:stretch>
                      <a:fillRect/>
                    </a:stretch>
                  </pic:blipFill>
                  <pic:spPr bwMode="auto">
                    <a:xfrm>
                      <a:off x="0" y="0"/>
                      <a:ext cx="7251065" cy="694372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Borders>
              <w:top w:val="single" w:sz="8" w:color="auto"/>
              <w:bottom w:val="single" w:sz="8" w:color="auto"/>
            </w:tcBorders>
          </w:tcPr>
          <w:p>
            <w:pPr>
              <w:spacing w:after="0"/>
              <w:rPr>
                <w:sz w:val="18"/>
                <w:szCs w:val="18"/>
                <w:color w:val="auto"/>
              </w:rPr>
            </w:pPr>
          </w:p>
        </w:tc>
        <w:tc>
          <w:tcPr>
            <w:tcW w:w="58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November 18, 2016</w:t>
            </w:r>
          </w:p>
        </w:tc>
        <w:tc>
          <w:tcPr>
            <w:tcW w:w="1400" w:type="dxa"/>
            <w:vAlign w:val="bottom"/>
            <w:tcBorders>
              <w:top w:val="single" w:sz="8" w:color="auto"/>
              <w:bottom w:val="single" w:sz="8" w:color="auto"/>
              <w:right w:val="single" w:sz="8" w:color="auto"/>
            </w:tcBorders>
          </w:tcPr>
          <w:p>
            <w:pPr>
              <w:spacing w:after="0"/>
              <w:rPr>
                <w:sz w:val="18"/>
                <w:szCs w:val="18"/>
                <w:color w:val="auto"/>
              </w:rPr>
            </w:pPr>
          </w:p>
        </w:tc>
        <w:tc>
          <w:tcPr>
            <w:tcW w:w="1420" w:type="dxa"/>
            <w:vAlign w:val="bottom"/>
            <w:tcBorders>
              <w:top w:val="single" w:sz="8" w:color="auto"/>
              <w:bottom w:val="single" w:sz="8" w:color="auto"/>
              <w:right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i w:val="1"/>
                <w:iCs w:val="1"/>
                <w:color w:val="auto"/>
              </w:rPr>
              <w:t>Confidential</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Borders>
              <w:right w:val="single" w:sz="8" w:color="auto"/>
            </w:tcBorders>
            <w:shd w:val="clear" w:color="auto" w:fill="666666"/>
          </w:tcPr>
          <w:p>
            <w:pPr>
              <w:spacing w:after="0"/>
              <w:rPr>
                <w:sz w:val="16"/>
                <w:szCs w:val="16"/>
                <w:color w:val="auto"/>
              </w:rPr>
            </w:pPr>
          </w:p>
        </w:tc>
        <w:tc>
          <w:tcPr>
            <w:tcW w:w="1400" w:type="dxa"/>
            <w:vAlign w:val="bottom"/>
            <w:tcBorders>
              <w:right w:val="single" w:sz="8" w:color="auto"/>
            </w:tcBorders>
            <w:shd w:val="clear" w:color="auto" w:fill="666666"/>
          </w:tcPr>
          <w:p>
            <w:pPr>
              <w:spacing w:after="0"/>
              <w:rPr>
                <w:sz w:val="16"/>
                <w:szCs w:val="16"/>
                <w:color w:val="auto"/>
              </w:rPr>
            </w:pPr>
          </w:p>
        </w:tc>
        <w:tc>
          <w:tcPr>
            <w:tcW w:w="142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86"/>
              </w:rPr>
              <w:t>Issued and</w:t>
            </w:r>
          </w:p>
        </w:tc>
        <w:tc>
          <w:tcPr>
            <w:tcW w:w="1400" w:type="dxa"/>
            <w:vAlign w:val="bottom"/>
            <w:tcBorders>
              <w:right w:val="single" w:sz="8" w:color="auto"/>
            </w:tcBorders>
            <w:shd w:val="clear" w:color="auto" w:fill="666666"/>
          </w:tcPr>
          <w:p>
            <w:pPr>
              <w:jc w:val="center"/>
              <w:spacing w:after="0" w:line="195" w:lineRule="exact"/>
              <w:rPr>
                <w:sz w:val="20"/>
                <w:szCs w:val="20"/>
                <w:color w:val="auto"/>
              </w:rPr>
            </w:pPr>
            <w:r>
              <w:rPr>
                <w:rFonts w:ascii="Arial" w:cs="Arial" w:eastAsia="Arial" w:hAnsi="Arial"/>
                <w:sz w:val="18"/>
                <w:szCs w:val="18"/>
                <w:color w:val="FFFFFF"/>
                <w:w w:val="90"/>
              </w:rPr>
              <w:t>Common</w:t>
            </w:r>
          </w:p>
        </w:tc>
        <w:tc>
          <w:tcPr>
            <w:tcW w:w="1280" w:type="dxa"/>
            <w:vAlign w:val="bottom"/>
            <w:shd w:val="clear" w:color="auto" w:fill="66666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shd w:val="clear" w:color="auto" w:fill="666666"/>
          </w:tcPr>
          <w:p>
            <w:pPr>
              <w:spacing w:after="0"/>
              <w:rPr>
                <w:sz w:val="9"/>
                <w:szCs w:val="9"/>
                <w:color w:val="auto"/>
              </w:rPr>
            </w:pPr>
          </w:p>
        </w:tc>
        <w:tc>
          <w:tcPr>
            <w:tcW w:w="1420" w:type="dxa"/>
            <w:vAlign w:val="bottom"/>
            <w:tcBorders>
              <w:right w:val="single" w:sz="8" w:color="auto"/>
            </w:tcBorders>
            <w:vMerge w:val="continue"/>
            <w:shd w:val="clear" w:color="auto" w:fill="666666"/>
          </w:tcPr>
          <w:p>
            <w:pPr>
              <w:spacing w:after="0"/>
              <w:rPr>
                <w:sz w:val="9"/>
                <w:szCs w:val="9"/>
                <w:color w:val="auto"/>
              </w:rPr>
            </w:pPr>
          </w:p>
        </w:tc>
        <w:tc>
          <w:tcPr>
            <w:tcW w:w="140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93"/>
              </w:rPr>
              <w:t>Stock</w:t>
            </w:r>
          </w:p>
        </w:tc>
        <w:tc>
          <w:tcPr>
            <w:tcW w:w="1280" w:type="dxa"/>
            <w:vAlign w:val="bottom"/>
            <w:vMerge w:val="restart"/>
            <w:shd w:val="clear" w:color="auto" w:fill="666666"/>
          </w:tcPr>
          <w:p>
            <w:pPr>
              <w:jc w:val="right"/>
              <w:ind w:right="290"/>
              <w:spacing w:after="0"/>
              <w:rPr>
                <w:sz w:val="20"/>
                <w:szCs w:val="20"/>
                <w:color w:val="auto"/>
              </w:rPr>
            </w:pPr>
            <w:r>
              <w:rPr>
                <w:rFonts w:ascii="Arial" w:cs="Arial" w:eastAsia="Arial" w:hAnsi="Arial"/>
                <w:sz w:val="18"/>
                <w:szCs w:val="18"/>
                <w:color w:val="FFFFFF"/>
              </w:rPr>
              <w:t>Percent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shd w:val="clear" w:color="auto" w:fill="666666"/>
          </w:tcPr>
          <w:p>
            <w:pPr>
              <w:spacing w:after="0"/>
              <w:rPr>
                <w:sz w:val="9"/>
                <w:szCs w:val="9"/>
                <w:color w:val="auto"/>
              </w:rPr>
            </w:pPr>
          </w:p>
        </w:tc>
        <w:tc>
          <w:tcPr>
            <w:tcW w:w="142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90"/>
              </w:rPr>
              <w:t>Outstanding</w:t>
            </w:r>
          </w:p>
        </w:tc>
        <w:tc>
          <w:tcPr>
            <w:tcW w:w="1400" w:type="dxa"/>
            <w:vAlign w:val="bottom"/>
            <w:tcBorders>
              <w:right w:val="single" w:sz="8" w:color="auto"/>
            </w:tcBorders>
            <w:vMerge w:val="continue"/>
            <w:shd w:val="clear" w:color="auto" w:fill="666666"/>
          </w:tcPr>
          <w:p>
            <w:pPr>
              <w:spacing w:after="0"/>
              <w:rPr>
                <w:sz w:val="9"/>
                <w:szCs w:val="9"/>
                <w:color w:val="auto"/>
              </w:rPr>
            </w:pPr>
          </w:p>
        </w:tc>
        <w:tc>
          <w:tcPr>
            <w:tcW w:w="1280" w:type="dxa"/>
            <w:vAlign w:val="bottom"/>
            <w:vMerge w:val="continue"/>
            <w:shd w:val="clear" w:color="auto" w:fill="66666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shd w:val="clear" w:color="auto" w:fill="666666"/>
          </w:tcPr>
          <w:p>
            <w:pPr>
              <w:spacing w:after="0"/>
              <w:rPr>
                <w:sz w:val="9"/>
                <w:szCs w:val="9"/>
                <w:color w:val="auto"/>
              </w:rPr>
            </w:pPr>
          </w:p>
        </w:tc>
        <w:tc>
          <w:tcPr>
            <w:tcW w:w="1420" w:type="dxa"/>
            <w:vAlign w:val="bottom"/>
            <w:tcBorders>
              <w:right w:val="single" w:sz="8" w:color="auto"/>
            </w:tcBorders>
            <w:vMerge w:val="continue"/>
            <w:shd w:val="clear" w:color="auto" w:fill="666666"/>
          </w:tcPr>
          <w:p>
            <w:pPr>
              <w:spacing w:after="0"/>
              <w:rPr>
                <w:sz w:val="9"/>
                <w:szCs w:val="9"/>
                <w:color w:val="auto"/>
              </w:rPr>
            </w:pPr>
          </w:p>
        </w:tc>
        <w:tc>
          <w:tcPr>
            <w:tcW w:w="140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92"/>
              </w:rPr>
              <w:t>Equivalent</w:t>
            </w:r>
          </w:p>
        </w:tc>
        <w:tc>
          <w:tcPr>
            <w:tcW w:w="1280" w:type="dxa"/>
            <w:vAlign w:val="bottom"/>
            <w:vMerge w:val="restart"/>
            <w:shd w:val="clear" w:color="auto" w:fill="666666"/>
          </w:tcPr>
          <w:p>
            <w:pPr>
              <w:jc w:val="right"/>
              <w:ind w:right="150"/>
              <w:spacing w:after="0"/>
              <w:rPr>
                <w:sz w:val="20"/>
                <w:szCs w:val="20"/>
                <w:color w:val="auto"/>
              </w:rPr>
            </w:pPr>
            <w:r>
              <w:rPr>
                <w:rFonts w:ascii="Arial" w:cs="Arial" w:eastAsia="Arial" w:hAnsi="Arial"/>
                <w:sz w:val="18"/>
                <w:szCs w:val="18"/>
                <w:color w:val="FFFFFF"/>
              </w:rPr>
              <w:t>Ownership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shd w:val="clear" w:color="auto" w:fill="666666"/>
          </w:tcPr>
          <w:p>
            <w:pPr>
              <w:spacing w:after="0"/>
              <w:rPr>
                <w:sz w:val="9"/>
                <w:szCs w:val="9"/>
                <w:color w:val="auto"/>
              </w:rPr>
            </w:pPr>
          </w:p>
        </w:tc>
        <w:tc>
          <w:tcPr>
            <w:tcW w:w="142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84"/>
              </w:rPr>
              <w:t>Shares</w:t>
            </w:r>
          </w:p>
        </w:tc>
        <w:tc>
          <w:tcPr>
            <w:tcW w:w="1400" w:type="dxa"/>
            <w:vAlign w:val="bottom"/>
            <w:tcBorders>
              <w:right w:val="single" w:sz="8" w:color="auto"/>
            </w:tcBorders>
            <w:vMerge w:val="continue"/>
            <w:shd w:val="clear" w:color="auto" w:fill="666666"/>
          </w:tcPr>
          <w:p>
            <w:pPr>
              <w:spacing w:after="0"/>
              <w:rPr>
                <w:sz w:val="9"/>
                <w:szCs w:val="9"/>
                <w:color w:val="auto"/>
              </w:rPr>
            </w:pPr>
          </w:p>
        </w:tc>
        <w:tc>
          <w:tcPr>
            <w:tcW w:w="1280" w:type="dxa"/>
            <w:vAlign w:val="bottom"/>
            <w:vMerge w:val="continue"/>
            <w:shd w:val="clear" w:color="auto" w:fill="66666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80" w:type="dxa"/>
            <w:vAlign w:val="bottom"/>
            <w:tcBorders>
              <w:right w:val="single" w:sz="8" w:color="auto"/>
            </w:tcBorders>
            <w:shd w:val="clear" w:color="auto" w:fill="666666"/>
          </w:tcPr>
          <w:p>
            <w:pPr>
              <w:spacing w:after="0"/>
              <w:rPr>
                <w:sz w:val="10"/>
                <w:szCs w:val="10"/>
                <w:color w:val="auto"/>
              </w:rPr>
            </w:pPr>
          </w:p>
        </w:tc>
        <w:tc>
          <w:tcPr>
            <w:tcW w:w="1400" w:type="dxa"/>
            <w:vAlign w:val="bottom"/>
            <w:tcBorders>
              <w:right w:val="single" w:sz="8" w:color="auto"/>
            </w:tcBorders>
            <w:shd w:val="clear" w:color="auto" w:fill="666666"/>
          </w:tcPr>
          <w:p>
            <w:pPr>
              <w:spacing w:after="0"/>
              <w:rPr>
                <w:sz w:val="10"/>
                <w:szCs w:val="10"/>
                <w:color w:val="auto"/>
              </w:rPr>
            </w:pPr>
          </w:p>
        </w:tc>
        <w:tc>
          <w:tcPr>
            <w:tcW w:w="1420" w:type="dxa"/>
            <w:vAlign w:val="bottom"/>
            <w:tcBorders>
              <w:right w:val="single" w:sz="8" w:color="auto"/>
            </w:tcBorders>
            <w:vMerge w:val="continue"/>
            <w:shd w:val="clear" w:color="auto" w:fill="666666"/>
          </w:tcPr>
          <w:p>
            <w:pPr>
              <w:spacing w:after="0"/>
              <w:rPr>
                <w:sz w:val="10"/>
                <w:szCs w:val="10"/>
                <w:color w:val="auto"/>
              </w:rPr>
            </w:pPr>
          </w:p>
        </w:tc>
        <w:tc>
          <w:tcPr>
            <w:tcW w:w="1400" w:type="dxa"/>
            <w:vAlign w:val="bottom"/>
            <w:tcBorders>
              <w:right w:val="single" w:sz="8" w:color="auto"/>
            </w:tcBorders>
            <w:vMerge w:val="restart"/>
            <w:shd w:val="clear" w:color="auto" w:fill="666666"/>
          </w:tcPr>
          <w:p>
            <w:pPr>
              <w:jc w:val="center"/>
              <w:spacing w:after="0"/>
              <w:rPr>
                <w:sz w:val="20"/>
                <w:szCs w:val="20"/>
                <w:color w:val="auto"/>
              </w:rPr>
            </w:pPr>
            <w:r>
              <w:rPr>
                <w:rFonts w:ascii="Arial" w:cs="Arial" w:eastAsia="Arial" w:hAnsi="Arial"/>
                <w:sz w:val="18"/>
                <w:szCs w:val="18"/>
                <w:color w:val="FFFFFF"/>
                <w:w w:val="84"/>
              </w:rPr>
              <w:t>Shares</w:t>
            </w:r>
          </w:p>
        </w:tc>
        <w:tc>
          <w:tcPr>
            <w:tcW w:w="1280" w:type="dxa"/>
            <w:vAlign w:val="bottom"/>
            <w:shd w:val="clear" w:color="auto" w:fill="66666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shd w:val="clear" w:color="auto" w:fill="666666"/>
          </w:tcPr>
          <w:p>
            <w:pPr>
              <w:spacing w:after="0"/>
              <w:rPr>
                <w:sz w:val="9"/>
                <w:szCs w:val="9"/>
                <w:color w:val="auto"/>
              </w:rPr>
            </w:pPr>
          </w:p>
        </w:tc>
        <w:tc>
          <w:tcPr>
            <w:tcW w:w="1420" w:type="dxa"/>
            <w:vAlign w:val="bottom"/>
            <w:tcBorders>
              <w:right w:val="single" w:sz="8" w:color="auto"/>
            </w:tcBorders>
            <w:shd w:val="clear" w:color="auto" w:fill="666666"/>
          </w:tcPr>
          <w:p>
            <w:pPr>
              <w:spacing w:after="0"/>
              <w:rPr>
                <w:sz w:val="9"/>
                <w:szCs w:val="9"/>
                <w:color w:val="auto"/>
              </w:rPr>
            </w:pPr>
          </w:p>
        </w:tc>
        <w:tc>
          <w:tcPr>
            <w:tcW w:w="1400" w:type="dxa"/>
            <w:vAlign w:val="bottom"/>
            <w:tcBorders>
              <w:right w:val="single" w:sz="8" w:color="auto"/>
            </w:tcBorders>
            <w:vMerge w:val="continue"/>
            <w:shd w:val="clear" w:color="auto" w:fill="666666"/>
          </w:tcPr>
          <w:p>
            <w:pPr>
              <w:spacing w:after="0"/>
              <w:rPr>
                <w:sz w:val="9"/>
                <w:szCs w:val="9"/>
                <w:color w:val="auto"/>
              </w:rPr>
            </w:pPr>
          </w:p>
        </w:tc>
        <w:tc>
          <w:tcPr>
            <w:tcW w:w="1280" w:type="dxa"/>
            <w:vAlign w:val="bottom"/>
            <w:shd w:val="clear" w:color="auto" w:fill="66666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(Authorized: 110,000,000)</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(Authorized: 110,000,000)</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6,738,292</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6,738,292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7.8334%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6,738,292</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6,738,292</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(Authorized: 82,553,957)</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SERIES A (Authorized: 4,717,978)</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4,717,978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4,717,978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SERIES B (Authorized: 37,105,352)</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25,874,811</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25,874,811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30.0798%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SERIES C (Authorized: 40,730,627)</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30,053,129</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30,053,129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34.9372%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60,645,918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60,645,918</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WARRANTS</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SERIES A</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SERIES B</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Reserved: 254,000, Share Pool: 2004 Equity Incentive Plan share pool</w:t>
            </w: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2004 Equity Incentive Plan</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Granted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687,000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-254,000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Repurchased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-433,000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Awards Outstanding</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 Remaining For Issuance</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Awards Outstanding + Shares Remaining for Issuance</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Reserved: 20,522,285, Share Pool: 2007 Equity Incentive Plan share pool</w:t>
            </w:r>
          </w:p>
        </w:tc>
        <w:tc>
          <w:tcPr>
            <w:tcW w:w="14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2007 Equity Incentive Plan</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Granted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17,683,314</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-1,885,959</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Repurchased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-2,029,977</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Awards Outstanding</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13,767,378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13,767,378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 Remaining For Issuance</w:t>
            </w: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4,868,948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4,868,948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Awards Outstanding + Shares Remaining for Issuance</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18,636,326</w:t>
            </w: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18,636,326</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18,636,326</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86,020,536</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86,020,536</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0" w:right="3020"/>
        <w:spacing w:after="0" w:line="288" w:lineRule="auto"/>
        <w:rPr>
          <w:sz w:val="20"/>
          <w:szCs w:val="20"/>
          <w:color w:val="auto"/>
        </w:rPr>
      </w:pPr>
      <w:r>
        <w:rPr>
          <w:rFonts w:ascii="Arial" w:cs="Arial" w:eastAsia="Arial" w:hAnsi="Arial"/>
          <w:sz w:val="17"/>
          <w:szCs w:val="17"/>
          <w:color w:val="auto"/>
        </w:rPr>
        <w:t>Total shares issued and outstanding, including shares committed for issuance and reserves, assuming CSE Shares* - Common Stock Equivalent (CSE) shares reflects the Common Stock issuable for the security</w:t>
      </w:r>
    </w:p>
    <w:p>
      <w:pPr>
        <w:sectPr>
          <w:pgSz w:w="11900" w:h="16838" w:orient="portrait"/>
          <w:cols w:equalWidth="0" w:num="1">
            <w:col w:w="11420"/>
          </w:cols>
          <w:pgMar w:left="240" w:top="593" w:right="239" w:bottom="1440" w:gutter="0" w:footer="0" w:header="0"/>
        </w:sectPr>
      </w:pPr>
    </w:p>
    <w:bookmarkStart w:id="694" w:name="page695"/>
    <w:bookmarkEnd w:id="694"/>
    <w:p>
      <w:pPr>
        <w:jc w:val="right"/>
        <w:spacing w:after="0"/>
        <w:rPr>
          <w:sz w:val="20"/>
          <w:szCs w:val="20"/>
          <w:color w:val="auto"/>
        </w:rPr>
      </w:pPr>
      <w:r>
        <w:rPr>
          <w:rFonts w:ascii="Arial" w:cs="Arial" w:eastAsia="Arial" w:hAnsi="Arial"/>
          <w:sz w:val="18"/>
          <w:szCs w:val="18"/>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September 1, 2017, included in the Proxy Statement of Aviragen Therapeutics, Inc. that is made a part of Amendment No. 1 to the Registration Statement (Form S-4 No. 333-222009) and Prospectus of Aviragen Therapeutics, Inc. for the registration of shares of its common stock.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2017</w:t>
      </w:r>
    </w:p>
    <w:p>
      <w:pPr>
        <w:sectPr>
          <w:pgSz w:w="11900" w:h="16838" w:orient="portrait"/>
          <w:cols w:equalWidth="0" w:num="1">
            <w:col w:w="11420"/>
          </w:cols>
          <w:pgMar w:left="240" w:top="126" w:right="239" w:bottom="1440" w:gutter="0" w:footer="0" w:header="0"/>
        </w:sectPr>
      </w:pPr>
    </w:p>
    <w:bookmarkStart w:id="695" w:name="page696"/>
    <w:bookmarkEnd w:id="695"/>
    <w:p>
      <w:pPr>
        <w:jc w:val="right"/>
        <w:spacing w:after="0"/>
        <w:rPr>
          <w:sz w:val="20"/>
          <w:szCs w:val="20"/>
          <w:color w:val="auto"/>
        </w:rPr>
      </w:pPr>
      <w:r>
        <w:rPr>
          <w:rFonts w:ascii="Arial" w:cs="Arial" w:eastAsia="Arial" w:hAnsi="Arial"/>
          <w:sz w:val="18"/>
          <w:szCs w:val="18"/>
          <w:color w:val="auto"/>
        </w:rPr>
        <w:t>Exhibit 23.2</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Auditors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Vaxart, Inc.:</w:t>
      </w:r>
    </w:p>
    <w:p>
      <w:pPr>
        <w:spacing w:after="0" w:line="20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 consent to the use of our report dated August 4, 2017, with respect to the consolidated balance sheets of Vaxart, Inc. as of December 31, 2016 and 2015, and the related consolidated statements of operations and comprehensive loss, changes in stockholders’ equity (deficit), and cash flows for the years then ended and related notes to the financial statements, included herein and to the reference to our firm under the heading “Experts” in the proxy statement/prospectus/information statement.</w:t>
      </w:r>
    </w:p>
    <w:p>
      <w:pPr>
        <w:spacing w:after="0" w:line="18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report referred to above contains an explanatory paragraph that states that the Company has suffered recurring losses from operations and has a net capital deficiency, which raise substantial doubt about its ability to continue as a going concern. The financial statements do not include any adjustments that might result from the outcome of that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2017</w:t>
      </w:r>
    </w:p>
    <w:p>
      <w:pPr>
        <w:sectPr>
          <w:pgSz w:w="11900" w:h="16838" w:orient="portrait"/>
          <w:cols w:equalWidth="0" w:num="1">
            <w:col w:w="11420"/>
          </w:cols>
          <w:pgMar w:left="240" w:top="126" w:right="239" w:bottom="1440" w:gutter="0" w:footer="0" w:header="0"/>
        </w:sectPr>
      </w:pPr>
    </w:p>
    <w:bookmarkStart w:id="696" w:name="page697"/>
    <w:bookmarkEnd w:id="696"/>
    <w:p>
      <w:pPr>
        <w:ind w:left="93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7255" cy="884491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4">
                      <a:extLst>
                        <a:ext uri="{28A0092B-C50C-407E-A947-70E740481C1C}"/>
                      </a:extLst>
                    </a:blip>
                    <a:srcRect/>
                    <a:stretch>
                      <a:fillRect/>
                    </a:stretch>
                  </pic:blipFill>
                  <pic:spPr bwMode="auto">
                    <a:xfrm>
                      <a:off x="0" y="0"/>
                      <a:ext cx="7247255" cy="884491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97" w:name="page698"/>
    <w:bookmarkEnd w:id="6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9199880</wp:posOffset>
            </wp:positionV>
            <wp:extent cx="7247255"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8" w:name="page699"/>
    <w:bookmarkEnd w:id="6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516255</wp:posOffset>
            </wp:positionH>
            <wp:positionV relativeFrom="page">
              <wp:posOffset>380365</wp:posOffset>
            </wp:positionV>
            <wp:extent cx="6537960" cy="84607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6">
                      <a:clrChange>
                        <a:clrFrom>
                          <a:srgbClr val="FFFFFF"/>
                        </a:clrFrom>
                        <a:clrTo>
                          <a:srgbClr val="FFFFFF">
                            <a:alpha val="0"/>
                          </a:srgbClr>
                        </a:clrTo>
                      </a:clrChange>
                      <a:extLst>
                        <a:ext uri="{28A0092B-C50C-407E-A947-70E740481C1C}"/>
                      </a:extLst>
                    </a:blip>
                    <a:srcRect/>
                    <a:stretch>
                      <a:fillRect/>
                    </a:stretch>
                  </pic:blipFill>
                  <pic:spPr bwMode="auto">
                    <a:xfrm>
                      <a:off x="0" y="0"/>
                      <a:ext cx="6537960" cy="8460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9" w:name="page700"/>
    <w:bookmarkEnd w:id="699"/>
    <w:p>
      <w:pPr>
        <w:jc w:val="right"/>
        <w:spacing w:after="0"/>
        <w:rPr>
          <w:sz w:val="20"/>
          <w:szCs w:val="20"/>
          <w:color w:val="auto"/>
        </w:rPr>
      </w:pPr>
      <w:r>
        <w:rPr>
          <w:rFonts w:ascii="Arial" w:cs="Arial" w:eastAsia="Arial" w:hAnsi="Arial"/>
          <w:sz w:val="18"/>
          <w:szCs w:val="18"/>
          <w:b w:val="1"/>
          <w:bCs w:val="1"/>
          <w:color w:val="auto"/>
        </w:rPr>
        <w:t>Exhibit 99.5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Statement/Prospectus/Information Statement</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Aviragen Therapeutics, Inc. (the “Company”) has filed a Registration Statement on Form S-4 (Registration No. 333-222009)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/s/Wouter W. Latour,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7">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Wouter W. Latour, M.D.</w:t>
      </w:r>
    </w:p>
    <w:p>
      <w:pPr>
        <w:sectPr>
          <w:pgSz w:w="11900" w:h="16838" w:orient="portrait"/>
          <w:cols w:equalWidth="0" w:num="1">
            <w:col w:w="11420"/>
          </w:cols>
          <w:pgMar w:left="240" w:top="122" w:right="239" w:bottom="1440" w:gutter="0" w:footer="0" w:header="0"/>
        </w:sectPr>
      </w:pPr>
    </w:p>
    <w:bookmarkStart w:id="700" w:name="page701"/>
    <w:bookmarkEnd w:id="700"/>
    <w:p>
      <w:pPr>
        <w:jc w:val="right"/>
        <w:spacing w:after="0"/>
        <w:rPr>
          <w:sz w:val="20"/>
          <w:szCs w:val="20"/>
          <w:color w:val="auto"/>
        </w:rPr>
      </w:pPr>
      <w:r>
        <w:rPr>
          <w:rFonts w:ascii="Arial" w:cs="Arial" w:eastAsia="Arial" w:hAnsi="Arial"/>
          <w:sz w:val="18"/>
          <w:szCs w:val="18"/>
          <w:b w:val="1"/>
          <w:bCs w:val="1"/>
          <w:color w:val="auto"/>
        </w:rPr>
        <w:t>Exhibit 99.6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Statement/Prospectus/Information Statement</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Aviragen Therapeutics, Inc. (the “Company”) has filed a Registration Statement on Form S-4 (Registration No. 333-222009)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/s/Michael J. Finney,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8">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Finney, Ph.D.</w:t>
      </w:r>
    </w:p>
    <w:p>
      <w:pPr>
        <w:sectPr>
          <w:pgSz w:w="11900" w:h="16838" w:orient="portrait"/>
          <w:cols w:equalWidth="0" w:num="1">
            <w:col w:w="11420"/>
          </w:cols>
          <w:pgMar w:left="240" w:top="122" w:right="239" w:bottom="1440" w:gutter="0" w:footer="0" w:header="0"/>
        </w:sectPr>
      </w:pPr>
    </w:p>
    <w:bookmarkStart w:id="701" w:name="page702"/>
    <w:bookmarkEnd w:id="701"/>
    <w:p>
      <w:pPr>
        <w:jc w:val="right"/>
        <w:spacing w:after="0"/>
        <w:rPr>
          <w:sz w:val="20"/>
          <w:szCs w:val="20"/>
          <w:color w:val="auto"/>
        </w:rPr>
      </w:pPr>
      <w:r>
        <w:rPr>
          <w:rFonts w:ascii="Arial" w:cs="Arial" w:eastAsia="Arial" w:hAnsi="Arial"/>
          <w:sz w:val="18"/>
          <w:szCs w:val="18"/>
          <w:b w:val="1"/>
          <w:bCs w:val="1"/>
          <w:color w:val="auto"/>
        </w:rPr>
        <w:t>Exhibit 99.7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Statement/Prospectus/Information Statement</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Aviragen Therapeutics, Inc. (the “Company”) has filed a Registration Statement on Form S-4 (Registration No. 333-222009)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/s/Jan Leschly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9">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Jan Leschly</w:t>
      </w:r>
    </w:p>
    <w:p>
      <w:pPr>
        <w:sectPr>
          <w:pgSz w:w="11900" w:h="16838" w:orient="portrait"/>
          <w:cols w:equalWidth="0" w:num="1">
            <w:col w:w="11420"/>
          </w:cols>
          <w:pgMar w:left="240" w:top="121" w:right="239" w:bottom="1440" w:gutter="0" w:footer="0" w:header="0"/>
        </w:sectPr>
      </w:pPr>
    </w:p>
    <w:bookmarkStart w:id="702" w:name="page703"/>
    <w:bookmarkEnd w:id="702"/>
    <w:p>
      <w:pPr>
        <w:jc w:val="right"/>
        <w:spacing w:after="0"/>
        <w:rPr>
          <w:sz w:val="20"/>
          <w:szCs w:val="20"/>
          <w:color w:val="auto"/>
        </w:rPr>
      </w:pPr>
      <w:r>
        <w:rPr>
          <w:rFonts w:ascii="Arial" w:cs="Arial" w:eastAsia="Arial" w:hAnsi="Arial"/>
          <w:sz w:val="18"/>
          <w:szCs w:val="18"/>
          <w:b w:val="1"/>
          <w:bCs w:val="1"/>
          <w:color w:val="auto"/>
        </w:rPr>
        <w:t>Exhibit 99.8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Aviragen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Northwinds Parkway, Suite 100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Alpharetta, Georgia 30009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Statement/Prospectus/Information Statement</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Aviragen Therapeutics, Inc. (the “Company”) has filed a Registration Statement on Form S-4 (Registration No. 333-222009)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/s/Richard J. Markham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09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6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Richard J. Markham</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21DFCF"/>
    <w:multiLevelType w:val="hybridMultilevel"/>
    <w:lvl w:ilvl="0">
      <w:lvlJc w:val="left"/>
      <w:lvlText w:val="(%1)"/>
      <w:numFmt w:val="decimal"/>
      <w:start w:val="1"/>
    </w:lvl>
  </w:abstractNum>
  <w:abstractNum w:abstractNumId="1">
    <w:nsid w:val="1565AC99"/>
    <w:multiLevelType w:val="hybridMultilevel"/>
    <w:lvl w:ilvl="0">
      <w:lvlJc w:val="left"/>
      <w:lvlText w:val="%1."/>
      <w:numFmt w:val="decimal"/>
      <w:start w:val="1"/>
    </w:lvl>
  </w:abstractNum>
  <w:abstractNum w:abstractNumId="2">
    <w:nsid w:val="19FB2650"/>
    <w:multiLevelType w:val="hybridMultilevel"/>
    <w:lvl w:ilvl="0">
      <w:lvlJc w:val="left"/>
      <w:lvlText w:val="%1:"/>
      <w:numFmt w:val="upperLetter"/>
      <w:start w:val="1"/>
    </w:lvl>
  </w:abstractNum>
  <w:abstractNum w:abstractNumId="3">
    <w:nsid w:val="5024DE5B"/>
    <w:multiLevelType w:val="hybridMultilevel"/>
    <w:lvl w:ilvl="0">
      <w:lvlJc w:val="left"/>
      <w:lvlText w:val="%1:"/>
      <w:numFmt w:val="upperLetter"/>
      <w:start w:val="1"/>
    </w:lvl>
  </w:abstractNum>
  <w:abstractNum w:abstractNumId="4">
    <w:nsid w:val="168EFE17"/>
    <w:multiLevelType w:val="hybridMultilevel"/>
    <w:lvl w:ilvl="0">
      <w:lvlJc w:val="left"/>
      <w:lvlText w:val="%1:"/>
      <w:numFmt w:val="upperLetter"/>
      <w:start w:val="1"/>
    </w:lvl>
  </w:abstractNum>
  <w:abstractNum w:abstractNumId="5">
    <w:nsid w:val="1036B29F"/>
    <w:multiLevelType w:val="hybridMultilevel"/>
    <w:lvl w:ilvl="0">
      <w:lvlJc w:val="left"/>
      <w:lvlText w:val="%1:"/>
      <w:numFmt w:val="upperLetter"/>
      <w:start w:val="1"/>
    </w:lvl>
    <w:lvl w:ilvl="1">
      <w:lvlJc w:val="left"/>
      <w:lvlText w:val="●"/>
      <w:numFmt w:val="bullet"/>
      <w:start w:val="1"/>
    </w:lvl>
  </w:abstractNum>
  <w:abstractNum w:abstractNumId="6">
    <w:nsid w:val="1D206B8E"/>
    <w:multiLevelType w:val="hybridMultilevel"/>
    <w:lvl w:ilvl="0">
      <w:lvlJc w:val="left"/>
      <w:lvlText w:val="%1:"/>
      <w:numFmt w:val="upperLetter"/>
      <w:start w:val="1"/>
    </w:lvl>
    <w:lvl w:ilvl="1">
      <w:lvlJc w:val="left"/>
      <w:lvlText w:val="●"/>
      <w:numFmt w:val="bullet"/>
      <w:start w:val="1"/>
    </w:lvl>
  </w:abstractNum>
  <w:abstractNum w:abstractNumId="7">
    <w:nsid w:val="7934D3D4"/>
    <w:multiLevelType w:val="hybridMultilevel"/>
    <w:lvl w:ilvl="0">
      <w:lvlJc w:val="left"/>
      <w:lvlText w:val="%1:"/>
      <w:numFmt w:val="upperLetter"/>
      <w:start w:val="1"/>
    </w:lvl>
  </w:abstractNum>
  <w:abstractNum w:abstractNumId="8">
    <w:nsid w:val="1C65E98"/>
    <w:multiLevelType w:val="hybridMultilevel"/>
    <w:lvl w:ilvl="0">
      <w:lvlJc w:val="left"/>
      <w:lvlText w:val="%1:"/>
      <w:numFmt w:val="upperLetter"/>
      <w:start w:val="1"/>
    </w:lvl>
  </w:abstractNum>
  <w:abstractNum w:abstractNumId="9">
    <w:nsid w:val="1495E50A"/>
    <w:multiLevelType w:val="hybridMultilevel"/>
    <w:lvl w:ilvl="0">
      <w:lvlJc w:val="left"/>
      <w:lvlText w:val="%1:"/>
      <w:numFmt w:val="upperLetter"/>
      <w:start w:val="1"/>
    </w:lvl>
  </w:abstractNum>
  <w:abstractNum w:abstractNumId="10">
    <w:nsid w:val="F5BCF61"/>
    <w:multiLevelType w:val="hybridMultilevel"/>
    <w:lvl w:ilvl="0">
      <w:lvlJc w:val="left"/>
      <w:lvlText w:val="%1"/>
      <w:numFmt w:val="upperLetter"/>
      <w:start w:val="1"/>
    </w:lvl>
    <w:lvl w:ilvl="1">
      <w:lvlJc w:val="left"/>
      <w:lvlText w:val="(%2)"/>
      <w:numFmt w:val="decimal"/>
      <w:start w:val="1"/>
    </w:lvl>
  </w:abstractNum>
  <w:abstractNum w:abstractNumId="11">
    <w:nsid w:val="3B1DD403"/>
    <w:multiLevelType w:val="hybridMultilevel"/>
    <w:lvl w:ilvl="0">
      <w:lvlJc w:val="left"/>
      <w:lvlText w:val="%1:"/>
      <w:numFmt w:val="upperLetter"/>
      <w:start w:val="17"/>
    </w:lvl>
    <w:lvl w:ilvl="1">
      <w:lvlJc w:val="left"/>
      <w:lvlText w:val="%2"/>
      <w:numFmt w:val="decimal"/>
      <w:start w:val="1"/>
    </w:lvl>
  </w:abstractNum>
  <w:abstractNum w:abstractNumId="12">
    <w:nsid w:val="530386D1"/>
    <w:multiLevelType w:val="hybridMultilevel"/>
    <w:lvl w:ilvl="0">
      <w:lvlJc w:val="left"/>
      <w:lvlText w:val="%1:"/>
      <w:numFmt w:val="upperLetter"/>
      <w:start w:val="1"/>
    </w:lvl>
  </w:abstractNum>
  <w:abstractNum w:abstractNumId="13">
    <w:nsid w:val="7525F2BC"/>
    <w:multiLevelType w:val="hybridMultilevel"/>
    <w:lvl w:ilvl="0">
      <w:lvlJc w:val="left"/>
      <w:lvlText w:val="%1:"/>
      <w:numFmt w:val="upperLetter"/>
      <w:start w:val="1"/>
    </w:lvl>
    <w:lvl w:ilvl="1">
      <w:lvlJc w:val="left"/>
      <w:lvlText w:val="●"/>
      <w:numFmt w:val="bullet"/>
      <w:start w:val="1"/>
    </w:lvl>
  </w:abstractNum>
  <w:abstractNum w:abstractNumId="14">
    <w:nsid w:val="CE8E1A7"/>
    <w:multiLevelType w:val="hybridMultilevel"/>
    <w:lvl w:ilvl="0">
      <w:lvlJc w:val="left"/>
      <w:lvlText w:val="●"/>
      <w:numFmt w:val="bullet"/>
      <w:start w:val="1"/>
    </w:lvl>
  </w:abstractNum>
  <w:abstractNum w:abstractNumId="15">
    <w:nsid w:val="4E9EFB0D"/>
    <w:multiLevelType w:val="hybridMultilevel"/>
    <w:lvl w:ilvl="0">
      <w:lvlJc w:val="left"/>
      <w:lvlText w:val="%1:"/>
      <w:numFmt w:val="upperLetter"/>
      <w:start w:val="1"/>
    </w:lvl>
  </w:abstractNum>
  <w:abstractNum w:abstractNumId="16">
    <w:nsid w:val="90802BE"/>
    <w:multiLevelType w:val="hybridMultilevel"/>
    <w:lvl w:ilvl="0">
      <w:lvlJc w:val="left"/>
      <w:lvlText w:val="%1:"/>
      <w:numFmt w:val="upperLetter"/>
      <w:start w:val="1"/>
    </w:lvl>
  </w:abstractNum>
  <w:abstractNum w:abstractNumId="17">
    <w:nsid w:val="3266459B"/>
    <w:multiLevelType w:val="hybridMultilevel"/>
    <w:lvl w:ilvl="0">
      <w:lvlJc w:val="left"/>
      <w:lvlText w:val="%1:"/>
      <w:numFmt w:val="upperLetter"/>
      <w:start w:val="1"/>
    </w:lvl>
    <w:lvl w:ilvl="1">
      <w:lvlJc w:val="left"/>
      <w:lvlText w:val="●"/>
      <w:numFmt w:val="bullet"/>
      <w:start w:val="1"/>
    </w:lvl>
  </w:abstractNum>
  <w:abstractNum w:abstractNumId="18">
    <w:nsid w:val="3F8B0CBF"/>
    <w:multiLevelType w:val="hybridMultilevel"/>
    <w:lvl w:ilvl="0">
      <w:lvlJc w:val="left"/>
      <w:lvlText w:val="%1:"/>
      <w:numFmt w:val="upperLetter"/>
      <w:start w:val="1"/>
    </w:lvl>
  </w:abstractNum>
  <w:abstractNum w:abstractNumId="19">
    <w:nsid w:val="37E203AB"/>
    <w:multiLevelType w:val="hybridMultilevel"/>
    <w:lvl w:ilvl="0">
      <w:lvlJc w:val="left"/>
      <w:lvlText w:val="%1:"/>
      <w:numFmt w:val="upperLetter"/>
      <w:start w:val="17"/>
    </w:lvl>
  </w:abstractNum>
  <w:abstractNum w:abstractNumId="20">
    <w:nsid w:val="2586D60E"/>
    <w:multiLevelType w:val="hybridMultilevel"/>
    <w:lvl w:ilvl="0">
      <w:lvlJc w:val="left"/>
      <w:lvlText w:val="%1:"/>
      <w:numFmt w:val="upperLetter"/>
      <w:start w:val="1"/>
    </w:lvl>
  </w:abstractNum>
  <w:abstractNum w:abstractNumId="21">
    <w:nsid w:val="1F3DA4D5"/>
    <w:multiLevelType w:val="hybridMultilevel"/>
    <w:lvl w:ilvl="0">
      <w:lvlJc w:val="left"/>
      <w:lvlText w:val="%1:"/>
      <w:numFmt w:val="upperLetter"/>
      <w:start w:val="1"/>
    </w:lvl>
  </w:abstractNum>
  <w:abstractNum w:abstractNumId="22">
    <w:nsid w:val="74C93698"/>
    <w:multiLevelType w:val="hybridMultilevel"/>
    <w:lvl w:ilvl="0">
      <w:lvlJc w:val="left"/>
      <w:lvlText w:val="%1:"/>
      <w:numFmt w:val="upperLetter"/>
      <w:start w:val="1"/>
    </w:lvl>
    <w:lvl w:ilvl="1">
      <w:lvlJc w:val="left"/>
      <w:lvlText w:val="•"/>
      <w:numFmt w:val="bullet"/>
      <w:start w:val="1"/>
    </w:lvl>
  </w:abstractNum>
  <w:abstractNum w:abstractNumId="23">
    <w:nsid w:val="48781401"/>
    <w:multiLevelType w:val="hybridMultilevel"/>
    <w:lvl w:ilvl="0">
      <w:lvlJc w:val="left"/>
      <w:lvlText w:val="%1:"/>
      <w:numFmt w:val="upperLetter"/>
      <w:start w:val="1"/>
    </w:lvl>
  </w:abstractNum>
  <w:abstractNum w:abstractNumId="24">
    <w:nsid w:val="186928D6"/>
    <w:multiLevelType w:val="hybridMultilevel"/>
    <w:lvl w:ilvl="0">
      <w:lvlJc w:val="left"/>
      <w:lvlText w:val="%1:"/>
      <w:numFmt w:val="upperLetter"/>
      <w:start w:val="1"/>
    </w:lvl>
  </w:abstractNum>
  <w:abstractNum w:abstractNumId="25">
    <w:nsid w:val="47195E5"/>
    <w:multiLevelType w:val="hybridMultilevel"/>
    <w:lvl w:ilvl="0">
      <w:lvlJc w:val="left"/>
      <w:lvlText w:val="%1:"/>
      <w:numFmt w:val="upperLetter"/>
      <w:start w:val="1"/>
    </w:lvl>
  </w:abstractNum>
  <w:abstractNum w:abstractNumId="26">
    <w:nsid w:val="3746A5F2"/>
    <w:multiLevelType w:val="hybridMultilevel"/>
    <w:lvl w:ilvl="0">
      <w:lvlJc w:val="left"/>
      <w:lvlText w:val="%1:"/>
      <w:numFmt w:val="upperLetter"/>
      <w:start w:val="1"/>
    </w:lvl>
  </w:abstractNum>
  <w:abstractNum w:abstractNumId="27">
    <w:nsid w:val="682DFED6"/>
    <w:multiLevelType w:val="hybridMultilevel"/>
    <w:lvl w:ilvl="0">
      <w:lvlJc w:val="left"/>
      <w:lvlText w:val="%1:"/>
      <w:numFmt w:val="upperLetter"/>
      <w:start w:val="1"/>
    </w:lvl>
  </w:abstractNum>
  <w:abstractNum w:abstractNumId="28">
    <w:nsid w:val="606ED7F6"/>
    <w:multiLevelType w:val="hybridMultilevel"/>
    <w:lvl w:ilvl="0">
      <w:lvlJc w:val="left"/>
      <w:lvlText w:val="%1:"/>
      <w:numFmt w:val="upperLetter"/>
      <w:start w:val="1"/>
    </w:lvl>
  </w:abstractNum>
  <w:abstractNum w:abstractNumId="29">
    <w:nsid w:val="2D9DF57D"/>
    <w:multiLevelType w:val="hybridMultilevel"/>
    <w:lvl w:ilvl="0">
      <w:lvlJc w:val="left"/>
      <w:lvlText w:val="%1:"/>
      <w:numFmt w:val="upperLetter"/>
      <w:start w:val="1"/>
    </w:lvl>
  </w:abstractNum>
  <w:abstractNum w:abstractNumId="30">
    <w:nsid w:val="7FBD7A3E"/>
    <w:multiLevelType w:val="hybridMultilevel"/>
    <w:lvl w:ilvl="0">
      <w:lvlJc w:val="left"/>
      <w:lvlText w:val="(%1)"/>
      <w:numFmt w:val="decimal"/>
      <w:start w:val="800"/>
    </w:lvl>
    <w:lvl w:ilvl="1">
      <w:lvlJc w:val="left"/>
      <w:lvlText w:val="(%2)"/>
      <w:numFmt w:val="decimal"/>
      <w:start w:val="212"/>
    </w:lvl>
  </w:abstractNum>
  <w:abstractNum w:abstractNumId="31">
    <w:nsid w:val="490B7C5"/>
    <w:multiLevelType w:val="hybridMultilevel"/>
    <w:lvl w:ilvl="0">
      <w:lvlJc w:val="left"/>
      <w:lvlText w:val="●"/>
      <w:numFmt w:val="bullet"/>
      <w:start w:val="1"/>
    </w:lvl>
  </w:abstractNum>
  <w:abstractNum w:abstractNumId="32">
    <w:nsid w:val="4303A216"/>
    <w:multiLevelType w:val="hybridMultilevel"/>
    <w:lvl w:ilvl="0">
      <w:lvlJc w:val="left"/>
      <w:lvlText w:val="●"/>
      <w:numFmt w:val="bullet"/>
      <w:start w:val="1"/>
    </w:lvl>
  </w:abstractNum>
  <w:abstractNum w:abstractNumId="33">
    <w:nsid w:val="19B8A08E"/>
    <w:multiLevelType w:val="hybridMultilevel"/>
    <w:lvl w:ilvl="0">
      <w:lvlJc w:val="left"/>
      <w:lvlText w:val="●"/>
      <w:numFmt w:val="bullet"/>
      <w:start w:val="1"/>
    </w:lvl>
  </w:abstractNum>
  <w:abstractNum w:abstractNumId="34">
    <w:nsid w:val="54B59621"/>
    <w:multiLevelType w:val="hybridMultilevel"/>
    <w:lvl w:ilvl="0">
      <w:lvlJc w:val="left"/>
      <w:lvlText w:val="●"/>
      <w:numFmt w:val="bullet"/>
      <w:start w:val="1"/>
    </w:lvl>
  </w:abstractNum>
  <w:abstractNum w:abstractNumId="35">
    <w:nsid w:val="5992A02E"/>
    <w:multiLevelType w:val="hybridMultilevel"/>
    <w:lvl w:ilvl="0">
      <w:lvlJc w:val="left"/>
      <w:lvlText w:val="●"/>
      <w:numFmt w:val="bullet"/>
      <w:start w:val="1"/>
    </w:lvl>
  </w:abstractNum>
  <w:abstractNum w:abstractNumId="36">
    <w:nsid w:val="29EF532D"/>
    <w:multiLevelType w:val="hybridMultilevel"/>
    <w:lvl w:ilvl="0">
      <w:lvlJc w:val="left"/>
      <w:lvlText w:val="●"/>
      <w:numFmt w:val="bullet"/>
      <w:start w:val="1"/>
    </w:lvl>
  </w:abstractNum>
  <w:abstractNum w:abstractNumId="37">
    <w:nsid w:val="71D601AF"/>
    <w:multiLevelType w:val="hybridMultilevel"/>
    <w:lvl w:ilvl="0">
      <w:lvlJc w:val="left"/>
      <w:lvlText w:val="●"/>
      <w:numFmt w:val="bullet"/>
      <w:start w:val="1"/>
    </w:lvl>
  </w:abstractNum>
  <w:abstractNum w:abstractNumId="38">
    <w:nsid w:val="52C77402"/>
    <w:multiLevelType w:val="hybridMultilevel"/>
    <w:lvl w:ilvl="0">
      <w:lvlJc w:val="left"/>
      <w:lvlText w:val="●"/>
      <w:numFmt w:val="bullet"/>
      <w:start w:val="1"/>
    </w:lvl>
  </w:abstractNum>
  <w:abstractNum w:abstractNumId="39">
    <w:nsid w:val="2BB5B1C6"/>
    <w:multiLevelType w:val="hybridMultilevel"/>
    <w:lvl w:ilvl="0">
      <w:lvlJc w:val="left"/>
      <w:lvlText w:val="●"/>
      <w:numFmt w:val="bullet"/>
      <w:start w:val="1"/>
    </w:lvl>
  </w:abstractNum>
  <w:abstractNum w:abstractNumId="40">
    <w:nsid w:val="66BE6B9"/>
    <w:multiLevelType w:val="hybridMultilevel"/>
    <w:lvl w:ilvl="0">
      <w:lvlJc w:val="left"/>
      <w:lvlText w:val="●"/>
      <w:numFmt w:val="bullet"/>
      <w:start w:val="1"/>
    </w:lvl>
  </w:abstractNum>
  <w:abstractNum w:abstractNumId="41">
    <w:nsid w:val="62234363"/>
    <w:multiLevelType w:val="hybridMultilevel"/>
    <w:lvl w:ilvl="0">
      <w:lvlJc w:val="left"/>
      <w:lvlText w:val="●"/>
      <w:numFmt w:val="bullet"/>
      <w:start w:val="1"/>
    </w:lvl>
  </w:abstractNum>
  <w:abstractNum w:abstractNumId="42">
    <w:nsid w:val="66D385C9"/>
    <w:multiLevelType w:val="hybridMultilevel"/>
    <w:lvl w:ilvl="0">
      <w:lvlJc w:val="left"/>
      <w:lvlText w:val="1"/>
      <w:numFmt w:val="bullet"/>
      <w:start w:val="1"/>
    </w:lvl>
  </w:abstractNum>
  <w:abstractNum w:abstractNumId="43">
    <w:nsid w:val="596F6D8A"/>
    <w:multiLevelType w:val="hybridMultilevel"/>
    <w:lvl w:ilvl="0">
      <w:lvlJc w:val="left"/>
      <w:lvlText w:val="2"/>
      <w:numFmt w:val="bullet"/>
      <w:start w:val="1"/>
    </w:lvl>
  </w:abstractNum>
  <w:abstractNum w:abstractNumId="44">
    <w:nsid w:val="5749361F"/>
    <w:multiLevelType w:val="hybridMultilevel"/>
    <w:lvl w:ilvl="0">
      <w:lvlJc w:val="left"/>
      <w:lvlText w:val="3"/>
      <w:numFmt w:val="bullet"/>
      <w:start w:val="1"/>
    </w:lvl>
  </w:abstractNum>
  <w:abstractNum w:abstractNumId="45">
    <w:nsid w:val="73BC6770"/>
    <w:multiLevelType w:val="hybridMultilevel"/>
    <w:lvl w:ilvl="0">
      <w:lvlJc w:val="left"/>
      <w:lvlText w:val="4"/>
      <w:numFmt w:val="bullet"/>
      <w:start w:val="1"/>
    </w:lvl>
  </w:abstractNum>
  <w:abstractNum w:abstractNumId="46">
    <w:nsid w:val="280E6897"/>
    <w:multiLevelType w:val="hybridMultilevel"/>
    <w:lvl w:ilvl="0">
      <w:lvlJc w:val="left"/>
      <w:lvlText w:val="●"/>
      <w:numFmt w:val="bullet"/>
      <w:start w:val="1"/>
    </w:lvl>
  </w:abstractNum>
  <w:abstractNum w:abstractNumId="47">
    <w:nsid w:val="605138DE"/>
    <w:multiLevelType w:val="hybridMultilevel"/>
    <w:lvl w:ilvl="0">
      <w:lvlJc w:val="left"/>
      <w:lvlText w:val="●"/>
      <w:numFmt w:val="bullet"/>
      <w:start w:val="1"/>
    </w:lvl>
  </w:abstractNum>
  <w:abstractNum w:abstractNumId="48">
    <w:nsid w:val="2622AD0C"/>
    <w:multiLevelType w:val="hybridMultilevel"/>
    <w:lvl w:ilvl="0">
      <w:lvlJc w:val="left"/>
      <w:lvlText w:val="●"/>
      <w:numFmt w:val="bullet"/>
      <w:start w:val="1"/>
    </w:lvl>
  </w:abstractNum>
  <w:abstractNum w:abstractNumId="49">
    <w:nsid w:val="67997556"/>
    <w:multiLevelType w:val="hybridMultilevel"/>
    <w:lvl w:ilvl="0">
      <w:lvlJc w:val="left"/>
      <w:lvlText w:val="●"/>
      <w:numFmt w:val="bullet"/>
      <w:start w:val="1"/>
    </w:lvl>
  </w:abstractNum>
  <w:abstractNum w:abstractNumId="50">
    <w:nsid w:val="18333C89"/>
    <w:multiLevelType w:val="hybridMultilevel"/>
    <w:lvl w:ilvl="0">
      <w:lvlJc w:val="left"/>
      <w:lvlText w:val="●"/>
      <w:numFmt w:val="bullet"/>
      <w:start w:val="1"/>
    </w:lvl>
  </w:abstractNum>
  <w:abstractNum w:abstractNumId="51">
    <w:nsid w:val="4BA9831A"/>
    <w:multiLevelType w:val="hybridMultilevel"/>
    <w:lvl w:ilvl="0">
      <w:lvlJc w:val="left"/>
      <w:lvlText w:val="●"/>
      <w:numFmt w:val="bullet"/>
      <w:start w:val="1"/>
    </w:lvl>
  </w:abstractNum>
  <w:abstractNum w:abstractNumId="52">
    <w:nsid w:val="6D71A2B"/>
    <w:multiLevelType w:val="hybridMultilevel"/>
    <w:lvl w:ilvl="0">
      <w:lvlJc w:val="left"/>
      <w:lvlText w:val="●"/>
      <w:numFmt w:val="bullet"/>
      <w:start w:val="1"/>
    </w:lvl>
  </w:abstractNum>
  <w:abstractNum w:abstractNumId="53">
    <w:nsid w:val="CFC7321"/>
    <w:multiLevelType w:val="hybridMultilevel"/>
    <w:lvl w:ilvl="0">
      <w:lvlJc w:val="left"/>
      <w:lvlText w:val="●"/>
      <w:numFmt w:val="bullet"/>
      <w:start w:val="1"/>
    </w:lvl>
  </w:abstractNum>
  <w:abstractNum w:abstractNumId="54">
    <w:nsid w:val="1421971B"/>
    <w:multiLevelType w:val="hybridMultilevel"/>
    <w:lvl w:ilvl="0">
      <w:lvlJc w:val="left"/>
      <w:lvlText w:val="●"/>
      <w:numFmt w:val="bullet"/>
      <w:start w:val="1"/>
    </w:lvl>
  </w:abstractNum>
  <w:abstractNum w:abstractNumId="55">
    <w:nsid w:val="1F404301"/>
    <w:multiLevelType w:val="hybridMultilevel"/>
    <w:lvl w:ilvl="0">
      <w:lvlJc w:val="left"/>
      <w:lvlText w:val="●"/>
      <w:numFmt w:val="bullet"/>
      <w:start w:val="1"/>
    </w:lvl>
  </w:abstractNum>
  <w:abstractNum w:abstractNumId="56">
    <w:nsid w:val="116E0907"/>
    <w:multiLevelType w:val="hybridMultilevel"/>
    <w:lvl w:ilvl="0">
      <w:lvlJc w:val="left"/>
      <w:lvlText w:val="●"/>
      <w:numFmt w:val="bullet"/>
      <w:start w:val="1"/>
    </w:lvl>
  </w:abstractNum>
  <w:abstractNum w:abstractNumId="57">
    <w:nsid w:val="4B683D0D"/>
    <w:multiLevelType w:val="hybridMultilevel"/>
    <w:lvl w:ilvl="0">
      <w:lvlJc w:val="left"/>
      <w:lvlText w:val="●"/>
      <w:numFmt w:val="bullet"/>
      <w:start w:val="1"/>
    </w:lvl>
  </w:abstractNum>
  <w:abstractNum w:abstractNumId="58">
    <w:nsid w:val="76E41D8"/>
    <w:multiLevelType w:val="hybridMultilevel"/>
    <w:lvl w:ilvl="0">
      <w:lvlJc w:val="left"/>
      <w:lvlText w:val="●"/>
      <w:numFmt w:val="bullet"/>
      <w:start w:val="1"/>
    </w:lvl>
  </w:abstractNum>
  <w:abstractNum w:abstractNumId="59">
    <w:nsid w:val="71DCE0FD"/>
    <w:multiLevelType w:val="hybridMultilevel"/>
    <w:lvl w:ilvl="0">
      <w:lvlJc w:val="left"/>
      <w:lvlText w:val="●"/>
      <w:numFmt w:val="bullet"/>
      <w:start w:val="1"/>
    </w:lvl>
  </w:abstractNum>
  <w:abstractNum w:abstractNumId="60">
    <w:nsid w:val="7906328B"/>
    <w:multiLevelType w:val="hybridMultilevel"/>
    <w:lvl w:ilvl="0">
      <w:lvlJc w:val="left"/>
      <w:lvlText w:val="●"/>
      <w:numFmt w:val="bullet"/>
      <w:start w:val="1"/>
    </w:lvl>
  </w:abstractNum>
  <w:abstractNum w:abstractNumId="61">
    <w:nsid w:val="72BBC16"/>
    <w:multiLevelType w:val="hybridMultilevel"/>
    <w:lvl w:ilvl="0">
      <w:lvlJc w:val="left"/>
      <w:lvlText w:val="●"/>
      <w:numFmt w:val="bullet"/>
      <w:start w:val="1"/>
    </w:lvl>
  </w:abstractNum>
  <w:abstractNum w:abstractNumId="62">
    <w:nsid w:val="766D98C2"/>
    <w:multiLevelType w:val="hybridMultilevel"/>
    <w:lvl w:ilvl="0">
      <w:lvlJc w:val="left"/>
      <w:lvlText w:val="●"/>
      <w:numFmt w:val="bullet"/>
      <w:start w:val="1"/>
    </w:lvl>
  </w:abstractNum>
  <w:abstractNum w:abstractNumId="63">
    <w:nsid w:val="3C09D4A1"/>
    <w:multiLevelType w:val="hybridMultilevel"/>
    <w:lvl w:ilvl="0">
      <w:lvlJc w:val="left"/>
      <w:lvlText w:val="●"/>
      <w:numFmt w:val="bullet"/>
      <w:start w:val="1"/>
    </w:lvl>
  </w:abstractNum>
  <w:abstractNum w:abstractNumId="64">
    <w:nsid w:val="20E45CA4"/>
    <w:multiLevelType w:val="hybridMultilevel"/>
    <w:lvl w:ilvl="0">
      <w:lvlJc w:val="left"/>
      <w:lvlText w:val="●"/>
      <w:numFmt w:val="bullet"/>
      <w:start w:val="1"/>
    </w:lvl>
  </w:abstractNum>
  <w:abstractNum w:abstractNumId="65">
    <w:nsid w:val="4B232EE3"/>
    <w:multiLevelType w:val="hybridMultilevel"/>
    <w:lvl w:ilvl="0">
      <w:lvlJc w:val="left"/>
      <w:lvlText w:val="●"/>
      <w:numFmt w:val="bullet"/>
      <w:start w:val="1"/>
    </w:lvl>
  </w:abstractNum>
  <w:abstractNum w:abstractNumId="66">
    <w:nsid w:val="159C74CF"/>
    <w:multiLevelType w:val="hybridMultilevel"/>
    <w:lvl w:ilvl="0">
      <w:lvlJc w:val="left"/>
      <w:lvlText w:val="●"/>
      <w:numFmt w:val="bullet"/>
      <w:start w:val="1"/>
    </w:lvl>
  </w:abstractNum>
  <w:abstractNum w:abstractNumId="67">
    <w:nsid w:val="4AD3AFD2"/>
    <w:multiLevelType w:val="hybridMultilevel"/>
    <w:lvl w:ilvl="0">
      <w:lvlJc w:val="left"/>
      <w:lvlText w:val="●"/>
      <w:numFmt w:val="bullet"/>
      <w:start w:val="1"/>
    </w:lvl>
  </w:abstractNum>
  <w:abstractNum w:abstractNumId="68">
    <w:nsid w:val="3CF93092"/>
    <w:multiLevelType w:val="hybridMultilevel"/>
    <w:lvl w:ilvl="0">
      <w:lvlJc w:val="left"/>
      <w:lvlText w:val="●"/>
      <w:numFmt w:val="bullet"/>
      <w:start w:val="1"/>
    </w:lvl>
  </w:abstractNum>
  <w:abstractNum w:abstractNumId="69">
    <w:nsid w:val="6863E8D2"/>
    <w:multiLevelType w:val="hybridMultilevel"/>
    <w:lvl w:ilvl="0">
      <w:lvlJc w:val="left"/>
      <w:lvlText w:val="●"/>
      <w:numFmt w:val="bullet"/>
      <w:start w:val="1"/>
    </w:lvl>
  </w:abstractNum>
  <w:abstractNum w:abstractNumId="70">
    <w:nsid w:val="76896198"/>
    <w:multiLevelType w:val="hybridMultilevel"/>
    <w:lvl w:ilvl="0">
      <w:lvlJc w:val="left"/>
      <w:lvlText w:val="●"/>
      <w:numFmt w:val="bullet"/>
      <w:start w:val="1"/>
    </w:lvl>
    <w:lvl w:ilvl="1">
      <w:lvlJc w:val="left"/>
      <w:lvlText w:val="●"/>
      <w:numFmt w:val="bullet"/>
      <w:start w:val="1"/>
    </w:lvl>
  </w:abstractNum>
  <w:abstractNum w:abstractNumId="71">
    <w:nsid w:val="4365174B"/>
    <w:multiLevelType w:val="hybridMultilevel"/>
    <w:lvl w:ilvl="0">
      <w:lvlJc w:val="left"/>
      <w:lvlText w:val="●"/>
      <w:numFmt w:val="bullet"/>
      <w:start w:val="1"/>
    </w:lvl>
  </w:abstractNum>
  <w:abstractNum w:abstractNumId="72">
    <w:nsid w:val="4A872C35"/>
    <w:multiLevelType w:val="hybridMultilevel"/>
    <w:lvl w:ilvl="0">
      <w:lvlJc w:val="left"/>
      <w:lvlText w:val="●"/>
      <w:numFmt w:val="bullet"/>
      <w:start w:val="1"/>
    </w:lvl>
  </w:abstractNum>
  <w:abstractNum w:abstractNumId="73">
    <w:nsid w:val="5D5CE761"/>
    <w:multiLevelType w:val="hybridMultilevel"/>
    <w:lvl w:ilvl="0">
      <w:lvlJc w:val="left"/>
      <w:lvlText w:val="●"/>
      <w:numFmt w:val="bullet"/>
      <w:start w:val="1"/>
    </w:lvl>
  </w:abstractNum>
  <w:abstractNum w:abstractNumId="74">
    <w:nsid w:val="1CD484D5"/>
    <w:multiLevelType w:val="hybridMultilevel"/>
    <w:lvl w:ilvl="0">
      <w:lvlJc w:val="left"/>
      <w:lvlText w:val="●"/>
      <w:numFmt w:val="bullet"/>
      <w:start w:val="1"/>
    </w:lvl>
  </w:abstractNum>
  <w:abstractNum w:abstractNumId="75">
    <w:nsid w:val="21D06255"/>
    <w:multiLevelType w:val="hybridMultilevel"/>
    <w:lvl w:ilvl="0">
      <w:lvlJc w:val="left"/>
      <w:lvlText w:val="●"/>
      <w:numFmt w:val="bullet"/>
      <w:start w:val="1"/>
    </w:lvl>
  </w:abstractNum>
  <w:abstractNum w:abstractNumId="76">
    <w:nsid w:val="51194ED1"/>
    <w:multiLevelType w:val="hybridMultilevel"/>
    <w:lvl w:ilvl="0">
      <w:lvlJc w:val="left"/>
      <w:lvlText w:val="●"/>
      <w:numFmt w:val="bullet"/>
      <w:start w:val="1"/>
    </w:lvl>
  </w:abstractNum>
  <w:abstractNum w:abstractNumId="77">
    <w:nsid w:val="44E2ED6C"/>
    <w:multiLevelType w:val="hybridMultilevel"/>
    <w:lvl w:ilvl="0">
      <w:lvlJc w:val="left"/>
      <w:lvlText w:val="●"/>
      <w:numFmt w:val="bullet"/>
      <w:start w:val="1"/>
    </w:lvl>
  </w:abstractNum>
  <w:abstractNum w:abstractNumId="78">
    <w:nsid w:val="2219B33"/>
    <w:multiLevelType w:val="hybridMultilevel"/>
    <w:lvl w:ilvl="0">
      <w:lvlJc w:val="left"/>
      <w:lvlText w:val="●"/>
      <w:numFmt w:val="bullet"/>
      <w:start w:val="1"/>
    </w:lvl>
  </w:abstractNum>
  <w:abstractNum w:abstractNumId="79">
    <w:nsid w:val="773BFBDD"/>
    <w:multiLevelType w:val="hybridMultilevel"/>
    <w:lvl w:ilvl="0">
      <w:lvlJc w:val="left"/>
      <w:lvlText w:val="●"/>
      <w:numFmt w:val="bullet"/>
      <w:start w:val="1"/>
    </w:lvl>
  </w:abstractNum>
  <w:abstractNum w:abstractNumId="80">
    <w:nsid w:val="2C7C62C2"/>
    <w:multiLevelType w:val="hybridMultilevel"/>
    <w:lvl w:ilvl="0">
      <w:lvlJc w:val="left"/>
      <w:lvlText w:val="●"/>
      <w:numFmt w:val="bullet"/>
      <w:start w:val="1"/>
    </w:lvl>
  </w:abstractNum>
  <w:abstractNum w:abstractNumId="81">
    <w:nsid w:val="1A54D7BC"/>
    <w:multiLevelType w:val="hybridMultilevel"/>
    <w:lvl w:ilvl="0">
      <w:lvlJc w:val="left"/>
      <w:lvlText w:val="●"/>
      <w:numFmt w:val="bullet"/>
      <w:start w:val="1"/>
    </w:lvl>
  </w:abstractNum>
  <w:abstractNum w:abstractNumId="82">
    <w:nsid w:val="42E57EF7"/>
    <w:multiLevelType w:val="hybridMultilevel"/>
    <w:lvl w:ilvl="0">
      <w:lvlJc w:val="left"/>
      <w:lvlText w:val="●"/>
      <w:numFmt w:val="bullet"/>
      <w:start w:val="1"/>
    </w:lvl>
  </w:abstractNum>
  <w:abstractNum w:abstractNumId="83">
    <w:nsid w:val="33537CED"/>
    <w:multiLevelType w:val="hybridMultilevel"/>
    <w:lvl w:ilvl="0">
      <w:lvlJc w:val="left"/>
      <w:lvlText w:val="●"/>
      <w:numFmt w:val="bullet"/>
      <w:start w:val="1"/>
    </w:lvl>
  </w:abstractNum>
  <w:abstractNum w:abstractNumId="84">
    <w:nsid w:val="27514ADE"/>
    <w:multiLevelType w:val="hybridMultilevel"/>
    <w:lvl w:ilvl="0">
      <w:lvlJc w:val="left"/>
      <w:lvlText w:val="●"/>
      <w:numFmt w:val="bullet"/>
      <w:start w:val="1"/>
    </w:lvl>
  </w:abstractNum>
  <w:abstractNum w:abstractNumId="85">
    <w:nsid w:val="57071613"/>
    <w:multiLevelType w:val="hybridMultilevel"/>
    <w:lvl w:ilvl="0">
      <w:lvlJc w:val="left"/>
      <w:lvlText w:val="●"/>
      <w:numFmt w:val="bullet"/>
      <w:start w:val="1"/>
    </w:lvl>
  </w:abstractNum>
  <w:abstractNum w:abstractNumId="86">
    <w:nsid w:val="5293BFEF"/>
    <w:multiLevelType w:val="hybridMultilevel"/>
    <w:lvl w:ilvl="0">
      <w:lvlJc w:val="left"/>
      <w:lvlText w:val="●"/>
      <w:numFmt w:val="bullet"/>
      <w:start w:val="1"/>
    </w:lvl>
  </w:abstractNum>
  <w:abstractNum w:abstractNumId="87">
    <w:nsid w:val="38BF53E5"/>
    <w:multiLevelType w:val="hybridMultilevel"/>
    <w:lvl w:ilvl="0">
      <w:lvlJc w:val="left"/>
      <w:lvlText w:val="●"/>
      <w:numFmt w:val="bullet"/>
      <w:start w:val="1"/>
    </w:lvl>
  </w:abstractNum>
  <w:abstractNum w:abstractNumId="88">
    <w:nsid w:val="226F5320"/>
    <w:multiLevelType w:val="hybridMultilevel"/>
    <w:lvl w:ilvl="0">
      <w:lvlJc w:val="left"/>
      <w:lvlText w:val="%1."/>
      <w:numFmt w:val="decimal"/>
      <w:start w:val="1"/>
    </w:lvl>
  </w:abstractNum>
  <w:abstractNum w:abstractNumId="89">
    <w:nsid w:val="5A0201C7"/>
    <w:multiLevelType w:val="hybridMultilevel"/>
    <w:lvl w:ilvl="0">
      <w:lvlJc w:val="left"/>
      <w:lvlText w:val="●"/>
      <w:numFmt w:val="bullet"/>
      <w:start w:val="1"/>
    </w:lvl>
  </w:abstractNum>
  <w:abstractNum w:abstractNumId="90">
    <w:nsid w:val="2A9C34E2"/>
    <w:multiLevelType w:val="hybridMultilevel"/>
    <w:lvl w:ilvl="0">
      <w:lvlJc w:val="left"/>
      <w:lvlText w:val="●"/>
      <w:numFmt w:val="bullet"/>
      <w:start w:val="1"/>
    </w:lvl>
  </w:abstractNum>
  <w:abstractNum w:abstractNumId="91">
    <w:nsid w:val="1B7585AB"/>
    <w:multiLevelType w:val="hybridMultilevel"/>
    <w:lvl w:ilvl="0">
      <w:lvlJc w:val="left"/>
      <w:lvlText w:val="●"/>
      <w:numFmt w:val="bullet"/>
      <w:start w:val="1"/>
    </w:lvl>
  </w:abstractNum>
  <w:abstractNum w:abstractNumId="92">
    <w:nsid w:val="612DBDDD"/>
    <w:multiLevelType w:val="hybridMultilevel"/>
    <w:lvl w:ilvl="0">
      <w:lvlJc w:val="left"/>
      <w:lvlText w:val="1"/>
      <w:numFmt w:val="bullet"/>
      <w:start w:val="1"/>
    </w:lvl>
  </w:abstractNum>
  <w:abstractNum w:abstractNumId="93">
    <w:nsid w:val="2109CDA4"/>
    <w:multiLevelType w:val="hybridMultilevel"/>
    <w:lvl w:ilvl="0">
      <w:lvlJc w:val="left"/>
      <w:lvlText w:val="2"/>
      <w:numFmt w:val="bullet"/>
      <w:start w:val="1"/>
    </w:lvl>
  </w:abstractNum>
  <w:abstractNum w:abstractNumId="94">
    <w:nsid w:val="577F5A4D"/>
    <w:multiLevelType w:val="hybridMultilevel"/>
    <w:lvl w:ilvl="0">
      <w:lvlJc w:val="left"/>
      <w:lvlText w:val="3"/>
      <w:numFmt w:val="bullet"/>
      <w:start w:val="1"/>
    </w:lvl>
  </w:abstractNum>
  <w:abstractNum w:abstractNumId="95">
    <w:nsid w:val="2121A81"/>
    <w:multiLevelType w:val="hybridMultilevel"/>
    <w:lvl w:ilvl="0">
      <w:lvlJc w:val="left"/>
      <w:lvlText w:val="4"/>
      <w:numFmt w:val="bullet"/>
      <w:start w:val="1"/>
    </w:lvl>
  </w:abstractNum>
  <w:abstractNum w:abstractNumId="96">
    <w:nsid w:val="6C2CFC88"/>
    <w:multiLevelType w:val="hybridMultilevel"/>
    <w:lvl w:ilvl="0">
      <w:lvlJc w:val="left"/>
      <w:lvlText w:val="●"/>
      <w:numFmt w:val="bullet"/>
      <w:start w:val="1"/>
    </w:lvl>
  </w:abstractNum>
  <w:abstractNum w:abstractNumId="97">
    <w:nsid w:val="6D1BCF1C"/>
    <w:multiLevelType w:val="hybridMultilevel"/>
    <w:lvl w:ilvl="0">
      <w:lvlJc w:val="left"/>
      <w:lvlText w:val="●"/>
      <w:numFmt w:val="bullet"/>
      <w:start w:val="1"/>
    </w:lvl>
  </w:abstractNum>
  <w:abstractNum w:abstractNumId="98">
    <w:nsid w:val="4CE5CA53"/>
    <w:multiLevelType w:val="hybridMultilevel"/>
    <w:lvl w:ilvl="0">
      <w:lvlJc w:val="left"/>
      <w:lvlText w:val="●"/>
      <w:numFmt w:val="bullet"/>
      <w:start w:val="1"/>
    </w:lvl>
  </w:abstractNum>
  <w:abstractNum w:abstractNumId="99">
    <w:nsid w:val="29262D1A"/>
    <w:multiLevelType w:val="hybridMultilevel"/>
    <w:lvl w:ilvl="0">
      <w:lvlJc w:val="left"/>
      <w:lvlText w:val="●"/>
      <w:numFmt w:val="bullet"/>
      <w:start w:val="1"/>
    </w:lvl>
  </w:abstractNum>
  <w:abstractNum w:abstractNumId="100">
    <w:nsid w:val="557FB7EE"/>
    <w:multiLevelType w:val="hybridMultilevel"/>
    <w:lvl w:ilvl="0">
      <w:lvlJc w:val="left"/>
      <w:lvlText w:val="●"/>
      <w:numFmt w:val="bullet"/>
      <w:start w:val="1"/>
    </w:lvl>
  </w:abstractNum>
  <w:abstractNum w:abstractNumId="101">
    <w:nsid w:val="436F2BEB"/>
    <w:multiLevelType w:val="hybridMultilevel"/>
    <w:lvl w:ilvl="0">
      <w:lvlJc w:val="left"/>
      <w:lvlText w:val="●"/>
      <w:numFmt w:val="bullet"/>
      <w:start w:val="1"/>
    </w:lvl>
  </w:abstractNum>
  <w:abstractNum w:abstractNumId="102">
    <w:nsid w:val="6C8B4466"/>
    <w:multiLevelType w:val="hybridMultilevel"/>
    <w:lvl w:ilvl="0">
      <w:lvlJc w:val="left"/>
      <w:lvlText w:val="●"/>
      <w:numFmt w:val="bullet"/>
      <w:start w:val="1"/>
    </w:lvl>
  </w:abstractNum>
  <w:abstractNum w:abstractNumId="103">
    <w:nsid w:val="2006E424"/>
    <w:multiLevelType w:val="hybridMultilevel"/>
    <w:lvl w:ilvl="0">
      <w:lvlJc w:val="left"/>
      <w:lvlText w:val="●"/>
      <w:numFmt w:val="bullet"/>
      <w:start w:val="1"/>
    </w:lvl>
  </w:abstractNum>
  <w:abstractNum w:abstractNumId="104">
    <w:nsid w:val="20CC134C"/>
    <w:multiLevelType w:val="hybridMultilevel"/>
    <w:lvl w:ilvl="0">
      <w:lvlJc w:val="left"/>
      <w:lvlText w:val="●"/>
      <w:numFmt w:val="bullet"/>
      <w:start w:val="1"/>
    </w:lvl>
    <w:lvl w:ilvl="1">
      <w:lvlJc w:val="left"/>
      <w:lvlText w:val="●"/>
      <w:numFmt w:val="bullet"/>
      <w:start w:val="1"/>
    </w:lvl>
  </w:abstractNum>
  <w:abstractNum w:abstractNumId="105">
    <w:nsid w:val="95FC93B"/>
    <w:multiLevelType w:val="hybridMultilevel"/>
    <w:lvl w:ilvl="0">
      <w:lvlJc w:val="left"/>
      <w:lvlText w:val="●"/>
      <w:numFmt w:val="bullet"/>
      <w:start w:val="1"/>
    </w:lvl>
  </w:abstractNum>
  <w:abstractNum w:abstractNumId="106">
    <w:nsid w:val="41D74679"/>
    <w:multiLevelType w:val="hybridMultilevel"/>
    <w:lvl w:ilvl="0">
      <w:lvlJc w:val="left"/>
      <w:lvlText w:val="●"/>
      <w:numFmt w:val="bullet"/>
      <w:start w:val="1"/>
    </w:lvl>
  </w:abstractNum>
  <w:abstractNum w:abstractNumId="107">
    <w:nsid w:val="71E5621E"/>
    <w:multiLevelType w:val="hybridMultilevel"/>
    <w:lvl w:ilvl="0">
      <w:lvlJc w:val="left"/>
      <w:lvlText w:val="●"/>
      <w:numFmt w:val="bullet"/>
      <w:start w:val="1"/>
    </w:lvl>
  </w:abstractNum>
  <w:abstractNum w:abstractNumId="108">
    <w:nsid w:val="4E42B6A8"/>
    <w:multiLevelType w:val="hybridMultilevel"/>
    <w:lvl w:ilvl="0">
      <w:lvlJc w:val="left"/>
      <w:lvlText w:val="●"/>
      <w:numFmt w:val="bullet"/>
      <w:start w:val="1"/>
    </w:lvl>
  </w:abstractNum>
  <w:abstractNum w:abstractNumId="109">
    <w:nsid w:val="43F8E1AC"/>
    <w:multiLevelType w:val="hybridMultilevel"/>
    <w:lvl w:ilvl="0">
      <w:lvlJc w:val="left"/>
      <w:lvlText w:val="(%1)"/>
      <w:numFmt w:val="lowerRoman"/>
      <w:start w:val="2"/>
    </w:lvl>
  </w:abstractNum>
  <w:abstractNum w:abstractNumId="110">
    <w:nsid w:val="69215DFB"/>
    <w:multiLevelType w:val="hybridMultilevel"/>
    <w:lvl w:ilvl="0">
      <w:lvlJc w:val="left"/>
      <w:lvlText w:val="(%1)"/>
      <w:numFmt w:val="decimal"/>
      <w:start w:val="1"/>
    </w:lvl>
  </w:abstractNum>
  <w:abstractNum w:abstractNumId="111">
    <w:nsid w:val="7ABF196A"/>
    <w:multiLevelType w:val="hybridMultilevel"/>
    <w:lvl w:ilvl="0">
      <w:lvlJc w:val="left"/>
      <w:lvlText w:val="(%1)"/>
      <w:numFmt w:val="decimal"/>
      <w:start w:val="1"/>
    </w:lvl>
  </w:abstractNum>
  <w:abstractNum w:abstractNumId="112">
    <w:nsid w:val="5E4DB968"/>
    <w:multiLevelType w:val="hybridMultilevel"/>
    <w:lvl w:ilvl="0">
      <w:lvlJc w:val="left"/>
      <w:lvlText w:val="(%1)"/>
      <w:numFmt w:val="decimal"/>
      <w:start w:val="1"/>
    </w:lvl>
  </w:abstractNum>
  <w:abstractNum w:abstractNumId="113">
    <w:nsid w:val="2C06DCF3"/>
    <w:multiLevelType w:val="hybridMultilevel"/>
    <w:lvl w:ilvl="0">
      <w:lvlJc w:val="left"/>
      <w:lvlText w:val="(%1)"/>
      <w:numFmt w:val="decimal"/>
      <w:start w:val="1"/>
    </w:lvl>
  </w:abstractNum>
  <w:abstractNum w:abstractNumId="114">
    <w:nsid w:val="2E129658"/>
    <w:multiLevelType w:val="hybridMultilevel"/>
    <w:lvl w:ilvl="0">
      <w:lvlJc w:val="left"/>
      <w:lvlText w:val="●"/>
      <w:numFmt w:val="bullet"/>
      <w:start w:val="1"/>
    </w:lvl>
  </w:abstractNum>
  <w:abstractNum w:abstractNumId="115">
    <w:nsid w:val="59F0446"/>
    <w:multiLevelType w:val="hybridMultilevel"/>
    <w:lvl w:ilvl="0">
      <w:lvlJc w:val="left"/>
      <w:lvlText w:val="●"/>
      <w:numFmt w:val="bullet"/>
      <w:start w:val="1"/>
    </w:lvl>
  </w:abstractNum>
  <w:abstractNum w:abstractNumId="116">
    <w:nsid w:val="30DF306"/>
    <w:multiLevelType w:val="hybridMultilevel"/>
    <w:lvl w:ilvl="0">
      <w:lvlJc w:val="left"/>
      <w:lvlText w:val="●"/>
      <w:numFmt w:val="bullet"/>
      <w:start w:val="1"/>
    </w:lvl>
  </w:abstractNum>
  <w:abstractNum w:abstractNumId="117">
    <w:nsid w:val="A65647"/>
    <w:multiLevelType w:val="hybridMultilevel"/>
    <w:lvl w:ilvl="0">
      <w:lvlJc w:val="left"/>
      <w:lvlText w:val="●"/>
      <w:numFmt w:val="bullet"/>
      <w:start w:val="1"/>
    </w:lvl>
  </w:abstractNum>
  <w:abstractNum w:abstractNumId="118">
    <w:nsid w:val="3E5E582B"/>
    <w:multiLevelType w:val="hybridMultilevel"/>
    <w:lvl w:ilvl="0">
      <w:lvlJc w:val="left"/>
      <w:lvlText w:val="●"/>
      <w:numFmt w:val="bullet"/>
      <w:start w:val="1"/>
    </w:lvl>
  </w:abstractNum>
  <w:abstractNum w:abstractNumId="119">
    <w:nsid w:val="257D4626"/>
    <w:multiLevelType w:val="hybridMultilevel"/>
    <w:lvl w:ilvl="0">
      <w:lvlJc w:val="left"/>
      <w:lvlText w:val="●"/>
      <w:numFmt w:val="bullet"/>
      <w:start w:val="1"/>
    </w:lvl>
  </w:abstractNum>
  <w:abstractNum w:abstractNumId="120">
    <w:nsid w:val="5AA8580E"/>
    <w:multiLevelType w:val="hybridMultilevel"/>
    <w:lvl w:ilvl="0">
      <w:lvlJc w:val="left"/>
      <w:lvlText w:val="●"/>
      <w:numFmt w:val="bullet"/>
      <w:start w:val="1"/>
    </w:lvl>
  </w:abstractNum>
  <w:abstractNum w:abstractNumId="121">
    <w:nsid w:val="68FA8D0D"/>
    <w:multiLevelType w:val="hybridMultilevel"/>
    <w:lvl w:ilvl="0">
      <w:lvlJc w:val="left"/>
      <w:lvlText w:val="●"/>
      <w:numFmt w:val="bullet"/>
      <w:start w:val="1"/>
    </w:lvl>
  </w:abstractNum>
  <w:abstractNum w:abstractNumId="122">
    <w:nsid w:val="40F2CBD2"/>
    <w:multiLevelType w:val="hybridMultilevel"/>
    <w:lvl w:ilvl="0">
      <w:lvlJc w:val="left"/>
      <w:lvlText w:val="●"/>
      <w:numFmt w:val="bullet"/>
      <w:start w:val="1"/>
    </w:lvl>
  </w:abstractNum>
  <w:abstractNum w:abstractNumId="123">
    <w:nsid w:val="3BD615EB"/>
    <w:multiLevelType w:val="hybridMultilevel"/>
    <w:lvl w:ilvl="0">
      <w:lvlJc w:val="left"/>
      <w:lvlText w:val="●"/>
      <w:numFmt w:val="bullet"/>
      <w:start w:val="1"/>
    </w:lvl>
    <w:lvl w:ilvl="1">
      <w:lvlJc w:val="left"/>
      <w:lvlText w:val="●"/>
      <w:numFmt w:val="bullet"/>
      <w:start w:val="1"/>
    </w:lvl>
  </w:abstractNum>
  <w:abstractNum w:abstractNumId="124">
    <w:nsid w:val="A045AB2"/>
    <w:multiLevelType w:val="hybridMultilevel"/>
    <w:lvl w:ilvl="0">
      <w:lvlJc w:val="left"/>
      <w:lvlText w:val="●"/>
      <w:numFmt w:val="bullet"/>
      <w:start w:val="1"/>
    </w:lvl>
  </w:abstractNum>
  <w:abstractNum w:abstractNumId="125">
    <w:nsid w:val="1872261F"/>
    <w:multiLevelType w:val="hybridMultilevel"/>
    <w:lvl w:ilvl="0">
      <w:lvlJc w:val="left"/>
      <w:lvlText w:val="●"/>
      <w:numFmt w:val="bullet"/>
      <w:start w:val="1"/>
    </w:lvl>
    <w:lvl w:ilvl="1">
      <w:lvlJc w:val="left"/>
      <w:lvlText w:val="●"/>
      <w:numFmt w:val="bullet"/>
      <w:start w:val="1"/>
    </w:lvl>
  </w:abstractNum>
  <w:abstractNum w:abstractNumId="126">
    <w:nsid w:val="3DE8306C"/>
    <w:multiLevelType w:val="hybridMultilevel"/>
    <w:lvl w:ilvl="0">
      <w:lvlJc w:val="left"/>
      <w:lvlText w:val="●"/>
      <w:numFmt w:val="bullet"/>
      <w:start w:val="1"/>
    </w:lvl>
    <w:lvl w:ilvl="1">
      <w:lvlJc w:val="left"/>
      <w:lvlText w:val="●"/>
      <w:numFmt w:val="bullet"/>
      <w:start w:val="1"/>
    </w:lvl>
  </w:abstractNum>
  <w:abstractNum w:abstractNumId="127">
    <w:nsid w:val="7631573A"/>
    <w:multiLevelType w:val="hybridMultilevel"/>
    <w:lvl w:ilvl="0">
      <w:lvlJc w:val="left"/>
      <w:lvlText w:val="●"/>
      <w:numFmt w:val="bullet"/>
      <w:start w:val="1"/>
    </w:lvl>
  </w:abstractNum>
  <w:abstractNum w:abstractNumId="128">
    <w:nsid w:val="58DF53B"/>
    <w:multiLevelType w:val="hybridMultilevel"/>
    <w:lvl w:ilvl="0">
      <w:lvlJc w:val="left"/>
      <w:lvlText w:val="●"/>
      <w:numFmt w:val="bullet"/>
      <w:start w:val="1"/>
    </w:lvl>
  </w:abstractNum>
  <w:abstractNum w:abstractNumId="129">
    <w:nsid w:val="ACDFAC0"/>
    <w:multiLevelType w:val="hybridMultilevel"/>
    <w:lvl w:ilvl="0">
      <w:lvlJc w:val="left"/>
      <w:lvlText w:val="●"/>
      <w:numFmt w:val="bullet"/>
      <w:start w:val="1"/>
    </w:lvl>
  </w:abstractNum>
  <w:abstractNum w:abstractNumId="130">
    <w:nsid w:val="1F578454"/>
    <w:multiLevelType w:val="hybridMultilevel"/>
    <w:lvl w:ilvl="0">
      <w:lvlJc w:val="left"/>
      <w:lvlText w:val="●"/>
      <w:numFmt w:val="bullet"/>
      <w:start w:val="1"/>
    </w:lvl>
  </w:abstractNum>
  <w:abstractNum w:abstractNumId="131">
    <w:nsid w:val="5B0DAD2A"/>
    <w:multiLevelType w:val="hybridMultilevel"/>
    <w:lvl w:ilvl="0">
      <w:lvlJc w:val="left"/>
      <w:lvlText w:val="●"/>
      <w:numFmt w:val="bullet"/>
      <w:start w:val="1"/>
    </w:lvl>
  </w:abstractNum>
  <w:abstractNum w:abstractNumId="132">
    <w:nsid w:val="4E3D26AB"/>
    <w:multiLevelType w:val="hybridMultilevel"/>
    <w:lvl w:ilvl="0">
      <w:lvlJc w:val="left"/>
      <w:lvlText w:val="●"/>
      <w:numFmt w:val="bullet"/>
      <w:start w:val="1"/>
    </w:lvl>
  </w:abstractNum>
  <w:abstractNum w:abstractNumId="133">
    <w:nsid w:val="BE2C8BA"/>
    <w:multiLevelType w:val="hybridMultilevel"/>
    <w:lvl w:ilvl="0">
      <w:lvlJc w:val="left"/>
      <w:lvlText w:val="●"/>
      <w:numFmt w:val="bullet"/>
      <w:start w:val="1"/>
    </w:lvl>
  </w:abstractNum>
  <w:abstractNum w:abstractNumId="134">
    <w:nsid w:val="7B14914E"/>
    <w:multiLevelType w:val="hybridMultilevel"/>
    <w:lvl w:ilvl="0">
      <w:lvlJc w:val="left"/>
      <w:lvlText w:val="●"/>
      <w:numFmt w:val="bullet"/>
      <w:start w:val="1"/>
    </w:lvl>
  </w:abstractNum>
  <w:abstractNum w:abstractNumId="135">
    <w:nsid w:val="6F0939F8"/>
    <w:multiLevelType w:val="hybridMultilevel"/>
    <w:lvl w:ilvl="0">
      <w:lvlJc w:val="left"/>
      <w:lvlText w:val="●"/>
      <w:numFmt w:val="bullet"/>
      <w:start w:val="1"/>
    </w:lvl>
  </w:abstractNum>
  <w:abstractNum w:abstractNumId="136">
    <w:nsid w:val="154291F6"/>
    <w:multiLevelType w:val="hybridMultilevel"/>
    <w:lvl w:ilvl="0">
      <w:lvlJc w:val="left"/>
      <w:lvlText w:val="●"/>
      <w:numFmt w:val="bullet"/>
      <w:start w:val="1"/>
    </w:lvl>
  </w:abstractNum>
  <w:abstractNum w:abstractNumId="137">
    <w:nsid w:val="3CEBD7C7"/>
    <w:multiLevelType w:val="hybridMultilevel"/>
    <w:lvl w:ilvl="0">
      <w:lvlJc w:val="left"/>
      <w:lvlText w:val="●"/>
      <w:numFmt w:val="bullet"/>
      <w:start w:val="1"/>
    </w:lvl>
  </w:abstractNum>
  <w:abstractNum w:abstractNumId="138">
    <w:nsid w:val="60EE9C16"/>
    <w:multiLevelType w:val="hybridMultilevel"/>
    <w:lvl w:ilvl="0">
      <w:lvlJc w:val="left"/>
      <w:lvlText w:val="●"/>
      <w:numFmt w:val="bullet"/>
      <w:start w:val="1"/>
    </w:lvl>
  </w:abstractNum>
  <w:abstractNum w:abstractNumId="139">
    <w:nsid w:val="6385489E"/>
    <w:multiLevelType w:val="hybridMultilevel"/>
    <w:lvl w:ilvl="0">
      <w:lvlJc w:val="left"/>
      <w:lvlText w:val="●"/>
      <w:numFmt w:val="bullet"/>
      <w:start w:val="1"/>
    </w:lvl>
    <w:lvl w:ilvl="1">
      <w:lvlJc w:val="left"/>
      <w:lvlText w:val="●"/>
      <w:numFmt w:val="bullet"/>
      <w:start w:val="1"/>
    </w:lvl>
  </w:abstractNum>
  <w:abstractNum w:abstractNumId="140">
    <w:nsid w:val="E4B973"/>
    <w:multiLevelType w:val="hybridMultilevel"/>
    <w:lvl w:ilvl="0">
      <w:lvlJc w:val="left"/>
      <w:lvlText w:val="●"/>
      <w:numFmt w:val="bullet"/>
      <w:start w:val="1"/>
    </w:lvl>
    <w:lvl w:ilvl="1">
      <w:lvlJc w:val="left"/>
      <w:lvlText w:val="●"/>
      <w:numFmt w:val="bullet"/>
      <w:start w:val="1"/>
    </w:lvl>
  </w:abstractNum>
  <w:abstractNum w:abstractNumId="141">
    <w:nsid w:val="4A0FFA11"/>
    <w:multiLevelType w:val="hybridMultilevel"/>
    <w:lvl w:ilvl="0">
      <w:lvlJc w:val="left"/>
      <w:lvlText w:val="●"/>
      <w:numFmt w:val="bullet"/>
      <w:start w:val="1"/>
    </w:lvl>
    <w:lvl w:ilvl="1">
      <w:lvlJc w:val="left"/>
      <w:lvlText w:val="●"/>
      <w:numFmt w:val="bullet"/>
      <w:start w:val="1"/>
    </w:lvl>
  </w:abstractNum>
  <w:abstractNum w:abstractNumId="142">
    <w:nsid w:val="5E446208"/>
    <w:multiLevelType w:val="hybridMultilevel"/>
    <w:lvl w:ilvl="0">
      <w:lvlJc w:val="left"/>
      <w:lvlText w:val="●"/>
      <w:numFmt w:val="bullet"/>
      <w:start w:val="1"/>
    </w:lvl>
  </w:abstractNum>
  <w:abstractNum w:abstractNumId="143">
    <w:nsid w:val="5F3272DB"/>
    <w:multiLevelType w:val="hybridMultilevel"/>
    <w:lvl w:ilvl="0">
      <w:lvlJc w:val="left"/>
      <w:lvlText w:val="●"/>
      <w:numFmt w:val="bullet"/>
      <w:start w:val="1"/>
    </w:lvl>
  </w:abstractNum>
  <w:abstractNum w:abstractNumId="144">
    <w:nsid w:val="7616D704"/>
    <w:multiLevelType w:val="hybridMultilevel"/>
    <w:lvl w:ilvl="0">
      <w:lvlJc w:val="left"/>
      <w:lvlText w:val="●"/>
      <w:numFmt w:val="bullet"/>
      <w:start w:val="1"/>
    </w:lvl>
  </w:abstractNum>
  <w:abstractNum w:abstractNumId="145">
    <w:nsid w:val="C56F860"/>
    <w:multiLevelType w:val="hybridMultilevel"/>
    <w:lvl w:ilvl="0">
      <w:lvlJc w:val="left"/>
      <w:lvlText w:val="●"/>
      <w:numFmt w:val="bullet"/>
      <w:start w:val="1"/>
    </w:lvl>
  </w:abstractNum>
  <w:abstractNum w:abstractNumId="146">
    <w:nsid w:val="64D17722"/>
    <w:multiLevelType w:val="hybridMultilevel"/>
    <w:lvl w:ilvl="0">
      <w:lvlJc w:val="left"/>
      <w:lvlText w:val="●"/>
      <w:numFmt w:val="bullet"/>
      <w:start w:val="1"/>
    </w:lvl>
  </w:abstractNum>
  <w:abstractNum w:abstractNumId="147">
    <w:nsid w:val="7924CA0A"/>
    <w:multiLevelType w:val="hybridMultilevel"/>
    <w:lvl w:ilvl="0">
      <w:lvlJc w:val="left"/>
      <w:lvlText w:val="●"/>
      <w:numFmt w:val="bullet"/>
      <w:start w:val="1"/>
    </w:lvl>
  </w:abstractNum>
  <w:abstractNum w:abstractNumId="148">
    <w:nsid w:val="CFD4EA7"/>
    <w:multiLevelType w:val="hybridMultilevel"/>
    <w:lvl w:ilvl="0">
      <w:lvlJc w:val="left"/>
      <w:lvlText w:val="●"/>
      <w:numFmt w:val="bullet"/>
      <w:start w:val="1"/>
    </w:lvl>
  </w:abstractNum>
  <w:abstractNum w:abstractNumId="149">
    <w:nsid w:val="232FCF4D"/>
    <w:multiLevelType w:val="hybridMultilevel"/>
    <w:lvl w:ilvl="0">
      <w:lvlJc w:val="left"/>
      <w:lvlText w:val="(%1)"/>
      <w:numFmt w:val="decimal"/>
      <w:start w:val="1"/>
    </w:lvl>
  </w:abstractNum>
  <w:abstractNum w:abstractNumId="150">
    <w:nsid w:val="1EA21031"/>
    <w:multiLevelType w:val="hybridMultilevel"/>
    <w:lvl w:ilvl="0">
      <w:lvlJc w:val="left"/>
      <w:lvlText w:val="●"/>
      <w:numFmt w:val="bullet"/>
      <w:start w:val="1"/>
    </w:lvl>
  </w:abstractNum>
  <w:abstractNum w:abstractNumId="151">
    <w:nsid w:val="67A5A6B5"/>
    <w:multiLevelType w:val="hybridMultilevel"/>
    <w:lvl w:ilvl="0">
      <w:lvlJc w:val="left"/>
      <w:lvlText w:val="●"/>
      <w:numFmt w:val="bullet"/>
      <w:start w:val="1"/>
    </w:lvl>
  </w:abstractNum>
  <w:abstractNum w:abstractNumId="152">
    <w:nsid w:val="C2A5C5B"/>
    <w:multiLevelType w:val="hybridMultilevel"/>
    <w:lvl w:ilvl="0">
      <w:lvlJc w:val="left"/>
      <w:lvlText w:val="●"/>
      <w:numFmt w:val="bullet"/>
      <w:start w:val="1"/>
    </w:lvl>
  </w:abstractNum>
  <w:abstractNum w:abstractNumId="153">
    <w:nsid w:val="5F94DC03"/>
    <w:multiLevelType w:val="hybridMultilevel"/>
    <w:lvl w:ilvl="0">
      <w:lvlJc w:val="left"/>
      <w:lvlText w:val="●"/>
      <w:numFmt w:val="bullet"/>
      <w:start w:val="1"/>
    </w:lvl>
  </w:abstractNum>
  <w:abstractNum w:abstractNumId="154">
    <w:nsid w:val="237BBCA0"/>
    <w:multiLevelType w:val="hybridMultilevel"/>
    <w:lvl w:ilvl="0">
      <w:lvlJc w:val="left"/>
      <w:lvlText w:val="●"/>
      <w:numFmt w:val="bullet"/>
      <w:start w:val="1"/>
    </w:lvl>
  </w:abstractNum>
  <w:abstractNum w:abstractNumId="155">
    <w:nsid w:val="162EB70D"/>
    <w:multiLevelType w:val="hybridMultilevel"/>
    <w:lvl w:ilvl="0">
      <w:lvlJc w:val="left"/>
      <w:lvlText w:val="●"/>
      <w:numFmt w:val="bullet"/>
      <w:start w:val="1"/>
    </w:lvl>
  </w:abstractNum>
  <w:abstractNum w:abstractNumId="156">
    <w:nsid w:val="78070222"/>
    <w:multiLevelType w:val="hybridMultilevel"/>
    <w:lvl w:ilvl="0">
      <w:lvlJc w:val="left"/>
      <w:lvlText w:val="●"/>
      <w:numFmt w:val="bullet"/>
      <w:start w:val="1"/>
    </w:lvl>
  </w:abstractNum>
  <w:abstractNum w:abstractNumId="157">
    <w:nsid w:val="6163ED0D"/>
    <w:multiLevelType w:val="hybridMultilevel"/>
    <w:lvl w:ilvl="0">
      <w:lvlJc w:val="left"/>
      <w:lvlText w:val="●"/>
      <w:numFmt w:val="bullet"/>
      <w:start w:val="1"/>
    </w:lvl>
  </w:abstractNum>
  <w:abstractNum w:abstractNumId="158">
    <w:nsid w:val="C600E47"/>
    <w:multiLevelType w:val="hybridMultilevel"/>
    <w:lvl w:ilvl="0">
      <w:lvlJc w:val="left"/>
      <w:lvlText w:val="●"/>
      <w:numFmt w:val="bullet"/>
      <w:start w:val="1"/>
    </w:lvl>
  </w:abstractNum>
  <w:abstractNum w:abstractNumId="159">
    <w:nsid w:val="7D94F75D"/>
    <w:multiLevelType w:val="hybridMultilevel"/>
    <w:lvl w:ilvl="0">
      <w:lvlJc w:val="left"/>
      <w:lvlText w:val="●"/>
      <w:numFmt w:val="bullet"/>
      <w:start w:val="1"/>
    </w:lvl>
  </w:abstractNum>
  <w:abstractNum w:abstractNumId="160">
    <w:nsid w:val="6C31E7CD"/>
    <w:multiLevelType w:val="hybridMultilevel"/>
    <w:lvl w:ilvl="0">
      <w:lvlJc w:val="left"/>
      <w:lvlText w:val="*"/>
      <w:numFmt w:val="bullet"/>
      <w:start w:val="1"/>
    </w:lvl>
  </w:abstractNum>
  <w:abstractNum w:abstractNumId="161">
    <w:nsid w:val="2BB7929B"/>
    <w:multiLevelType w:val="hybridMultilevel"/>
    <w:lvl w:ilvl="0">
      <w:lvlJc w:val="left"/>
      <w:lvlText w:val="%1."/>
      <w:numFmt w:val="decimal"/>
      <w:start w:val="1"/>
    </w:lvl>
  </w:abstractNum>
  <w:abstractNum w:abstractNumId="162">
    <w:nsid w:val="58A2A487"/>
    <w:multiLevelType w:val="hybridMultilevel"/>
    <w:lvl w:ilvl="0">
      <w:lvlJc w:val="left"/>
      <w:lvlText w:val="●"/>
      <w:numFmt w:val="bullet"/>
      <w:start w:val="1"/>
    </w:lvl>
  </w:abstractNum>
  <w:abstractNum w:abstractNumId="163">
    <w:nsid w:val="3A6F0E78"/>
    <w:multiLevelType w:val="hybridMultilevel"/>
    <w:lvl w:ilvl="0">
      <w:lvlJc w:val="left"/>
      <w:lvlText w:val="●"/>
      <w:numFmt w:val="bullet"/>
      <w:start w:val="1"/>
    </w:lvl>
  </w:abstractNum>
  <w:abstractNum w:abstractNumId="164">
    <w:nsid w:val="379A5B56"/>
    <w:multiLevelType w:val="hybridMultilevel"/>
    <w:lvl w:ilvl="0">
      <w:lvlJc w:val="left"/>
      <w:lvlText w:val="●"/>
      <w:numFmt w:val="bullet"/>
      <w:start w:val="1"/>
    </w:lvl>
  </w:abstractNum>
  <w:abstractNum w:abstractNumId="165">
    <w:nsid w:val="53B735D5"/>
    <w:multiLevelType w:val="hybridMultilevel"/>
    <w:lvl w:ilvl="0">
      <w:lvlJc w:val="left"/>
      <w:lvlText w:val="●"/>
      <w:numFmt w:val="bullet"/>
      <w:start w:val="1"/>
    </w:lvl>
  </w:abstractNum>
  <w:abstractNum w:abstractNumId="166">
    <w:nsid w:val="29784870"/>
    <w:multiLevelType w:val="hybridMultilevel"/>
    <w:lvl w:ilvl="0">
      <w:lvlJc w:val="left"/>
      <w:lvlText w:val="●"/>
      <w:numFmt w:val="bullet"/>
      <w:start w:val="1"/>
    </w:lvl>
  </w:abstractNum>
  <w:abstractNum w:abstractNumId="167">
    <w:nsid w:val="4CDCED4C"/>
    <w:multiLevelType w:val="hybridMultilevel"/>
    <w:lvl w:ilvl="0">
      <w:lvlJc w:val="left"/>
      <w:lvlText w:val="%1."/>
      <w:numFmt w:val="decimal"/>
      <w:start w:val="27"/>
    </w:lvl>
  </w:abstractNum>
  <w:abstractNum w:abstractNumId="168">
    <w:nsid w:val="10A30D9C"/>
    <w:multiLevelType w:val="hybridMultilevel"/>
    <w:lvl w:ilvl="0">
      <w:lvlJc w:val="left"/>
      <w:lvlText w:val="●"/>
      <w:numFmt w:val="bullet"/>
      <w:start w:val="1"/>
    </w:lvl>
  </w:abstractNum>
  <w:abstractNum w:abstractNumId="169">
    <w:nsid w:val="A66E486"/>
    <w:multiLevelType w:val="hybridMultilevel"/>
    <w:lvl w:ilvl="0">
      <w:lvlJc w:val="left"/>
      <w:lvlText w:val="●"/>
      <w:numFmt w:val="bullet"/>
      <w:start w:val="1"/>
    </w:lvl>
  </w:abstractNum>
  <w:abstractNum w:abstractNumId="170">
    <w:nsid w:val="306235EA"/>
    <w:multiLevelType w:val="hybridMultilevel"/>
    <w:lvl w:ilvl="0">
      <w:lvlJc w:val="left"/>
      <w:lvlText w:val="●"/>
      <w:numFmt w:val="bullet"/>
      <w:start w:val="1"/>
    </w:lvl>
  </w:abstractNum>
  <w:abstractNum w:abstractNumId="171">
    <w:nsid w:val="1187C70F"/>
    <w:multiLevelType w:val="hybridMultilevel"/>
    <w:lvl w:ilvl="0">
      <w:lvlJc w:val="left"/>
      <w:lvlText w:val="●"/>
      <w:numFmt w:val="bullet"/>
      <w:start w:val="1"/>
    </w:lvl>
  </w:abstractNum>
  <w:abstractNum w:abstractNumId="172">
    <w:nsid w:val="5476DE98"/>
    <w:multiLevelType w:val="hybridMultilevel"/>
    <w:lvl w:ilvl="0">
      <w:lvlJc w:val="left"/>
      <w:lvlText w:val="●"/>
      <w:numFmt w:val="bullet"/>
      <w:start w:val="1"/>
    </w:lvl>
  </w:abstractNum>
  <w:abstractNum w:abstractNumId="173">
    <w:nsid w:val="EA697F2"/>
    <w:multiLevelType w:val="hybridMultilevel"/>
    <w:lvl w:ilvl="0">
      <w:lvlJc w:val="left"/>
      <w:lvlText w:val="●"/>
      <w:numFmt w:val="bullet"/>
      <w:start w:val="1"/>
    </w:lvl>
  </w:abstractNum>
  <w:abstractNum w:abstractNumId="174">
    <w:nsid w:val="70BA39EB"/>
    <w:multiLevelType w:val="hybridMultilevel"/>
    <w:lvl w:ilvl="0">
      <w:lvlJc w:val="left"/>
      <w:lvlText w:val="●"/>
      <w:numFmt w:val="bullet"/>
      <w:start w:val="1"/>
    </w:lvl>
  </w:abstractNum>
  <w:abstractNum w:abstractNumId="175">
    <w:nsid w:val="4A8DB59C"/>
    <w:multiLevelType w:val="hybridMultilevel"/>
    <w:lvl w:ilvl="0">
      <w:lvlJc w:val="left"/>
      <w:lvlText w:val="●"/>
      <w:numFmt w:val="bullet"/>
      <w:start w:val="1"/>
    </w:lvl>
  </w:abstractNum>
  <w:abstractNum w:abstractNumId="176">
    <w:nsid w:val="1AFD9053"/>
    <w:multiLevelType w:val="hybridMultilevel"/>
    <w:lvl w:ilvl="0">
      <w:lvlJc w:val="left"/>
      <w:lvlText w:val="●"/>
      <w:numFmt w:val="bullet"/>
      <w:start w:val="1"/>
    </w:lvl>
  </w:abstractNum>
  <w:abstractNum w:abstractNumId="177">
    <w:nsid w:val="558BB10D"/>
    <w:multiLevelType w:val="hybridMultilevel"/>
    <w:lvl w:ilvl="0">
      <w:lvlJc w:val="left"/>
      <w:lvlText w:val="●"/>
      <w:numFmt w:val="bullet"/>
      <w:start w:val="1"/>
    </w:lvl>
  </w:abstractNum>
  <w:abstractNum w:abstractNumId="178">
    <w:nsid w:val="43B27FA7"/>
    <w:multiLevelType w:val="hybridMultilevel"/>
    <w:lvl w:ilvl="0">
      <w:lvlJc w:val="left"/>
      <w:lvlText w:val="●"/>
      <w:numFmt w:val="bullet"/>
      <w:start w:val="1"/>
    </w:lvl>
  </w:abstractNum>
  <w:abstractNum w:abstractNumId="179">
    <w:nsid w:val="27FADEFA"/>
    <w:multiLevelType w:val="hybridMultilevel"/>
    <w:lvl w:ilvl="0">
      <w:lvlJc w:val="left"/>
      <w:lvlText w:val="(%1)"/>
      <w:numFmt w:val="decimal"/>
      <w:start w:val="1"/>
    </w:lvl>
  </w:abstractNum>
  <w:abstractNum w:abstractNumId="180">
    <w:nsid w:val="78BB805A"/>
    <w:multiLevelType w:val="hybridMultilevel"/>
    <w:lvl w:ilvl="0">
      <w:lvlJc w:val="left"/>
      <w:lvlText w:val="●"/>
      <w:numFmt w:val="bullet"/>
      <w:start w:val="1"/>
    </w:lvl>
  </w:abstractNum>
  <w:abstractNum w:abstractNumId="181">
    <w:nsid w:val="62548FD8"/>
    <w:multiLevelType w:val="hybridMultilevel"/>
    <w:lvl w:ilvl="0">
      <w:lvlJc w:val="left"/>
      <w:lvlText w:val="●"/>
      <w:numFmt w:val="bullet"/>
      <w:start w:val="1"/>
    </w:lvl>
  </w:abstractNum>
  <w:abstractNum w:abstractNumId="182">
    <w:nsid w:val="FA085B0"/>
    <w:multiLevelType w:val="hybridMultilevel"/>
    <w:lvl w:ilvl="0">
      <w:lvlJc w:val="left"/>
      <w:lvlText w:val="●"/>
      <w:numFmt w:val="bullet"/>
      <w:start w:val="1"/>
    </w:lvl>
  </w:abstractNum>
  <w:abstractNum w:abstractNumId="183">
    <w:nsid w:val="4E5DCB5"/>
    <w:multiLevelType w:val="hybridMultilevel"/>
    <w:lvl w:ilvl="0">
      <w:lvlJc w:val="left"/>
      <w:lvlText w:val="●"/>
      <w:numFmt w:val="bullet"/>
      <w:start w:val="1"/>
    </w:lvl>
  </w:abstractNum>
  <w:abstractNum w:abstractNumId="184">
    <w:nsid w:val="41E96BDB"/>
    <w:multiLevelType w:val="hybridMultilevel"/>
    <w:lvl w:ilvl="0">
      <w:lvlJc w:val="left"/>
      <w:lvlText w:val="(%1)"/>
      <w:numFmt w:val="decimal"/>
      <w:start w:val="1"/>
    </w:lvl>
  </w:abstractNum>
  <w:abstractNum w:abstractNumId="185">
    <w:nsid w:val="331C4250"/>
    <w:multiLevelType w:val="hybridMultilevel"/>
    <w:lvl w:ilvl="0">
      <w:lvlJc w:val="left"/>
      <w:lvlText w:val="●"/>
      <w:numFmt w:val="bullet"/>
      <w:start w:val="1"/>
    </w:lvl>
  </w:abstractNum>
  <w:abstractNum w:abstractNumId="186">
    <w:nsid w:val="1B1493C2"/>
    <w:multiLevelType w:val="hybridMultilevel"/>
    <w:lvl w:ilvl="0">
      <w:lvlJc w:val="left"/>
      <w:lvlText w:val="(%1)"/>
      <w:numFmt w:val="decimal"/>
      <w:start w:val="1"/>
    </w:lvl>
  </w:abstractNum>
  <w:abstractNum w:abstractNumId="187">
    <w:nsid w:val="39F06DFD"/>
    <w:multiLevelType w:val="hybridMultilevel"/>
    <w:lvl w:ilvl="0">
      <w:lvlJc w:val="left"/>
      <w:lvlText w:val="(%1)"/>
      <w:numFmt w:val="decimal"/>
      <w:start w:val="1"/>
    </w:lvl>
  </w:abstractNum>
  <w:abstractNum w:abstractNumId="188">
    <w:nsid w:val="14802F5D"/>
    <w:multiLevelType w:val="hybridMultilevel"/>
    <w:lvl w:ilvl="0">
      <w:lvlJc w:val="left"/>
      <w:lvlText w:val="●"/>
      <w:numFmt w:val="bullet"/>
      <w:start w:val="1"/>
    </w:lvl>
  </w:abstractNum>
  <w:abstractNum w:abstractNumId="189">
    <w:nsid w:val="2774A209"/>
    <w:multiLevelType w:val="hybridMultilevel"/>
    <w:lvl w:ilvl="0">
      <w:lvlJc w:val="left"/>
      <w:lvlText w:val="(%1)"/>
      <w:numFmt w:val="decimal"/>
      <w:start w:val="1"/>
    </w:lvl>
  </w:abstractNum>
  <w:abstractNum w:abstractNumId="190">
    <w:nsid w:val="3785655A"/>
    <w:multiLevelType w:val="hybridMultilevel"/>
    <w:lvl w:ilvl="0">
      <w:lvlJc w:val="left"/>
      <w:lvlText w:val="(%1)"/>
      <w:numFmt w:val="decimal"/>
      <w:start w:val="1"/>
    </w:lvl>
  </w:abstractNum>
  <w:abstractNum w:abstractNumId="191">
    <w:nsid w:val="B2172A"/>
    <w:multiLevelType w:val="hybridMultilevel"/>
    <w:lvl w:ilvl="0">
      <w:lvlJc w:val="left"/>
      <w:lvlText w:val="(%1)"/>
      <w:numFmt w:val="decimal"/>
      <w:start w:val="1"/>
    </w:lvl>
  </w:abstractNum>
  <w:abstractNum w:abstractNumId="192">
    <w:nsid w:val="532C34A5"/>
    <w:multiLevelType w:val="hybridMultilevel"/>
    <w:lvl w:ilvl="0">
      <w:lvlJc w:val="left"/>
      <w:lvlText w:val="(%1)"/>
      <w:numFmt w:val="decimal"/>
      <w:start w:val="1"/>
    </w:lvl>
  </w:abstractNum>
  <w:abstractNum w:abstractNumId="193">
    <w:nsid w:val="102809E2"/>
    <w:multiLevelType w:val="hybridMultilevel"/>
    <w:lvl w:ilvl="0">
      <w:lvlJc w:val="left"/>
      <w:lvlText w:val="(%1)"/>
      <w:numFmt w:val="lowerRoman"/>
      <w:start w:val="2"/>
    </w:lvl>
  </w:abstractNum>
  <w:abstractNum w:abstractNumId="194">
    <w:nsid w:val="3B2125A3"/>
    <w:multiLevelType w:val="hybridMultilevel"/>
    <w:lvl w:ilvl="0">
      <w:lvlJc w:val="left"/>
      <w:lvlText w:val="%1."/>
      <w:numFmt w:val="upperLetter"/>
      <w:start w:val="1"/>
    </w:lvl>
  </w:abstractNum>
  <w:abstractNum w:abstractNumId="195">
    <w:nsid w:val="AC68FFB"/>
    <w:multiLevelType w:val="hybridMultilevel"/>
    <w:lvl w:ilvl="0">
      <w:lvlJc w:val="left"/>
      <w:lvlText w:val="%1."/>
      <w:numFmt w:val="upperLetter"/>
      <w:start w:val="8"/>
    </w:lvl>
  </w:abstractNum>
  <w:abstractNum w:abstractNumId="196">
    <w:nsid w:val="63DF3FB7"/>
    <w:multiLevelType w:val="hybridMultilevel"/>
    <w:lvl w:ilvl="0">
      <w:lvlJc w:val="left"/>
      <w:lvlText w:val="●"/>
      <w:numFmt w:val="bullet"/>
      <w:start w:val="1"/>
    </w:lvl>
  </w:abstractNum>
  <w:abstractNum w:abstractNumId="197">
    <w:nsid w:val="64996E13"/>
    <w:multiLevelType w:val="hybridMultilevel"/>
    <w:lvl w:ilvl="0">
      <w:lvlJc w:val="left"/>
      <w:lvlText w:val="●"/>
      <w:numFmt w:val="bullet"/>
      <w:start w:val="1"/>
    </w:lvl>
  </w:abstractNum>
  <w:abstractNum w:abstractNumId="198">
    <w:nsid w:val="57A37D47"/>
    <w:multiLevelType w:val="hybridMultilevel"/>
    <w:lvl w:ilvl="0">
      <w:lvlJc w:val="left"/>
      <w:lvlText w:val="●"/>
      <w:numFmt w:val="bullet"/>
      <w:start w:val="1"/>
    </w:lvl>
  </w:abstractNum>
  <w:abstractNum w:abstractNumId="199">
    <w:nsid w:val="74824D54"/>
    <w:multiLevelType w:val="hybridMultilevel"/>
    <w:lvl w:ilvl="0">
      <w:lvlJc w:val="left"/>
      <w:lvlText w:val="●"/>
      <w:numFmt w:val="bullet"/>
      <w:start w:val="1"/>
    </w:lvl>
  </w:abstractNum>
  <w:abstractNum w:abstractNumId="200">
    <w:nsid w:val="6F00529A"/>
    <w:multiLevelType w:val="hybridMultilevel"/>
    <w:lvl w:ilvl="0">
      <w:lvlJc w:val="left"/>
      <w:lvlText w:val="●"/>
      <w:numFmt w:val="bullet"/>
      <w:start w:val="1"/>
    </w:lvl>
  </w:abstractNum>
  <w:abstractNum w:abstractNumId="201">
    <w:nsid w:val="805B331"/>
    <w:multiLevelType w:val="hybridMultilevel"/>
    <w:lvl w:ilvl="0">
      <w:lvlJc w:val="left"/>
      <w:lvlText w:val="*"/>
      <w:numFmt w:val="bullet"/>
      <w:start w:val="1"/>
    </w:lvl>
  </w:abstractNum>
  <w:abstractNum w:abstractNumId="202">
    <w:nsid w:val="60A1463"/>
    <w:multiLevelType w:val="hybridMultilevel"/>
    <w:lvl w:ilvl="0">
      <w:lvlJc w:val="left"/>
      <w:lvlText w:val="(%1)"/>
      <w:numFmt w:val="decimal"/>
      <w:start w:val="1"/>
    </w:lvl>
  </w:abstractNum>
  <w:abstractNum w:abstractNumId="203">
    <w:nsid w:val="43773132"/>
    <w:multiLevelType w:val="hybridMultilevel"/>
    <w:lvl w:ilvl="0">
      <w:lvlJc w:val="left"/>
      <w:lvlText w:val="(%1)"/>
      <w:numFmt w:val="decimal"/>
      <w:start w:val="2"/>
    </w:lvl>
  </w:abstractNum>
  <w:abstractNum w:abstractNumId="204">
    <w:nsid w:val="16AC4B23"/>
    <w:multiLevelType w:val="hybridMultilevel"/>
    <w:lvl w:ilvl="0">
      <w:lvlJc w:val="left"/>
      <w:lvlText w:val="●"/>
      <w:numFmt w:val="bullet"/>
      <w:start w:val="1"/>
    </w:lvl>
  </w:abstractNum>
  <w:abstractNum w:abstractNumId="205">
    <w:nsid w:val="76C44E4E"/>
    <w:multiLevelType w:val="hybridMultilevel"/>
    <w:lvl w:ilvl="0">
      <w:lvlJc w:val="left"/>
      <w:lvlText w:val="(%1)"/>
      <w:numFmt w:val="decimal"/>
      <w:start w:val="1"/>
    </w:lvl>
  </w:abstractNum>
  <w:abstractNum w:abstractNumId="206">
    <w:nsid w:val="E04E6CE"/>
    <w:multiLevelType w:val="hybridMultilevel"/>
    <w:lvl w:ilvl="0">
      <w:lvlJc w:val="left"/>
      <w:lvlText w:val="(%1)"/>
      <w:numFmt w:val="decimal"/>
      <w:start w:val="4"/>
    </w:lvl>
  </w:abstractNum>
  <w:abstractNum w:abstractNumId="207">
    <w:nsid w:val="31A9DB76"/>
    <w:multiLevelType w:val="hybridMultilevel"/>
    <w:lvl w:ilvl="0">
      <w:lvlJc w:val="left"/>
      <w:lvlText w:val="●"/>
      <w:numFmt w:val="bullet"/>
      <w:start w:val="1"/>
    </w:lvl>
  </w:abstractNum>
  <w:abstractNum w:abstractNumId="208">
    <w:nsid w:val="4C4FFF5B"/>
    <w:multiLevelType w:val="hybridMultilevel"/>
    <w:lvl w:ilvl="0">
      <w:lvlJc w:val="left"/>
      <w:lvlText w:val="*"/>
      <w:numFmt w:val="bullet"/>
      <w:start w:val="1"/>
    </w:lvl>
  </w:abstractNum>
  <w:abstractNum w:abstractNumId="209">
    <w:nsid w:val="51B76675"/>
    <w:multiLevelType w:val="hybridMultilevel"/>
    <w:lvl w:ilvl="0">
      <w:lvlJc w:val="left"/>
      <w:lvlText w:val="(%1)"/>
      <w:numFmt w:val="decimal"/>
      <w:start w:val="1"/>
    </w:lvl>
  </w:abstractNum>
  <w:abstractNum w:abstractNumId="210">
    <w:nsid w:val="59A4BA71"/>
    <w:multiLevelType w:val="hybridMultilevel"/>
    <w:lvl w:ilvl="0">
      <w:lvlJc w:val="left"/>
      <w:lvlText w:val="(%1)"/>
      <w:numFmt w:val="decimal"/>
      <w:start w:val="800"/>
    </w:lvl>
    <w:lvl w:ilvl="1">
      <w:lvlJc w:val="left"/>
      <w:lvlText w:val="(%2)"/>
      <w:numFmt w:val="decimal"/>
      <w:start w:val="212"/>
    </w:lvl>
  </w:abstractNum>
  <w:abstractNum w:abstractNumId="211">
    <w:nsid w:val="450B7FB6"/>
    <w:multiLevelType w:val="hybridMultilevel"/>
    <w:lvl w:ilvl="0">
      <w:lvlJc w:val="left"/>
      <w:lvlText w:val="(%1)"/>
      <w:numFmt w:val="decimal"/>
      <w:start w:val="1"/>
    </w:lvl>
  </w:abstractNum>
  <w:abstractNum w:abstractNumId="212">
    <w:nsid w:val="340BF64D"/>
    <w:multiLevelType w:val="hybridMultilevel"/>
    <w:lvl w:ilvl="0">
      <w:lvlJc w:val="left"/>
      <w:lvlText w:val="(%1)"/>
      <w:numFmt w:val="decimal"/>
      <w:start w:val="2"/>
    </w:lvl>
  </w:abstractNum>
  <w:abstractNum w:abstractNumId="213">
    <w:nsid w:val="69454021"/>
    <w:multiLevelType w:val="hybridMultilevel"/>
    <w:lvl w:ilvl="0">
      <w:lvlJc w:val="left"/>
      <w:lvlText w:val="(%1)"/>
      <w:numFmt w:val="decimal"/>
      <w:start w:val="4"/>
    </w:lvl>
  </w:abstractNum>
  <w:abstractNum w:abstractNumId="214">
    <w:nsid w:val="49F15C6B"/>
    <w:multiLevelType w:val="hybridMultilevel"/>
    <w:lvl w:ilvl="0">
      <w:lvlJc w:val="left"/>
      <w:lvlText w:val="%1)"/>
      <w:numFmt w:val="decimal"/>
      <w:start w:val="1"/>
    </w:lvl>
  </w:abstractNum>
  <w:abstractNum w:abstractNumId="215">
    <w:nsid w:val="75F56228"/>
    <w:multiLevelType w:val="hybridMultilevel"/>
    <w:lvl w:ilvl="0">
      <w:lvlJc w:val="left"/>
      <w:lvlText w:val="(%1)"/>
      <w:numFmt w:val="decimal"/>
      <w:start w:val="2"/>
    </w:lvl>
  </w:abstractNum>
  <w:abstractNum w:abstractNumId="216">
    <w:nsid w:val="1C618271"/>
    <w:multiLevelType w:val="hybridMultilevel"/>
    <w:lvl w:ilvl="0">
      <w:lvlJc w:val="left"/>
      <w:lvlText w:val="(%1)"/>
      <w:numFmt w:val="decimal"/>
      <w:start w:val="3"/>
    </w:lvl>
  </w:abstractNum>
  <w:abstractNum w:abstractNumId="217">
    <w:nsid w:val="6505F02E"/>
    <w:multiLevelType w:val="hybridMultilevel"/>
    <w:lvl w:ilvl="0">
      <w:lvlJc w:val="left"/>
      <w:lvlText w:val="(%1)"/>
      <w:numFmt w:val="decimal"/>
      <w:start w:val="5"/>
    </w:lvl>
  </w:abstractNum>
  <w:abstractNum w:abstractNumId="218">
    <w:nsid w:val="2FE5D025"/>
    <w:multiLevelType w:val="hybridMultilevel"/>
    <w:lvl w:ilvl="0">
      <w:lvlJc w:val="left"/>
      <w:lvlText w:val="(%1)"/>
      <w:numFmt w:val="decimal"/>
      <w:start w:val="6"/>
    </w:lvl>
  </w:abstractNum>
  <w:abstractNum w:abstractNumId="219">
    <w:nsid w:val="30E1B1CF"/>
    <w:multiLevelType w:val="hybridMultilevel"/>
    <w:lvl w:ilvl="0">
      <w:lvlJc w:val="left"/>
      <w:lvlText w:val="(%1)"/>
      <w:numFmt w:val="decimal"/>
      <w:start w:val="8"/>
    </w:lvl>
  </w:abstractNum>
  <w:abstractNum w:abstractNumId="220">
    <w:nsid w:val="C7A9237"/>
    <w:multiLevelType w:val="hybridMultilevel"/>
    <w:lvl w:ilvl="0">
      <w:lvlJc w:val="left"/>
      <w:lvlText w:val="(%1)"/>
      <w:numFmt w:val="decimal"/>
      <w:start w:val="2"/>
    </w:lvl>
    <w:lvl w:ilvl="1">
      <w:lvlJc w:val="left"/>
      <w:lvlText w:val="(%2)"/>
      <w:numFmt w:val="lowerLetter"/>
      <w:start w:val="1"/>
    </w:lvl>
  </w:abstractNum>
  <w:abstractNum w:abstractNumId="221">
    <w:nsid w:val="676B3580"/>
    <w:multiLevelType w:val="hybridMultilevel"/>
    <w:lvl w:ilvl="0">
      <w:lvlJc w:val="left"/>
      <w:lvlText w:val="(%1)"/>
      <w:numFmt w:val="decimal"/>
      <w:start w:val="5"/>
    </w:lvl>
    <w:lvl w:ilvl="1">
      <w:lvlJc w:val="left"/>
      <w:lvlText w:val="(%2)"/>
      <w:numFmt w:val="lowerLetter"/>
      <w:start w:val="1"/>
    </w:lvl>
  </w:abstractNum>
  <w:abstractNum w:abstractNumId="222">
    <w:nsid w:val="3193C8F9"/>
    <w:multiLevelType w:val="hybridMultilevel"/>
    <w:lvl w:ilvl="0">
      <w:lvlJc w:val="left"/>
      <w:lvlText w:val="(%1)"/>
      <w:numFmt w:val="decimal"/>
      <w:start w:val="9"/>
    </w:lvl>
    <w:lvl w:ilvl="1">
      <w:lvlJc w:val="left"/>
      <w:lvlText w:val="(%2)"/>
      <w:numFmt w:val="lowerLetter"/>
      <w:start w:val="1"/>
    </w:lvl>
  </w:abstractNum>
  <w:abstractNum w:abstractNumId="223">
    <w:nsid w:val="5FA6C6DC"/>
    <w:multiLevelType w:val="hybridMultilevel"/>
    <w:lvl w:ilvl="0">
      <w:lvlJc w:val="left"/>
      <w:lvlText w:val="(%1)"/>
      <w:numFmt w:val="lowerLetter"/>
      <w:start w:val="2"/>
    </w:lvl>
  </w:abstractNum>
  <w:abstractNum w:abstractNumId="224">
    <w:nsid w:val="77933F62"/>
    <w:multiLevelType w:val="hybridMultilevel"/>
    <w:lvl w:ilvl="0">
      <w:lvlJc w:val="left"/>
      <w:lvlText w:val="%1"/>
      <w:numFmt w:val="decimal"/>
      <w:start w:val="1"/>
    </w:lvl>
    <w:lvl w:ilvl="1">
      <w:lvlJc w:val="left"/>
      <w:lvlText w:val="(%2)"/>
      <w:numFmt w:val="decimal"/>
      <w:start w:val="1"/>
    </w:lvl>
  </w:abstractNum>
  <w:abstractNum w:abstractNumId="225">
    <w:nsid w:val="6CB4EE9C"/>
    <w:multiLevelType w:val="hybridMultilevel"/>
    <w:lvl w:ilvl="0">
      <w:lvlJc w:val="left"/>
      <w:lvlText w:val="(%1)"/>
      <w:numFmt w:val="decimal"/>
      <w:start w:val="14"/>
    </w:lvl>
    <w:lvl w:ilvl="1">
      <w:lvlJc w:val="left"/>
      <w:lvlText w:val="%2"/>
      <w:numFmt w:val="decimal"/>
      <w:start w:val="1"/>
    </w:lvl>
  </w:abstractNum>
  <w:abstractNum w:abstractNumId="226">
    <w:nsid w:val="6A6D56D7"/>
    <w:multiLevelType w:val="hybridMultilevel"/>
    <w:lvl w:ilvl="0">
      <w:lvlJc w:val="left"/>
      <w:lvlText w:val="%1."/>
      <w:numFmt w:val="upperLetter"/>
      <w:start w:val="1"/>
    </w:lvl>
  </w:abstractNum>
  <w:abstractNum w:abstractNumId="227">
    <w:nsid w:val="5B727F19"/>
    <w:multiLevelType w:val="hybridMultilevel"/>
    <w:lvl w:ilvl="0">
      <w:lvlJc w:val="left"/>
      <w:lvlText w:val="%1."/>
      <w:numFmt w:val="upperLetter"/>
      <w:start w:val="7"/>
    </w:lvl>
  </w:abstractNum>
  <w:abstractNum w:abstractNumId="228">
    <w:nsid w:val="514E5CB0"/>
    <w:multiLevelType w:val="hybridMultilevel"/>
    <w:lvl w:ilvl="0">
      <w:lvlJc w:val="left"/>
      <w:lvlText w:val="(%1)"/>
      <w:numFmt w:val="lowerLetter"/>
      <w:start w:val="1"/>
    </w:lvl>
  </w:abstractNum>
  <w:abstractNum w:abstractNumId="229">
    <w:nsid w:val="4210D41E"/>
    <w:multiLevelType w:val="hybridMultilevel"/>
    <w:lvl w:ilvl="0">
      <w:lvlJc w:val="left"/>
      <w:lvlText w:val="(%1)"/>
      <w:numFmt w:val="lowerLetter"/>
      <w:start w:val="1"/>
    </w:lvl>
    <w:lvl w:ilvl="1">
      <w:lvlJc w:val="left"/>
      <w:lvlText w:val="(%2)"/>
      <w:numFmt w:val="lowerLetter"/>
      <w:start w:val="9"/>
    </w:lvl>
  </w:abstractNum>
  <w:abstractNum w:abstractNumId="230">
    <w:nsid w:val="4FF4CC6D"/>
    <w:multiLevelType w:val="hybridMultilevel"/>
    <w:lvl w:ilvl="0">
      <w:lvlJc w:val="left"/>
      <w:lvlText w:val="%1"/>
      <w:numFmt w:val="lowerLetter"/>
      <w:start w:val="1"/>
    </w:lvl>
    <w:lvl w:ilvl="1">
      <w:lvlJc w:val="left"/>
      <w:lvlText w:val="(%2)"/>
      <w:numFmt w:val="lowerLetter"/>
      <w:start w:val="35"/>
    </w:lvl>
  </w:abstractNum>
  <w:abstractNum w:abstractNumId="231">
    <w:nsid w:val="404EAF4A"/>
    <w:multiLevelType w:val="hybridMultilevel"/>
    <w:lvl w:ilvl="0">
      <w:lvlJc w:val="left"/>
      <w:lvlText w:val="(%1)"/>
      <w:numFmt w:val="lowerLetter"/>
      <w:start w:val="2"/>
    </w:lvl>
    <w:lvl w:ilvl="1">
      <w:lvlJc w:val="left"/>
      <w:lvlText w:val="%2"/>
      <w:numFmt w:val="lowerLetter"/>
      <w:start w:val="1"/>
    </w:lvl>
  </w:abstractNum>
  <w:abstractNum w:abstractNumId="232">
    <w:nsid w:val="4A16874F"/>
    <w:multiLevelType w:val="hybridMultilevel"/>
    <w:lvl w:ilvl="0">
      <w:lvlJc w:val="left"/>
      <w:lvlText w:val="(%1)"/>
      <w:numFmt w:val="lowerLetter"/>
      <w:start w:val="1"/>
    </w:lvl>
  </w:abstractNum>
  <w:abstractNum w:abstractNumId="233">
    <w:nsid w:val="55FEE0D1"/>
    <w:multiLevelType w:val="hybridMultilevel"/>
    <w:lvl w:ilvl="0">
      <w:lvlJc w:val="left"/>
      <w:lvlText w:val="(%1)"/>
      <w:numFmt w:val="lowerLetter"/>
      <w:start w:val="3"/>
    </w:lvl>
  </w:abstractNum>
  <w:abstractNum w:abstractNumId="234">
    <w:nsid w:val="3C5E07C"/>
    <w:multiLevelType w:val="hybridMultilevel"/>
    <w:lvl w:ilvl="0">
      <w:lvlJc w:val="left"/>
      <w:lvlText w:val="(%1)"/>
      <w:numFmt w:val="lowerLetter"/>
      <w:start w:val="1"/>
    </w:lvl>
  </w:abstractNum>
  <w:abstractNum w:abstractNumId="235">
    <w:nsid w:val="60C2D273"/>
    <w:multiLevelType w:val="hybridMultilevel"/>
    <w:lvl w:ilvl="0">
      <w:lvlJc w:val="left"/>
      <w:lvlText w:val="(%1)"/>
      <w:numFmt w:val="lowerLetter"/>
      <w:start w:val="1"/>
    </w:lvl>
  </w:abstractNum>
  <w:abstractNum w:abstractNumId="236">
    <w:nsid w:val="4CC32F1F"/>
    <w:multiLevelType w:val="hybridMultilevel"/>
    <w:lvl w:ilvl="0">
      <w:lvlJc w:val="left"/>
      <w:lvlText w:val="(%1)"/>
      <w:numFmt w:val="lowerLetter"/>
      <w:start w:val="1"/>
    </w:lvl>
  </w:abstractNum>
  <w:abstractNum w:abstractNumId="237">
    <w:nsid w:val="11CAC74A"/>
    <w:multiLevelType w:val="hybridMultilevel"/>
    <w:lvl w:ilvl="0">
      <w:lvlJc w:val="left"/>
      <w:lvlText w:val="(%1)"/>
      <w:numFmt w:val="lowerLetter"/>
      <w:start w:val="5"/>
    </w:lvl>
  </w:abstractNum>
  <w:abstractNum w:abstractNumId="238">
    <w:nsid w:val="126CADE9"/>
    <w:multiLevelType w:val="hybridMultilevel"/>
    <w:lvl w:ilvl="0">
      <w:lvlJc w:val="left"/>
      <w:lvlText w:val="(%1)"/>
      <w:numFmt w:val="lowerLetter"/>
      <w:start w:val="1"/>
    </w:lvl>
  </w:abstractNum>
  <w:abstractNum w:abstractNumId="239">
    <w:nsid w:val="19132E7B"/>
    <w:multiLevelType w:val="hybridMultilevel"/>
    <w:lvl w:ilvl="0">
      <w:lvlJc w:val="left"/>
      <w:lvlText w:val="(%1)"/>
      <w:numFmt w:val="lowerLetter"/>
      <w:start w:val="3"/>
    </w:lvl>
  </w:abstractNum>
  <w:abstractNum w:abstractNumId="240">
    <w:nsid w:val="63822DC0"/>
    <w:multiLevelType w:val="hybridMultilevel"/>
    <w:lvl w:ilvl="0">
      <w:lvlJc w:val="left"/>
      <w:lvlText w:val="(%1)"/>
      <w:numFmt w:val="lowerLetter"/>
      <w:start w:val="1"/>
    </w:lvl>
  </w:abstractNum>
  <w:abstractNum w:abstractNumId="241">
    <w:nsid w:val="6C11685A"/>
    <w:multiLevelType w:val="hybridMultilevel"/>
    <w:lvl w:ilvl="0">
      <w:lvlJc w:val="left"/>
      <w:lvlText w:val="(%1)"/>
      <w:numFmt w:val="lowerLetter"/>
      <w:start w:val="3"/>
    </w:lvl>
  </w:abstractNum>
  <w:abstractNum w:abstractNumId="242">
    <w:nsid w:val="5E1EAE31"/>
    <w:multiLevelType w:val="hybridMultilevel"/>
    <w:lvl w:ilvl="0">
      <w:lvlJc w:val="left"/>
      <w:lvlText w:val="%1"/>
      <w:numFmt w:val="decimal"/>
      <w:start w:val="1"/>
    </w:lvl>
    <w:lvl w:ilvl="1">
      <w:lvlJc w:val="left"/>
      <w:lvlText w:val="(%2)"/>
      <w:numFmt w:val="lowerLetter"/>
      <w:start w:val="1"/>
    </w:lvl>
  </w:abstractNum>
  <w:abstractNum w:abstractNumId="243">
    <w:nsid w:val="178E240D"/>
    <w:multiLevelType w:val="hybridMultilevel"/>
    <w:lvl w:ilvl="0">
      <w:lvlJc w:val="left"/>
      <w:lvlText w:val="(%1)"/>
      <w:numFmt w:val="decimal"/>
      <w:start w:val="2"/>
    </w:lvl>
    <w:lvl w:ilvl="1">
      <w:lvlJc w:val="left"/>
      <w:lvlText w:val="(%2)"/>
      <w:numFmt w:val="lowerLetter"/>
      <w:start w:val="4"/>
    </w:lvl>
  </w:abstractNum>
  <w:abstractNum w:abstractNumId="244">
    <w:nsid w:val="5556A87B"/>
    <w:multiLevelType w:val="hybridMultilevel"/>
    <w:lvl w:ilvl="0">
      <w:lvlJc w:val="left"/>
      <w:lvlText w:val="(%1)"/>
      <w:numFmt w:val="lowerLetter"/>
      <w:start w:val="5"/>
    </w:lvl>
    <w:lvl w:ilvl="1">
      <w:lvlJc w:val="left"/>
      <w:lvlText w:val="(%2)"/>
      <w:numFmt w:val="lowerRoman"/>
      <w:start w:val="1"/>
    </w:lvl>
  </w:abstractNum>
  <w:abstractNum w:abstractNumId="245">
    <w:nsid w:val="28100A9C"/>
    <w:multiLevelType w:val="hybridMultilevel"/>
    <w:lvl w:ilvl="0">
      <w:lvlJc w:val="left"/>
      <w:lvlText w:val="%1"/>
      <w:numFmt w:val="lowerLetter"/>
      <w:start w:val="1"/>
    </w:lvl>
    <w:lvl w:ilvl="1">
      <w:lvlJc w:val="left"/>
      <w:lvlText w:val="(%2)"/>
      <w:numFmt w:val="lowerRoman"/>
      <w:start w:val="4"/>
    </w:lvl>
  </w:abstractNum>
  <w:abstractNum w:abstractNumId="246">
    <w:nsid w:val="D838636"/>
    <w:multiLevelType w:val="hybridMultilevel"/>
    <w:lvl w:ilvl="0">
      <w:lvlJc w:val="left"/>
      <w:lvlText w:val="(%1)"/>
      <w:numFmt w:val="lowerLetter"/>
      <w:start w:val="7"/>
    </w:lvl>
    <w:lvl w:ilvl="1">
      <w:lvlJc w:val="left"/>
      <w:lvlText w:val="%2"/>
      <w:numFmt w:val="lowerRoman"/>
      <w:start w:val="1"/>
    </w:lvl>
  </w:abstractNum>
  <w:abstractNum w:abstractNumId="247">
    <w:nsid w:val="71B82AED"/>
    <w:multiLevelType w:val="hybridMultilevel"/>
    <w:lvl w:ilvl="0">
      <w:lvlJc w:val="left"/>
      <w:lvlText w:val="(%1)"/>
      <w:numFmt w:val="lowerLetter"/>
      <w:start w:val="1"/>
    </w:lvl>
    <w:lvl w:ilvl="1">
      <w:lvlJc w:val="left"/>
      <w:lvlText w:val="(%2)"/>
      <w:numFmt w:val="lowerRoman"/>
      <w:start w:val="1"/>
    </w:lvl>
  </w:abstractNum>
  <w:abstractNum w:abstractNumId="248">
    <w:nsid w:val="D15FACA"/>
    <w:multiLevelType w:val="hybridMultilevel"/>
    <w:lvl w:ilvl="0">
      <w:lvlJc w:val="left"/>
      <w:lvlText w:val="%1"/>
      <w:numFmt w:val="lowerLetter"/>
      <w:start w:val="1"/>
    </w:lvl>
    <w:lvl w:ilvl="1">
      <w:lvlJc w:val="left"/>
      <w:lvlText w:val="(%2)"/>
      <w:numFmt w:val="lowerRoman"/>
      <w:start w:val="7"/>
    </w:lvl>
  </w:abstractNum>
  <w:abstractNum w:abstractNumId="249">
    <w:nsid w:val="3D69565B"/>
    <w:multiLevelType w:val="hybridMultilevel"/>
    <w:lvl w:ilvl="0">
      <w:lvlJc w:val="left"/>
      <w:lvlText w:val="(%1)"/>
      <w:numFmt w:val="lowerLetter"/>
      <w:start w:val="2"/>
    </w:lvl>
    <w:lvl w:ilvl="1">
      <w:lvlJc w:val="left"/>
      <w:lvlText w:val="%2"/>
      <w:numFmt w:val="lowerRoman"/>
      <w:start w:val="1"/>
    </w:lvl>
  </w:abstractNum>
  <w:abstractNum w:abstractNumId="250">
    <w:nsid w:val="2299DCBC"/>
    <w:multiLevelType w:val="hybridMultilevel"/>
    <w:lvl w:ilvl="0">
      <w:lvlJc w:val="left"/>
      <w:lvlText w:val="(%1)"/>
      <w:numFmt w:val="lowerLetter"/>
      <w:start w:val="1"/>
    </w:lvl>
  </w:abstractNum>
  <w:abstractNum w:abstractNumId="251">
    <w:nsid w:val="19908D02"/>
    <w:multiLevelType w:val="hybridMultilevel"/>
    <w:lvl w:ilvl="0">
      <w:lvlJc w:val="left"/>
      <w:lvlText w:val="(%1)"/>
      <w:numFmt w:val="lowerLetter"/>
      <w:start w:val="2"/>
    </w:lvl>
  </w:abstractNum>
  <w:abstractNum w:abstractNumId="252">
    <w:nsid w:val="24D48BDB"/>
    <w:multiLevelType w:val="hybridMultilevel"/>
    <w:lvl w:ilvl="0">
      <w:lvlJc w:val="left"/>
      <w:lvlText w:val="(%1)"/>
      <w:numFmt w:val="lowerLetter"/>
      <w:start w:val="5"/>
    </w:lvl>
  </w:abstractNum>
  <w:abstractNum w:abstractNumId="253">
    <w:nsid w:val="542DA5B5"/>
    <w:multiLevelType w:val="hybridMultilevel"/>
    <w:lvl w:ilvl="0">
      <w:lvlJc w:val="left"/>
      <w:lvlText w:val="(%1)"/>
      <w:numFmt w:val="lowerLetter"/>
      <w:start w:val="7"/>
    </w:lvl>
  </w:abstractNum>
  <w:abstractNum w:abstractNumId="254">
    <w:nsid w:val="793753DE"/>
    <w:multiLevelType w:val="hybridMultilevel"/>
    <w:lvl w:ilvl="0">
      <w:lvlJc w:val="left"/>
      <w:lvlText w:val="(%1)"/>
      <w:numFmt w:val="lowerLetter"/>
      <w:start w:val="1"/>
    </w:lvl>
  </w:abstractNum>
  <w:abstractNum w:abstractNumId="255">
    <w:nsid w:val="1C67CB3D"/>
    <w:multiLevelType w:val="hybridMultilevel"/>
    <w:lvl w:ilvl="0">
      <w:lvlJc w:val="left"/>
      <w:lvlText w:val="(%1)"/>
      <w:numFmt w:val="lowerLetter"/>
      <w:start w:val="1"/>
    </w:lvl>
  </w:abstractNum>
  <w:abstractNum w:abstractNumId="256">
    <w:nsid w:val="40E29452"/>
    <w:multiLevelType w:val="hybridMultilevel"/>
    <w:lvl w:ilvl="0">
      <w:lvlJc w:val="left"/>
      <w:lvlText w:val="(%1)"/>
      <w:numFmt w:val="lowerLetter"/>
      <w:start w:val="8"/>
    </w:lvl>
  </w:abstractNum>
  <w:abstractNum w:abstractNumId="257">
    <w:nsid w:val="63A4AAB6"/>
    <w:multiLevelType w:val="hybridMultilevel"/>
    <w:lvl w:ilvl="0">
      <w:lvlJc w:val="left"/>
      <w:lvlText w:val="(%1)"/>
      <w:numFmt w:val="lowerLetter"/>
      <w:start w:val="1"/>
    </w:lvl>
  </w:abstractNum>
  <w:abstractNum w:abstractNumId="258">
    <w:nsid w:val="77DA4A57"/>
    <w:multiLevelType w:val="hybridMultilevel"/>
    <w:lvl w:ilvl="0">
      <w:lvlJc w:val="left"/>
      <w:lvlText w:val="(%1)"/>
      <w:numFmt w:val="lowerLetter"/>
      <w:start w:val="6"/>
    </w:lvl>
  </w:abstractNum>
  <w:abstractNum w:abstractNumId="259">
    <w:nsid w:val="1230F102"/>
    <w:multiLevelType w:val="hybridMultilevel"/>
    <w:lvl w:ilvl="0">
      <w:lvlJc w:val="left"/>
      <w:lvlText w:val="(%1)"/>
      <w:numFmt w:val="lowerLetter"/>
      <w:start w:val="13"/>
    </w:lvl>
  </w:abstractNum>
  <w:abstractNum w:abstractNumId="260">
    <w:nsid w:val="25B57ED4"/>
    <w:multiLevelType w:val="hybridMultilevel"/>
    <w:lvl w:ilvl="0">
      <w:lvlJc w:val="left"/>
      <w:lvlText w:val="(%1)"/>
      <w:numFmt w:val="lowerLetter"/>
      <w:start w:val="18"/>
    </w:lvl>
  </w:abstractNum>
  <w:abstractNum w:abstractNumId="261">
    <w:nsid w:val="47CF16C4"/>
    <w:multiLevelType w:val="hybridMultilevel"/>
    <w:lvl w:ilvl="0">
      <w:lvlJc w:val="left"/>
      <w:lvlText w:val="(%1)"/>
      <w:numFmt w:val="lowerLetter"/>
      <w:start w:val="1"/>
    </w:lvl>
  </w:abstractNum>
  <w:abstractNum w:abstractNumId="262">
    <w:nsid w:val="527FA04C"/>
    <w:multiLevelType w:val="hybridMultilevel"/>
    <w:lvl w:ilvl="0">
      <w:lvlJc w:val="left"/>
      <w:lvlText w:val="(%1)"/>
      <w:numFmt w:val="lowerLetter"/>
      <w:start w:val="2"/>
    </w:lvl>
  </w:abstractNum>
  <w:abstractNum w:abstractNumId="263">
    <w:nsid w:val="6FCC0624"/>
    <w:multiLevelType w:val="hybridMultilevel"/>
    <w:lvl w:ilvl="0">
      <w:lvlJc w:val="left"/>
      <w:lvlText w:val="(%1)"/>
      <w:numFmt w:val="lowerLetter"/>
      <w:start w:val="1"/>
    </w:lvl>
  </w:abstractNum>
  <w:abstractNum w:abstractNumId="264">
    <w:nsid w:val="1DCDF795"/>
    <w:multiLevelType w:val="hybridMultilevel"/>
    <w:lvl w:ilvl="0">
      <w:lvlJc w:val="left"/>
      <w:lvlText w:val="(%1)"/>
      <w:numFmt w:val="lowerLetter"/>
      <w:start w:val="1"/>
    </w:lvl>
  </w:abstractNum>
  <w:abstractNum w:abstractNumId="265">
    <w:nsid w:val="564580C8"/>
    <w:multiLevelType w:val="hybridMultilevel"/>
    <w:lvl w:ilvl="0">
      <w:lvlJc w:val="left"/>
      <w:lvlText w:val="(%1)"/>
      <w:numFmt w:val="lowerLetter"/>
      <w:start w:val="2"/>
    </w:lvl>
  </w:abstractNum>
  <w:abstractNum w:abstractNumId="266">
    <w:nsid w:val="508ED897"/>
    <w:multiLevelType w:val="hybridMultilevel"/>
    <w:lvl w:ilvl="0">
      <w:lvlJc w:val="left"/>
      <w:lvlText w:val="(%1)"/>
      <w:numFmt w:val="lowerLetter"/>
      <w:start w:val="5"/>
    </w:lvl>
  </w:abstractNum>
  <w:abstractNum w:abstractNumId="267">
    <w:nsid w:val="6A9126B5"/>
    <w:multiLevelType w:val="hybridMultilevel"/>
    <w:lvl w:ilvl="0">
      <w:lvlJc w:val="left"/>
      <w:lvlText w:val="(%1)"/>
      <w:numFmt w:val="lowerRoman"/>
      <w:start w:val="3"/>
    </w:lvl>
  </w:abstractNum>
  <w:abstractNum w:abstractNumId="268">
    <w:nsid w:val="68104812"/>
    <w:multiLevelType w:val="hybridMultilevel"/>
    <w:lvl w:ilvl="0">
      <w:lvlJc w:val="left"/>
      <w:lvlText w:val="(%1)"/>
      <w:numFmt w:val="lowerLetter"/>
      <w:start w:val="1"/>
    </w:lvl>
  </w:abstractNum>
  <w:abstractNum w:abstractNumId="269">
    <w:nsid w:val="62FB8680"/>
    <w:multiLevelType w:val="hybridMultilevel"/>
    <w:lvl w:ilvl="0">
      <w:lvlJc w:val="left"/>
      <w:lvlText w:val="(%1)"/>
      <w:numFmt w:val="lowerLetter"/>
      <w:start w:val="3"/>
    </w:lvl>
  </w:abstractNum>
  <w:abstractNum w:abstractNumId="270">
    <w:nsid w:val="3A45530"/>
    <w:multiLevelType w:val="hybridMultilevel"/>
    <w:lvl w:ilvl="0">
      <w:lvlJc w:val="left"/>
      <w:lvlText w:val="(%1)"/>
      <w:numFmt w:val="lowerLetter"/>
      <w:start w:val="1"/>
    </w:lvl>
  </w:abstractNum>
  <w:abstractNum w:abstractNumId="271">
    <w:nsid w:val="4B9275D2"/>
    <w:multiLevelType w:val="hybridMultilevel"/>
    <w:lvl w:ilvl="0">
      <w:lvlJc w:val="left"/>
      <w:lvlText w:val="(%1)"/>
      <w:numFmt w:val="lowerLetter"/>
      <w:start w:val="2"/>
    </w:lvl>
  </w:abstractNum>
  <w:abstractNum w:abstractNumId="272">
    <w:nsid w:val="4F0CEEDB"/>
    <w:multiLevelType w:val="hybridMultilevel"/>
    <w:lvl w:ilvl="0">
      <w:lvlJc w:val="left"/>
      <w:lvlText w:val="(%1)"/>
      <w:numFmt w:val="lowerLetter"/>
      <w:start w:val="5"/>
    </w:lvl>
  </w:abstractNum>
  <w:abstractNum w:abstractNumId="273">
    <w:nsid w:val="61C30361"/>
    <w:multiLevelType w:val="hybridMultilevel"/>
    <w:lvl w:ilvl="0">
      <w:lvlJc w:val="left"/>
      <w:lvlText w:val="(%1)"/>
      <w:numFmt w:val="lowerLetter"/>
      <w:start w:val="1"/>
    </w:lvl>
  </w:abstractNum>
  <w:abstractNum w:abstractNumId="274">
    <w:nsid w:val="632099E0"/>
    <w:multiLevelType w:val="hybridMultilevel"/>
    <w:lvl w:ilvl="0">
      <w:lvlJc w:val="left"/>
      <w:lvlText w:val="(%1)"/>
      <w:numFmt w:val="lowerLetter"/>
      <w:start w:val="5"/>
    </w:lvl>
    <w:lvl w:ilvl="1">
      <w:lvlJc w:val="left"/>
      <w:lvlText w:val="(%2)"/>
      <w:numFmt w:val="lowerRoman"/>
      <w:start w:val="1"/>
    </w:lvl>
  </w:abstractNum>
  <w:abstractNum w:abstractNumId="275">
    <w:nsid w:val="24639756"/>
    <w:multiLevelType w:val="hybridMultilevel"/>
    <w:lvl w:ilvl="0">
      <w:lvlJc w:val="left"/>
      <w:lvlText w:val="%1"/>
      <w:numFmt w:val="lowerLetter"/>
      <w:start w:val="1"/>
    </w:lvl>
    <w:lvl w:ilvl="1">
      <w:lvlJc w:val="left"/>
      <w:lvlText w:val="(%2)"/>
      <w:numFmt w:val="lowerRoman"/>
      <w:start w:val="5"/>
    </w:lvl>
  </w:abstractNum>
  <w:abstractNum w:abstractNumId="276">
    <w:nsid w:val="9D30DFD"/>
    <w:multiLevelType w:val="hybridMultilevel"/>
    <w:lvl w:ilvl="0">
      <w:lvlJc w:val="left"/>
      <w:lvlText w:val="(%1)"/>
      <w:numFmt w:val="lowerLetter"/>
      <w:start w:val="7"/>
    </w:lvl>
    <w:lvl w:ilvl="1">
      <w:lvlJc w:val="left"/>
      <w:lvlText w:val="%2"/>
      <w:numFmt w:val="lowerRoman"/>
      <w:start w:val="1"/>
    </w:lvl>
  </w:abstractNum>
  <w:abstractNum w:abstractNumId="277">
    <w:nsid w:val="70A42016"/>
    <w:multiLevelType w:val="hybridMultilevel"/>
    <w:lvl w:ilvl="0">
      <w:lvlJc w:val="left"/>
      <w:lvlText w:val="(%1)"/>
      <w:numFmt w:val="lowerLetter"/>
      <w:start w:val="1"/>
    </w:lvl>
  </w:abstractNum>
  <w:abstractNum w:abstractNumId="278">
    <w:nsid w:val="161BC243"/>
    <w:multiLevelType w:val="hybridMultilevel"/>
    <w:lvl w:ilvl="0">
      <w:lvlJc w:val="left"/>
      <w:lvlText w:val="(%1)"/>
      <w:numFmt w:val="lowerLetter"/>
      <w:start w:val="3"/>
    </w:lvl>
  </w:abstractNum>
  <w:abstractNum w:abstractNumId="279">
    <w:nsid w:val="16E908C8"/>
    <w:multiLevelType w:val="hybridMultilevel"/>
    <w:lvl w:ilvl="0">
      <w:lvlJc w:val="left"/>
      <w:lvlText w:val="(%1)"/>
      <w:numFmt w:val="lowerLetter"/>
      <w:start w:val="5"/>
    </w:lvl>
  </w:abstractNum>
  <w:abstractNum w:abstractNumId="280">
    <w:nsid w:val="2E0D7671"/>
    <w:multiLevelType w:val="hybridMultilevel"/>
    <w:lvl w:ilvl="0">
      <w:lvlJc w:val="left"/>
      <w:lvlText w:val="(%1)"/>
      <w:numFmt w:val="lowerLetter"/>
      <w:start w:val="1"/>
    </w:lvl>
  </w:abstractNum>
  <w:abstractNum w:abstractNumId="281">
    <w:nsid w:val="38B59EFF"/>
    <w:multiLevelType w:val="hybridMultilevel"/>
    <w:lvl w:ilvl="0">
      <w:lvlJc w:val="left"/>
      <w:lvlText w:val="(%1)"/>
      <w:numFmt w:val="lowerLetter"/>
      <w:start w:val="4"/>
    </w:lvl>
  </w:abstractNum>
  <w:abstractNum w:abstractNumId="282">
    <w:nsid w:val="307995CA"/>
    <w:multiLevelType w:val="hybridMultilevel"/>
    <w:lvl w:ilvl="0">
      <w:lvlJc w:val="left"/>
      <w:lvlText w:val="(%1)"/>
      <w:numFmt w:val="lowerLetter"/>
      <w:start w:val="7"/>
    </w:lvl>
  </w:abstractNum>
  <w:abstractNum w:abstractNumId="283">
    <w:nsid w:val="52E2024D"/>
    <w:multiLevelType w:val="hybridMultilevel"/>
    <w:lvl w:ilvl="0">
      <w:lvlJc w:val="left"/>
      <w:lvlText w:val="(%1)"/>
      <w:numFmt w:val="lowerLetter"/>
      <w:start w:val="1"/>
    </w:lvl>
  </w:abstractNum>
  <w:abstractNum w:abstractNumId="284">
    <w:nsid w:val="CE344B5"/>
    <w:multiLevelType w:val="hybridMultilevel"/>
    <w:lvl w:ilvl="0">
      <w:lvlJc w:val="left"/>
      <w:lvlText w:val="(%1)"/>
      <w:numFmt w:val="lowerLetter"/>
      <w:start w:val="3"/>
    </w:lvl>
  </w:abstractNum>
  <w:abstractNum w:abstractNumId="285">
    <w:nsid w:val="29B0E9A8"/>
    <w:multiLevelType w:val="hybridMultilevel"/>
    <w:lvl w:ilvl="0">
      <w:lvlJc w:val="left"/>
      <w:lvlText w:val="(%1)"/>
      <w:numFmt w:val="lowerLetter"/>
      <w:start w:val="1"/>
    </w:lvl>
  </w:abstractNum>
  <w:abstractNum w:abstractNumId="286">
    <w:nsid w:val="6F49CD8A"/>
    <w:multiLevelType w:val="hybridMultilevel"/>
    <w:lvl w:ilvl="0">
      <w:lvlJc w:val="left"/>
      <w:lvlText w:val="(%1)"/>
      <w:numFmt w:val="lowerLetter"/>
      <w:start w:val="8"/>
    </w:lvl>
  </w:abstractNum>
  <w:abstractNum w:abstractNumId="287">
    <w:nsid w:val="4DC5D907"/>
    <w:multiLevelType w:val="hybridMultilevel"/>
    <w:lvl w:ilvl="0">
      <w:lvlJc w:val="left"/>
      <w:lvlText w:val="(%1)"/>
      <w:numFmt w:val="lowerLetter"/>
      <w:start w:val="1"/>
    </w:lvl>
  </w:abstractNum>
  <w:abstractNum w:abstractNumId="288">
    <w:nsid w:val="D55945E"/>
    <w:multiLevelType w:val="hybridMultilevel"/>
    <w:lvl w:ilvl="0">
      <w:lvlJc w:val="left"/>
      <w:lvlText w:val="(%1)"/>
      <w:numFmt w:val="lowerLetter"/>
      <w:start w:val="2"/>
    </w:lvl>
  </w:abstractNum>
  <w:abstractNum w:abstractNumId="289">
    <w:nsid w:val="672417E1"/>
    <w:multiLevelType w:val="hybridMultilevel"/>
    <w:lvl w:ilvl="0">
      <w:lvlJc w:val="left"/>
      <w:lvlText w:val="(%1)"/>
      <w:numFmt w:val="lowerLetter"/>
      <w:start w:val="7"/>
    </w:lvl>
  </w:abstractNum>
  <w:abstractNum w:abstractNumId="290">
    <w:nsid w:val="5FF6CA09"/>
    <w:multiLevelType w:val="hybridMultilevel"/>
    <w:lvl w:ilvl="0">
      <w:lvlJc w:val="left"/>
      <w:lvlText w:val="(%1)"/>
      <w:numFmt w:val="lowerLetter"/>
      <w:start w:val="14"/>
    </w:lvl>
  </w:abstractNum>
  <w:abstractNum w:abstractNumId="291">
    <w:nsid w:val="330B1333"/>
    <w:multiLevelType w:val="hybridMultilevel"/>
    <w:lvl w:ilvl="0">
      <w:lvlJc w:val="left"/>
      <w:lvlText w:val="(%1)"/>
      <w:numFmt w:val="lowerRoman"/>
      <w:start w:val="1"/>
    </w:lvl>
  </w:abstractNum>
  <w:abstractNum w:abstractNumId="292">
    <w:nsid w:val="2EF32EA6"/>
    <w:multiLevelType w:val="hybridMultilevel"/>
    <w:lvl w:ilvl="0">
      <w:lvlJc w:val="left"/>
      <w:lvlText w:val="(%1)"/>
      <w:numFmt w:val="lowerLetter"/>
      <w:start w:val="2"/>
    </w:lvl>
  </w:abstractNum>
  <w:abstractNum w:abstractNumId="293">
    <w:nsid w:val="32766A55"/>
    <w:multiLevelType w:val="hybridMultilevel"/>
    <w:lvl w:ilvl="0">
      <w:lvlJc w:val="left"/>
      <w:lvlText w:val="%1"/>
      <w:numFmt w:val="lowerLetter"/>
      <w:start w:val="1"/>
    </w:lvl>
    <w:lvl w:ilvl="1">
      <w:lvlJc w:val="left"/>
      <w:lvlText w:val="(%2)"/>
      <w:numFmt w:val="lowerLetter"/>
      <w:start w:val="1"/>
    </w:lvl>
  </w:abstractNum>
  <w:abstractNum w:abstractNumId="294">
    <w:nsid w:val="22D71957"/>
    <w:multiLevelType w:val="hybridMultilevel"/>
    <w:lvl w:ilvl="0">
      <w:lvlJc w:val="left"/>
      <w:lvlText w:val="(%1)"/>
      <w:numFmt w:val="lowerLetter"/>
      <w:start w:val="61"/>
    </w:lvl>
    <w:lvl w:ilvl="1">
      <w:lvlJc w:val="left"/>
      <w:lvlText w:val="%2"/>
      <w:numFmt w:val="lowerLetter"/>
      <w:start w:val="1"/>
    </w:lvl>
  </w:abstractNum>
  <w:abstractNum w:abstractNumId="295">
    <w:nsid w:val="4CC1263B"/>
    <w:multiLevelType w:val="hybridMultilevel"/>
    <w:lvl w:ilvl="0">
      <w:lvlJc w:val="left"/>
      <w:lvlText w:val="%1"/>
      <w:numFmt w:val="upperLetter"/>
      <w:start w:val="1"/>
    </w:lvl>
    <w:lvl w:ilvl="1">
      <w:lvlJc w:val="left"/>
      <w:lvlText w:val="(%2)"/>
      <w:numFmt w:val="lowerRoman"/>
      <w:start w:val="1"/>
    </w:lvl>
  </w:abstractNum>
  <w:abstractNum w:abstractNumId="296">
    <w:nsid w:val="8BBEB1D"/>
    <w:multiLevelType w:val="hybridMultilevel"/>
    <w:lvl w:ilvl="0">
      <w:lvlJc w:val="left"/>
      <w:lvlText w:val="(%1)"/>
      <w:numFmt w:val="upperLetter"/>
      <w:start w:val="1"/>
    </w:lvl>
    <w:lvl w:ilvl="1">
      <w:lvlJc w:val="left"/>
      <w:lvlText w:val="(%2)"/>
      <w:numFmt w:val="lowerRoman"/>
      <w:start w:val="3"/>
    </w:lvl>
  </w:abstractNum>
  <w:abstractNum w:abstractNumId="297">
    <w:nsid w:val="7365F1EE"/>
    <w:multiLevelType w:val="hybridMultilevel"/>
    <w:lvl w:ilvl="0">
      <w:lvlJc w:val="left"/>
      <w:lvlText w:val="(%1)"/>
      <w:numFmt w:val="lowerRoman"/>
      <w:start w:val="7"/>
    </w:lvl>
  </w:abstractNum>
  <w:abstractNum w:abstractNumId="298">
    <w:nsid w:val="37524CF0"/>
    <w:multiLevelType w:val="hybridMultilevel"/>
    <w:lvl w:ilvl="0">
      <w:lvlJc w:val="left"/>
      <w:lvlText w:val="(%1)"/>
      <w:numFmt w:val="lowerLetter"/>
      <w:start w:val="1"/>
    </w:lvl>
  </w:abstractNum>
  <w:abstractNum w:abstractNumId="299">
    <w:nsid w:val="70CC332F"/>
    <w:multiLevelType w:val="hybridMultilevel"/>
    <w:lvl w:ilvl="0">
      <w:lvlJc w:val="left"/>
      <w:lvlText w:val="%1"/>
      <w:numFmt w:val="upperLetter"/>
      <w:start w:val="1"/>
    </w:lvl>
    <w:lvl w:ilvl="1">
      <w:lvlJc w:val="left"/>
      <w:lvlText w:val="(%2)"/>
      <w:numFmt w:val="lowerRoman"/>
      <w:start w:val="1"/>
    </w:lvl>
  </w:abstractNum>
  <w:abstractNum w:abstractNumId="300">
    <w:nsid w:val="5661786E"/>
    <w:multiLevelType w:val="hybridMultilevel"/>
    <w:lvl w:ilvl="0">
      <w:lvlJc w:val="left"/>
      <w:lvlText w:val="(%1)"/>
      <w:numFmt w:val="upperLetter"/>
      <w:start w:val="1"/>
    </w:lvl>
    <w:lvl w:ilvl="1">
      <w:lvlJc w:val="left"/>
      <w:lvlText w:val="(%2)"/>
      <w:numFmt w:val="lowerRoman"/>
      <w:start w:val="3"/>
    </w:lvl>
  </w:abstractNum>
  <w:abstractNum w:abstractNumId="301">
    <w:nsid w:val="3AF6A220"/>
    <w:multiLevelType w:val="hybridMultilevel"/>
    <w:lvl w:ilvl="0">
      <w:lvlJc w:val="left"/>
      <w:lvlText w:val="(%1)"/>
      <w:numFmt w:val="lowerRoman"/>
      <w:start w:val="7"/>
    </w:lvl>
  </w:abstractNum>
  <w:abstractNum w:abstractNumId="302">
    <w:nsid w:val="3C5EA902"/>
    <w:multiLevelType w:val="hybridMultilevel"/>
    <w:lvl w:ilvl="0">
      <w:lvlJc w:val="left"/>
      <w:lvlText w:val="(%1)"/>
      <w:numFmt w:val="lowerLetter"/>
      <w:start w:val="3"/>
    </w:lvl>
  </w:abstractNum>
  <w:abstractNum w:abstractNumId="303">
    <w:nsid w:val="256E6749"/>
    <w:multiLevelType w:val="hybridMultilevel"/>
    <w:lvl w:ilvl="0">
      <w:lvlJc w:val="left"/>
      <w:lvlText w:val="%1"/>
      <w:numFmt w:val="lowerLetter"/>
      <w:start w:val="1"/>
    </w:lvl>
    <w:lvl w:ilvl="1">
      <w:lvlJc w:val="left"/>
      <w:lvlText w:val="(%2)"/>
      <w:numFmt w:val="lowerLetter"/>
      <w:start w:val="1"/>
    </w:lvl>
  </w:abstractNum>
  <w:abstractNum w:abstractNumId="304">
    <w:nsid w:val="1CB9A581"/>
    <w:multiLevelType w:val="hybridMultilevel"/>
    <w:lvl w:ilvl="0">
      <w:lvlJc w:val="left"/>
      <w:lvlText w:val="(%1)"/>
      <w:numFmt w:val="lowerLetter"/>
      <w:start w:val="22"/>
    </w:lvl>
    <w:lvl w:ilvl="1">
      <w:lvlJc w:val="left"/>
      <w:lvlText w:val="%2"/>
      <w:numFmt w:val="lowerLetter"/>
      <w:start w:val="1"/>
    </w:lvl>
  </w:abstractNum>
  <w:abstractNum w:abstractNumId="305">
    <w:nsid w:val="1F7F42E2"/>
    <w:multiLevelType w:val="hybridMultilevel"/>
    <w:lvl w:ilvl="0">
      <w:lvlJc w:val="left"/>
      <w:lvlText w:val="(%1)"/>
      <w:numFmt w:val="lowerLetter"/>
      <w:start w:val="2"/>
    </w:lvl>
  </w:abstractNum>
  <w:abstractNum w:abstractNumId="306">
    <w:nsid w:val="49D1FEA0"/>
    <w:multiLevelType w:val="hybridMultilevel"/>
    <w:lvl w:ilvl="0">
      <w:lvlJc w:val="left"/>
      <w:lvlText w:val="(%1)"/>
      <w:numFmt w:val="lowerLetter"/>
      <w:start w:val="1"/>
    </w:lvl>
  </w:abstractNum>
  <w:abstractNum w:abstractNumId="307">
    <w:nsid w:val="268CB37F"/>
    <w:multiLevelType w:val="hybridMultilevel"/>
    <w:lvl w:ilvl="0">
      <w:lvlJc w:val="left"/>
      <w:lvlText w:val="(%1)"/>
      <w:numFmt w:val="lowerLetter"/>
      <w:start w:val="2"/>
    </w:lvl>
  </w:abstractNum>
  <w:abstractNum w:abstractNumId="308">
    <w:nsid w:val="102362F8"/>
    <w:multiLevelType w:val="hybridMultilevel"/>
    <w:lvl w:ilvl="0">
      <w:lvlJc w:val="left"/>
      <w:lvlText w:val="(%1)"/>
      <w:numFmt w:val="lowerLetter"/>
      <w:start w:val="1"/>
    </w:lvl>
  </w:abstractNum>
  <w:abstractNum w:abstractNumId="309">
    <w:nsid w:val="5FEDC0E3"/>
    <w:multiLevelType w:val="hybridMultilevel"/>
    <w:lvl w:ilvl="0">
      <w:lvlJc w:val="left"/>
      <w:lvlText w:val="(%1)"/>
      <w:numFmt w:val="lowerLetter"/>
      <w:start w:val="1"/>
    </w:lvl>
  </w:abstractNum>
  <w:abstractNum w:abstractNumId="310">
    <w:nsid w:val="3D75BC47"/>
    <w:multiLevelType w:val="hybridMultilevel"/>
    <w:lvl w:ilvl="0">
      <w:lvlJc w:val="left"/>
      <w:lvlText w:val="(%1)"/>
      <w:numFmt w:val="lowerLetter"/>
      <w:start w:val="2"/>
    </w:lvl>
  </w:abstractNum>
  <w:abstractNum w:abstractNumId="311">
    <w:nsid w:val="3E30D969"/>
    <w:multiLevelType w:val="hybridMultilevel"/>
    <w:lvl w:ilvl="0">
      <w:lvlJc w:val="left"/>
      <w:lvlText w:val="(%1)"/>
      <w:numFmt w:val="lowerLetter"/>
      <w:start w:val="1"/>
    </w:lvl>
  </w:abstractNum>
  <w:abstractNum w:abstractNumId="312">
    <w:nsid w:val="18A35FE3"/>
    <w:multiLevelType w:val="hybridMultilevel"/>
    <w:lvl w:ilvl="0">
      <w:lvlJc w:val="left"/>
      <w:lvlText w:val="(%1)"/>
      <w:numFmt w:val="lowerLetter"/>
      <w:start w:val="4"/>
    </w:lvl>
  </w:abstractNum>
  <w:abstractNum w:abstractNumId="313">
    <w:nsid w:val="6DEF5211"/>
    <w:multiLevelType w:val="hybridMultilevel"/>
    <w:lvl w:ilvl="0">
      <w:lvlJc w:val="left"/>
      <w:lvlText w:val="(%1)"/>
      <w:numFmt w:val="lowerLetter"/>
      <w:start w:val="1"/>
    </w:lvl>
  </w:abstractNum>
  <w:abstractNum w:abstractNumId="314">
    <w:nsid w:val="1112DBB6"/>
    <w:multiLevelType w:val="hybridMultilevel"/>
    <w:lvl w:ilvl="0">
      <w:lvlJc w:val="left"/>
      <w:lvlText w:val="(%1)"/>
      <w:numFmt w:val="lowerLetter"/>
      <w:start w:val="3"/>
    </w:lvl>
  </w:abstractNum>
  <w:abstractNum w:abstractNumId="315">
    <w:nsid w:val="2586A498"/>
    <w:multiLevelType w:val="hybridMultilevel"/>
    <w:lvl w:ilvl="0">
      <w:lvlJc w:val="left"/>
      <w:lvlText w:val="(%1)"/>
      <w:numFmt w:val="lowerLetter"/>
      <w:start w:val="5"/>
    </w:lvl>
  </w:abstractNum>
  <w:abstractNum w:abstractNumId="316">
    <w:nsid w:val="17A03BB9"/>
    <w:multiLevelType w:val="hybridMultilevel"/>
    <w:lvl w:ilvl="0">
      <w:lvlJc w:val="left"/>
      <w:lvlText w:val="%1"/>
      <w:numFmt w:val="decimal"/>
      <w:start w:val="1"/>
    </w:lvl>
    <w:lvl w:ilvl="1">
      <w:lvlJc w:val="left"/>
      <w:lvlText w:val="(%2)"/>
      <w:numFmt w:val="lowerLetter"/>
      <w:start w:val="1"/>
    </w:lvl>
  </w:abstractNum>
  <w:abstractNum w:abstractNumId="317">
    <w:nsid w:val="5CA941"/>
    <w:multiLevelType w:val="hybridMultilevel"/>
    <w:lvl w:ilvl="0">
      <w:lvlJc w:val="left"/>
      <w:lvlText w:val="(%1)"/>
      <w:numFmt w:val="decimal"/>
      <w:start w:val="10"/>
    </w:lvl>
    <w:lvl w:ilvl="1">
      <w:lvlJc w:val="left"/>
      <w:lvlText w:val="%2"/>
      <w:numFmt w:val="lowerLetter"/>
      <w:start w:val="1"/>
    </w:lvl>
  </w:abstractNum>
  <w:abstractNum w:abstractNumId="318">
    <w:nsid w:val="734C7D9F"/>
    <w:multiLevelType w:val="hybridMultilevel"/>
    <w:lvl w:ilvl="0">
      <w:lvlJc w:val="left"/>
      <w:lvlText w:val="(%1)"/>
      <w:numFmt w:val="lowerLetter"/>
      <w:start w:val="1"/>
    </w:lvl>
  </w:abstractNum>
  <w:abstractNum w:abstractNumId="319">
    <w:nsid w:val="24F5D018"/>
    <w:multiLevelType w:val="hybridMultilevel"/>
    <w:lvl w:ilvl="0">
      <w:lvlJc w:val="left"/>
      <w:lvlText w:val="(%1)"/>
      <w:numFmt w:val="lowerLetter"/>
      <w:start w:val="2"/>
    </w:lvl>
  </w:abstractNum>
  <w:abstractNum w:abstractNumId="320">
    <w:nsid w:val="6780C122"/>
    <w:multiLevelType w:val="hybridMultilevel"/>
    <w:lvl w:ilvl="0">
      <w:lvlJc w:val="left"/>
      <w:lvlText w:val="(%1)"/>
      <w:numFmt w:val="lowerLetter"/>
      <w:start w:val="2"/>
    </w:lvl>
  </w:abstractNum>
  <w:abstractNum w:abstractNumId="321">
    <w:nsid w:val="534347A8"/>
    <w:multiLevelType w:val="hybridMultilevel"/>
    <w:lvl w:ilvl="0">
      <w:lvlJc w:val="left"/>
      <w:lvlText w:val="(%1)"/>
      <w:numFmt w:val="lowerLetter"/>
      <w:start w:val="1"/>
    </w:lvl>
  </w:abstractNum>
  <w:abstractNum w:abstractNumId="322">
    <w:nsid w:val="5800E34B"/>
    <w:multiLevelType w:val="hybridMultilevel"/>
    <w:lvl w:ilvl="0">
      <w:lvlJc w:val="left"/>
      <w:lvlText w:val="(%1)"/>
      <w:numFmt w:val="lowerLetter"/>
      <w:start w:val="5"/>
    </w:lvl>
  </w:abstractNum>
  <w:abstractNum w:abstractNumId="323">
    <w:nsid w:val="1673EFC8"/>
    <w:multiLevelType w:val="hybridMultilevel"/>
    <w:lvl w:ilvl="0">
      <w:lvlJc w:val="left"/>
      <w:lvlText w:val="(%1)"/>
      <w:numFmt w:val="lowerLetter"/>
      <w:start w:val="1"/>
    </w:lvl>
  </w:abstractNum>
  <w:abstractNum w:abstractNumId="324">
    <w:nsid w:val="5B9B1FD"/>
    <w:multiLevelType w:val="hybridMultilevel"/>
    <w:lvl w:ilvl="0">
      <w:lvlJc w:val="left"/>
      <w:lvlText w:val="(%1)"/>
      <w:numFmt w:val="lowerLetter"/>
      <w:start w:val="4"/>
    </w:lvl>
  </w:abstractNum>
  <w:abstractNum w:abstractNumId="325">
    <w:nsid w:val="7AD7FCA2"/>
    <w:multiLevelType w:val="hybridMultilevel"/>
    <w:lvl w:ilvl="0">
      <w:lvlJc w:val="left"/>
      <w:lvlText w:val="(%1)"/>
      <w:numFmt w:val="lowerLetter"/>
      <w:start w:val="1"/>
    </w:lvl>
  </w:abstractNum>
  <w:abstractNum w:abstractNumId="326">
    <w:nsid w:val="63351604"/>
    <w:multiLevelType w:val="hybridMultilevel"/>
    <w:lvl w:ilvl="0">
      <w:lvlJc w:val="left"/>
      <w:lvlText w:val="(%1)"/>
      <w:numFmt w:val="lowerLetter"/>
      <w:start w:val="4"/>
    </w:lvl>
  </w:abstractNum>
  <w:abstractNum w:abstractNumId="327">
    <w:nsid w:val="E759D1A"/>
    <w:multiLevelType w:val="hybridMultilevel"/>
    <w:lvl w:ilvl="0">
      <w:lvlJc w:val="left"/>
      <w:lvlText w:val="(%1)"/>
      <w:numFmt w:val="lowerLetter"/>
      <w:start w:val="1"/>
    </w:lvl>
  </w:abstractNum>
  <w:abstractNum w:abstractNumId="328">
    <w:nsid w:val="6E3DEE90"/>
    <w:multiLevelType w:val="hybridMultilevel"/>
    <w:lvl w:ilvl="0">
      <w:lvlJc w:val="left"/>
      <w:lvlText w:val="(%1)"/>
      <w:numFmt w:val="lowerLetter"/>
      <w:start w:val="2"/>
    </w:lvl>
  </w:abstractNum>
  <w:abstractNum w:abstractNumId="329">
    <w:nsid w:val="1A8762F4"/>
    <w:multiLevelType w:val="hybridMultilevel"/>
    <w:lvl w:ilvl="0">
      <w:lvlJc w:val="left"/>
      <w:lvlText w:val="(%1)"/>
      <w:numFmt w:val="lowerLetter"/>
      <w:start w:val="1"/>
    </w:lvl>
  </w:abstractNum>
  <w:abstractNum w:abstractNumId="330">
    <w:nsid w:val="7F41D049"/>
    <w:multiLevelType w:val="hybridMultilevel"/>
    <w:lvl w:ilvl="0">
      <w:lvlJc w:val="left"/>
      <w:lvlText w:val="(%1)"/>
      <w:numFmt w:val="lowerLetter"/>
      <w:start w:val="1"/>
    </w:lvl>
  </w:abstractNum>
  <w:abstractNum w:abstractNumId="331">
    <w:nsid w:val="449F66FE"/>
    <w:multiLevelType w:val="hybridMultilevel"/>
    <w:lvl w:ilvl="0">
      <w:lvlJc w:val="left"/>
      <w:lvlText w:val="(%1)"/>
      <w:numFmt w:val="lowerLetter"/>
      <w:start w:val="1"/>
    </w:lvl>
  </w:abstractNum>
  <w:abstractNum w:abstractNumId="332">
    <w:nsid w:val="557E0515"/>
    <w:multiLevelType w:val="hybridMultilevel"/>
    <w:lvl w:ilvl="0">
      <w:lvlJc w:val="left"/>
      <w:lvlText w:val="(%1)"/>
      <w:numFmt w:val="lowerLetter"/>
      <w:start w:val="2"/>
    </w:lvl>
  </w:abstractNum>
  <w:abstractNum w:abstractNumId="333">
    <w:nsid w:val="3BA0794B"/>
    <w:multiLevelType w:val="hybridMultilevel"/>
    <w:lvl w:ilvl="0">
      <w:lvlJc w:val="left"/>
      <w:lvlText w:val="(%1)"/>
      <w:numFmt w:val="lowerLetter"/>
      <w:start w:val="8"/>
    </w:lvl>
  </w:abstractNum>
  <w:abstractNum w:abstractNumId="334">
    <w:nsid w:val="6A0DCE48"/>
    <w:multiLevelType w:val="hybridMultilevel"/>
    <w:lvl w:ilvl="0">
      <w:lvlJc w:val="left"/>
      <w:lvlText w:val="(%1)"/>
      <w:numFmt w:val="lowerLetter"/>
      <w:start w:val="1"/>
    </w:lvl>
  </w:abstractNum>
  <w:abstractNum w:abstractNumId="335">
    <w:nsid w:val="7237AA96"/>
    <w:multiLevelType w:val="hybridMultilevel"/>
    <w:lvl w:ilvl="0">
      <w:lvlJc w:val="left"/>
      <w:lvlText w:val="(%1)"/>
      <w:numFmt w:val="lowerLetter"/>
      <w:start w:val="2"/>
    </w:lvl>
  </w:abstractNum>
  <w:abstractNum w:abstractNumId="336">
    <w:nsid w:val="5B1FBC2D"/>
    <w:multiLevelType w:val="hybridMultilevel"/>
    <w:lvl w:ilvl="0">
      <w:lvlJc w:val="left"/>
      <w:lvlText w:val="(%1)"/>
      <w:numFmt w:val="lowerLetter"/>
      <w:start w:val="1"/>
    </w:lvl>
  </w:abstractNum>
  <w:abstractNum w:abstractNumId="337">
    <w:nsid w:val="33DFCCE8"/>
    <w:multiLevelType w:val="hybridMultilevel"/>
    <w:lvl w:ilvl="0">
      <w:lvlJc w:val="left"/>
      <w:lvlText w:val="(%1)"/>
      <w:numFmt w:val="lowerLetter"/>
      <w:start w:val="1"/>
    </w:lvl>
  </w:abstractNum>
  <w:abstractNum w:abstractNumId="338">
    <w:nsid w:val="18C45E15"/>
    <w:multiLevelType w:val="hybridMultilevel"/>
    <w:lvl w:ilvl="0">
      <w:lvlJc w:val="left"/>
      <w:lvlText w:val="(%1)"/>
      <w:numFmt w:val="lowerLetter"/>
      <w:start w:val="4"/>
    </w:lvl>
  </w:abstractNum>
  <w:abstractNum w:abstractNumId="339">
    <w:nsid w:val="6B431F25"/>
    <w:multiLevelType w:val="hybridMultilevel"/>
    <w:lvl w:ilvl="0">
      <w:lvlJc w:val="left"/>
      <w:lvlText w:val="%1)"/>
      <w:numFmt w:val="lowerLetter"/>
      <w:start w:val="1"/>
    </w:lvl>
  </w:abstractNum>
  <w:abstractNum w:abstractNumId="340">
    <w:nsid w:val="13CD8DCB"/>
    <w:multiLevelType w:val="hybridMultilevel"/>
    <w:lvl w:ilvl="0">
      <w:lvlJc w:val="left"/>
      <w:lvlText w:val="(%1)"/>
      <w:numFmt w:val="lowerLetter"/>
      <w:start w:val="1"/>
    </w:lvl>
  </w:abstractNum>
  <w:abstractNum w:abstractNumId="341">
    <w:nsid w:val="563A1A5C"/>
    <w:multiLevelType w:val="hybridMultilevel"/>
    <w:lvl w:ilvl="0">
      <w:lvlJc w:val="left"/>
      <w:lvlText w:val="●"/>
      <w:numFmt w:val="bullet"/>
      <w:start w:val="1"/>
    </w:lvl>
  </w:abstractNum>
  <w:abstractNum w:abstractNumId="342">
    <w:nsid w:val="2973F88F"/>
    <w:multiLevelType w:val="hybridMultilevel"/>
    <w:lvl w:ilvl="0">
      <w:lvlJc w:val="left"/>
      <w:lvlText w:val="●"/>
      <w:numFmt w:val="bullet"/>
      <w:start w:val="1"/>
    </w:lvl>
  </w:abstractNum>
  <w:abstractNum w:abstractNumId="343">
    <w:nsid w:val="2C70EDAE"/>
    <w:multiLevelType w:val="hybridMultilevel"/>
    <w:lvl w:ilvl="0">
      <w:lvlJc w:val="left"/>
      <w:lvlText w:val="●"/>
      <w:numFmt w:val="bullet"/>
      <w:start w:val="1"/>
    </w:lvl>
  </w:abstractNum>
  <w:abstractNum w:abstractNumId="344">
    <w:nsid w:val="44296C6D"/>
    <w:multiLevelType w:val="hybridMultilevel"/>
    <w:lvl w:ilvl="0">
      <w:lvlJc w:val="left"/>
      <w:lvlText w:val="(%1)"/>
      <w:numFmt w:val="lowerLetter"/>
      <w:start w:val="6"/>
    </w:lvl>
  </w:abstractNum>
  <w:abstractNum w:abstractNumId="345">
    <w:nsid w:val="3A86D445"/>
    <w:multiLevelType w:val="hybridMultilevel"/>
    <w:lvl w:ilvl="0">
      <w:lvlJc w:val="left"/>
      <w:lvlText w:val="%1)"/>
      <w:numFmt w:val="lowerLetter"/>
      <w:start w:val="2"/>
    </w:lvl>
  </w:abstractNum>
  <w:abstractNum w:abstractNumId="346">
    <w:nsid w:val="51F79246"/>
    <w:multiLevelType w:val="hybridMultilevel"/>
    <w:lvl w:ilvl="0">
      <w:lvlJc w:val="left"/>
      <w:lvlText w:val="%1)"/>
      <w:numFmt w:val="lowerLetter"/>
      <w:start w:val="1"/>
    </w:lvl>
  </w:abstractNum>
  <w:abstractNum w:abstractNumId="347">
    <w:nsid w:val="5BC9A827"/>
    <w:multiLevelType w:val="hybridMultilevel"/>
    <w:lvl w:ilvl="0">
      <w:lvlJc w:val="left"/>
      <w:lvlText w:val="1"/>
      <w:numFmt w:val="bullet"/>
      <w:start w:val="1"/>
    </w:lvl>
  </w:abstractNum>
  <w:abstractNum w:abstractNumId="348">
    <w:nsid w:val="3AE37D86"/>
    <w:multiLevelType w:val="hybridMultilevel"/>
    <w:lvl w:ilvl="0">
      <w:lvlJc w:val="left"/>
      <w:lvlText w:val="(%1)"/>
      <w:numFmt w:val="lowerRoman"/>
      <w:start w:val="1"/>
    </w:lvl>
  </w:abstractNum>
  <w:abstractNum w:abstractNumId="349">
    <w:nsid w:val="45440FE5"/>
    <w:multiLevelType w:val="hybridMultilevel"/>
    <w:lvl w:ilvl="0">
      <w:lvlJc w:val="left"/>
      <w:lvlText w:val="(%1)"/>
      <w:numFmt w:val="lowerRoman"/>
      <w:start w:val="10"/>
    </w:lvl>
  </w:abstractNum>
  <w:abstractNum w:abstractNumId="350">
    <w:nsid w:val="BF783F"/>
    <w:multiLevelType w:val="hybridMultilevel"/>
    <w:lvl w:ilvl="0">
      <w:lvlJc w:val="left"/>
      <w:lvlText w:val="(%1)"/>
      <w:numFmt w:val="lowerLetter"/>
      <w:start w:val="1"/>
    </w:lvl>
  </w:abstractNum>
  <w:abstractNum w:abstractNumId="351">
    <w:nsid w:val="22643EA9"/>
    <w:multiLevelType w:val="hybridMultilevel"/>
    <w:lvl w:ilvl="0">
      <w:lvlJc w:val="left"/>
      <w:lvlText w:val="(%1)"/>
      <w:numFmt w:val="decimal"/>
      <w:start w:val="1"/>
    </w:lvl>
    <w:lvl w:ilvl="1">
      <w:lvlJc w:val="left"/>
      <w:lvlText w:val="%2."/>
      <w:numFmt w:val="lowerLetter"/>
      <w:start w:val="1"/>
    </w:lvl>
  </w:abstractNum>
  <w:abstractNum w:abstractNumId="352">
    <w:nsid w:val="1887578D"/>
    <w:multiLevelType w:val="hybridMultilevel"/>
    <w:lvl w:ilvl="0">
      <w:lvlJc w:val="left"/>
      <w:lvlText w:val="(%1)"/>
      <w:numFmt w:val="lowerLetter"/>
      <w:start w:val="3"/>
    </w:lvl>
  </w:abstractNum>
  <w:abstractNum w:abstractNumId="353">
    <w:nsid w:val="58C05B8A"/>
    <w:multiLevelType w:val="hybridMultilevel"/>
    <w:lvl w:ilvl="0">
      <w:lvlJc w:val="left"/>
      <w:lvlText w:val="(%1)"/>
      <w:numFmt w:val="decimal"/>
      <w:start w:val="1"/>
    </w:lvl>
  </w:abstractNum>
  <w:abstractNum w:abstractNumId="354">
    <w:nsid w:val="38D82E71"/>
    <w:multiLevelType w:val="hybridMultilevel"/>
    <w:lvl w:ilvl="0">
      <w:lvlJc w:val="left"/>
      <w:lvlText w:val="(%1)"/>
      <w:numFmt w:val="lowerLetter"/>
      <w:start w:val="5"/>
    </w:lvl>
  </w:abstractNum>
  <w:abstractNum w:abstractNumId="355">
    <w:nsid w:val="1E41098A"/>
    <w:multiLevelType w:val="hybridMultilevel"/>
    <w:lvl w:ilvl="0">
      <w:lvlJc w:val="left"/>
      <w:lvlText w:val="(%1)"/>
      <w:numFmt w:val="lowerLetter"/>
      <w:start w:val="7"/>
    </w:lvl>
  </w:abstractNum>
  <w:abstractNum w:abstractNumId="356">
    <w:nsid w:val="5398582C"/>
    <w:multiLevelType w:val="hybridMultilevel"/>
    <w:lvl w:ilvl="0">
      <w:lvlJc w:val="left"/>
      <w:lvlText w:val="(%1)"/>
      <w:numFmt w:val="lowerLetter"/>
      <w:start w:val="6"/>
    </w:lvl>
  </w:abstractNum>
  <w:abstractNum w:abstractNumId="357">
    <w:nsid w:val="1C0D4475"/>
    <w:multiLevelType w:val="hybridMultilevel"/>
    <w:lvl w:ilvl="0">
      <w:lvlJc w:val="left"/>
      <w:lvlText w:val="(%1)"/>
      <w:numFmt w:val="lowerLetter"/>
      <w:start w:val="9"/>
    </w:lvl>
  </w:abstractNum>
  <w:abstractNum w:abstractNumId="358">
    <w:nsid w:val="2CB6A6A4"/>
    <w:multiLevelType w:val="hybridMultilevel"/>
    <w:lvl w:ilvl="0">
      <w:lvlJc w:val="left"/>
      <w:lvlText w:val="(%1)"/>
      <w:numFmt w:val="lowerLetter"/>
      <w:start w:val="1"/>
    </w:lvl>
  </w:abstractNum>
  <w:abstractNum w:abstractNumId="359">
    <w:nsid w:val="41D646BC"/>
    <w:multiLevelType w:val="hybridMultilevel"/>
    <w:lvl w:ilvl="0">
      <w:lvlJc w:val="left"/>
      <w:lvlText w:val="%1"/>
      <w:numFmt w:val="decimal"/>
      <w:start w:val="101"/>
    </w:lvl>
  </w:abstractNum>
  <w:abstractNum w:abstractNumId="360">
    <w:nsid w:val="3694A76A"/>
    <w:multiLevelType w:val="hybridMultilevel"/>
    <w:lvl w:ilvl="0">
      <w:lvlJc w:val="left"/>
      <w:lvlText w:val="**"/>
      <w:numFmt w:val="bullet"/>
      <w:start w:val="1"/>
    </w:lvl>
  </w:abstractNum>
  <w:abstractNum w:abstractNumId="361">
    <w:nsid w:val="2BF876EE"/>
    <w:multiLevelType w:val="hybridMultilevel"/>
    <w:lvl w:ilvl="0">
      <w:lvlJc w:val="left"/>
      <w:lvlText w:val="+"/>
      <w:numFmt w:val="bullet"/>
      <w:start w:val="1"/>
    </w:lvl>
  </w:abstractNum>
  <w:abstractNum w:abstractNumId="362">
    <w:nsid w:val="675ADBA"/>
    <w:multiLevelType w:val="hybridMultilevel"/>
    <w:lvl w:ilvl="0">
      <w:lvlJc w:val="left"/>
      <w:lvlText w:val="(%1)"/>
      <w:numFmt w:val="lowerLetter"/>
      <w:start w:val="2"/>
    </w:lvl>
  </w:abstractNum>
  <w:abstractNum w:abstractNumId="363">
    <w:nsid w:val="C12AC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4">
    <w:nsid w:val="6798F03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65">
    <w:nsid w:val="70837C0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6">
    <w:nsid w:val="7E4A5715"/>
    <w:multiLevelType w:val="hybridMultilevel"/>
    <w:lvl w:ilvl="0">
      <w:lvlJc w:val="left"/>
      <w:lvlText w:val="(%1)"/>
      <w:numFmt w:val="lowerLetter"/>
      <w:start w:val="3"/>
    </w:lvl>
  </w:abstractNum>
  <w:abstractNum w:abstractNumId="367">
    <w:nsid w:val="42B8AC67"/>
    <w:multiLevelType w:val="hybridMultilevel"/>
    <w:lvl w:ilvl="0">
      <w:lvlJc w:val="left"/>
      <w:lvlText w:val="(%1)"/>
      <w:numFmt w:val="lowerLetter"/>
      <w:start w:val="5"/>
    </w:lvl>
  </w:abstractNum>
  <w:abstractNum w:abstractNumId="368">
    <w:nsid w:val="246348EA"/>
    <w:multiLevelType w:val="hybridMultilevel"/>
    <w:lvl w:ilvl="0">
      <w:lvlJc w:val="left"/>
      <w:lvlText w:val="*"/>
      <w:numFmt w:val="bullet"/>
      <w:start w:val="1"/>
    </w:lvl>
  </w:abstractNum>
  <w:abstractNum w:abstractNumId="369">
    <w:nsid w:val="170EB52B"/>
    <w:multiLevelType w:val="hybridMultilevel"/>
    <w:lvl w:ilvl="0">
      <w:lvlJc w:val="left"/>
      <w:lvlText w:val="(%1)"/>
      <w:numFmt w:val="lowerLetter"/>
      <w:start w:val="1"/>
    </w:lvl>
    <w:lvl w:ilvl="1">
      <w:lvlJc w:val="left"/>
      <w:lvlText w:val="(%2)"/>
      <w:numFmt w:val="lowerRoman"/>
      <w:start w:val="1"/>
    </w:lvl>
  </w:abstractNum>
  <w:abstractNum w:abstractNumId="370">
    <w:nsid w:val="2DFBCB8C"/>
    <w:multiLevelType w:val="hybridMultilevel"/>
    <w:lvl w:ilvl="0">
      <w:lvlJc w:val="left"/>
      <w:lvlText w:val="(%1)"/>
      <w:numFmt w:val="lowerLetter"/>
      <w:start w:val="2"/>
    </w:lvl>
  </w:abstractNum>
  <w:abstractNum w:abstractNumId="371">
    <w:nsid w:val="3830D6B6"/>
    <w:multiLevelType w:val="hybridMultilevel"/>
    <w:lvl w:ilvl="0">
      <w:lvlJc w:val="left"/>
      <w:lvlText w:val="(%1)"/>
      <w:numFmt w:val="lowerRoman"/>
      <w:start w:val="1"/>
    </w:lvl>
  </w:abstractNum>
  <w:abstractNum w:abstractNumId="372">
    <w:nsid w:val="6D48CF87"/>
    <w:multiLevelType w:val="hybridMultilevel"/>
    <w:lvl w:ilvl="0">
      <w:lvlJc w:val="left"/>
      <w:lvlText w:val="(%1)"/>
      <w:numFmt w:val="lowerLetter"/>
      <w:start w:val="3"/>
    </w:lvl>
    <w:lvl w:ilvl="1">
      <w:lvlJc w:val="left"/>
      <w:lvlText w:val="%2."/>
      <w:numFmt w:val="lowerRoman"/>
      <w:start w:val="1"/>
    </w:lvl>
  </w:abstractNum>
  <w:abstractNum w:abstractNumId="373">
    <w:nsid w:val="576FC41B"/>
    <w:multiLevelType w:val="hybridMultilevel"/>
    <w:lvl w:ilvl="0">
      <w:lvlJc w:val="left"/>
      <w:lvlText w:val="(%1)"/>
      <w:numFmt w:val="lowerLetter"/>
      <w:start w:val="1"/>
    </w:lvl>
  </w:abstractNum>
  <w:abstractNum w:abstractNumId="374">
    <w:nsid w:val="64A1C464"/>
    <w:multiLevelType w:val="hybridMultilevel"/>
    <w:lvl w:ilvl="0">
      <w:lvlJc w:val="left"/>
      <w:lvlText w:val="(%1)"/>
      <w:numFmt w:val="lowerLetter"/>
      <w:start w:val="5"/>
    </w:lvl>
  </w:abstractNum>
  <w:abstractNum w:abstractNumId="375">
    <w:nsid w:val="31723BF5"/>
    <w:multiLevelType w:val="hybridMultilevel"/>
    <w:lvl w:ilvl="0">
      <w:lvlJc w:val="left"/>
      <w:lvlText w:val="(%1)"/>
      <w:numFmt w:val="lowerLetter"/>
      <w:start w:val="12"/>
    </w:lvl>
  </w:abstractNum>
  <w:abstractNum w:abstractNumId="376">
    <w:nsid w:val="11F69861"/>
    <w:multiLevelType w:val="hybridMultilevel"/>
    <w:lvl w:ilvl="0">
      <w:lvlJc w:val="left"/>
      <w:lvlText w:val="%1."/>
      <w:numFmt w:val="upperLetter"/>
      <w:start w:val="1"/>
    </w:lvl>
  </w:abstractNum>
  <w:abstractNum w:abstractNumId="377">
    <w:nsid w:val="369956AB"/>
    <w:multiLevelType w:val="hybridMultilevel"/>
    <w:lvl w:ilvl="0">
      <w:lvlJc w:val="left"/>
      <w:lvlText w:val="%1."/>
      <w:numFmt w:val="upperLetter"/>
      <w:start w:val="8"/>
    </w:lvl>
  </w:abstractNum>
  <w:abstractNum w:abstractNumId="378">
    <w:nsid w:val="D3BE41C"/>
    <w:multiLevelType w:val="hybridMultilevel"/>
    <w:lvl w:ilvl="0">
      <w:lvlJc w:val="left"/>
      <w:lvlText w:val="%1."/>
      <w:numFmt w:val="decimal"/>
      <w:start w:val="1"/>
    </w:lvl>
    <w:lvl w:ilvl="1">
      <w:lvlJc w:val="left"/>
      <w:lvlText w:val="(%2)"/>
      <w:numFmt w:val="lowerLetter"/>
      <w:start w:val="1"/>
    </w:lvl>
  </w:abstractNum>
  <w:abstractNum w:abstractNumId="379">
    <w:nsid w:val="4CDA15E7"/>
    <w:multiLevelType w:val="hybridMultilevel"/>
    <w:lvl w:ilvl="0">
      <w:lvlJc w:val="left"/>
      <w:lvlText w:val="%1."/>
      <w:numFmt w:val="decimal"/>
      <w:start w:val="2"/>
    </w:lvl>
    <w:lvl w:ilvl="1">
      <w:lvlJc w:val="left"/>
      <w:lvlText w:val="(%2)"/>
      <w:numFmt w:val="lowerLetter"/>
      <w:start w:val="1"/>
    </w:lvl>
  </w:abstractNum>
  <w:abstractNum w:abstractNumId="380">
    <w:nsid w:val="7BDD669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81">
    <w:nsid w:val="DFB5C5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82">
    <w:nsid w:val="6F3E549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83">
    <w:nsid w:val="1464BE1E"/>
    <w:multiLevelType w:val="hybridMultilevel"/>
    <w:lvl w:ilvl="0">
      <w:lvlJc w:val="left"/>
      <w:lvlText w:val="(%1)"/>
      <w:numFmt w:val="lowerLetter"/>
      <w:start w:val="3"/>
    </w:lvl>
  </w:abstractNum>
  <w:abstractNum w:abstractNumId="384">
    <w:nsid w:val="66BBB7E5"/>
    <w:multiLevelType w:val="hybridMultilevel"/>
    <w:lvl w:ilvl="0">
      <w:lvlJc w:val="left"/>
      <w:lvlText w:val="(%1)"/>
      <w:numFmt w:val="lowerLetter"/>
      <w:start w:val="6"/>
    </w:lvl>
  </w:abstractNum>
  <w:abstractNum w:abstractNumId="385">
    <w:nsid w:val="28168302"/>
    <w:multiLevelType w:val="hybridMultilevel"/>
    <w:lvl w:ilvl="0">
      <w:lvlJc w:val="left"/>
      <w:lvlText w:val="%1"/>
      <w:numFmt w:val="decimal"/>
      <w:start w:val="1"/>
    </w:lvl>
    <w:lvl w:ilvl="1">
      <w:lvlJc w:val="left"/>
      <w:lvlText w:val="(%2)"/>
      <w:numFmt w:val="lowerLetter"/>
      <w:start w:val="9"/>
    </w:lvl>
  </w:abstractNum>
  <w:abstractNum w:abstractNumId="386">
    <w:nsid w:val="32A5C7A8"/>
    <w:multiLevelType w:val="hybridMultilevel"/>
    <w:lvl w:ilvl="0">
      <w:lvlJc w:val="left"/>
      <w:lvlText w:val="%1."/>
      <w:numFmt w:val="decimal"/>
      <w:start w:val="7"/>
    </w:lvl>
    <w:lvl w:ilvl="1">
      <w:lvlJc w:val="left"/>
      <w:lvlText w:val="(%2)"/>
      <w:numFmt w:val="lowerLetter"/>
      <w:start w:val="1"/>
    </w:lvl>
  </w:abstractNum>
  <w:abstractNum w:abstractNumId="387">
    <w:nsid w:val="3A541011"/>
    <w:multiLevelType w:val="hybridMultilevel"/>
    <w:lvl w:ilvl="0">
      <w:lvlJc w:val="left"/>
      <w:lvlText w:val="%1"/>
      <w:numFmt w:val="decimal"/>
      <w:start w:val="1"/>
    </w:lvl>
    <w:lvl w:ilvl="1">
      <w:lvlJc w:val="left"/>
      <w:lvlText w:val="(%2)"/>
      <w:numFmt w:val="lowerLetter"/>
      <w:start w:val="6"/>
    </w:lvl>
  </w:abstractNum>
  <w:abstractNum w:abstractNumId="388">
    <w:nsid w:val="4423C777"/>
    <w:multiLevelType w:val="hybridMultilevel"/>
    <w:lvl w:ilvl="0">
      <w:lvlJc w:val="left"/>
      <w:lvlText w:val="%1."/>
      <w:numFmt w:val="decimal"/>
      <w:start w:val="8"/>
    </w:lvl>
    <w:lvl w:ilvl="1">
      <w:lvlJc w:val="left"/>
      <w:lvlText w:val="(%2)"/>
      <w:numFmt w:val="lowerLetter"/>
      <w:start w:val="1"/>
    </w:lvl>
  </w:abstractNum>
  <w:abstractNum w:abstractNumId="389">
    <w:nsid w:val="5F5C6E4D"/>
    <w:multiLevelType w:val="hybridMultilevel"/>
    <w:lvl w:ilvl="0">
      <w:lvlJc w:val="left"/>
      <w:lvlText w:val="%1"/>
      <w:numFmt w:val="decimal"/>
      <w:start w:val="1"/>
    </w:lvl>
    <w:lvl w:ilvl="1">
      <w:lvlJc w:val="left"/>
      <w:lvlText w:val="(%2)"/>
      <w:numFmt w:val="lowerLetter"/>
      <w:start w:val="4"/>
    </w:lvl>
  </w:abstractNum>
  <w:abstractNum w:abstractNumId="390">
    <w:nsid w:val="7C2A56CD"/>
    <w:multiLevelType w:val="hybridMultilevel"/>
    <w:lvl w:ilvl="0">
      <w:lvlJc w:val="left"/>
      <w:lvlText w:val="%1."/>
      <w:numFmt w:val="decimal"/>
      <w:start w:val="9"/>
    </w:lvl>
    <w:lvl w:ilvl="1">
      <w:lvlJc w:val="left"/>
      <w:lvlText w:val="(%2)"/>
      <w:numFmt w:val="lowerLetter"/>
      <w:start w:val="1"/>
    </w:lvl>
  </w:abstractNum>
  <w:abstractNum w:abstractNumId="391">
    <w:nsid w:val="7AB86EE1"/>
    <w:multiLevelType w:val="hybridMultilevel"/>
    <w:lvl w:ilvl="0">
      <w:lvlJc w:val="left"/>
      <w:lvlText w:val="(%1)"/>
      <w:numFmt w:val="lowerLetter"/>
      <w:start w:val="5"/>
    </w:lvl>
  </w:abstractNum>
  <w:abstractNum w:abstractNumId="392">
    <w:nsid w:val="B54E53B"/>
    <w:multiLevelType w:val="hybridMultilevel"/>
    <w:lvl w:ilvl="0">
      <w:lvlJc w:val="left"/>
      <w:lvlText w:val="%1."/>
      <w:numFmt w:val="decimal"/>
      <w:start w:val="10"/>
    </w:lvl>
  </w:abstractNum>
  <w:abstractNum w:abstractNumId="393">
    <w:nsid w:val="2A00487"/>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94">
    <w:nsid w:val="6CB1B60"/>
    <w:multiLevelType w:val="hybridMultilevel"/>
    <w:lvl w:ilvl="0">
      <w:lvlJc w:val="left"/>
      <w:lvlText w:val="%1"/>
      <w:numFmt w:val="lowerLetter"/>
      <w:start w:val="1"/>
    </w:lvl>
    <w:lvl w:ilvl="1">
      <w:lvlJc w:val="left"/>
      <w:lvlText w:val="(%2)"/>
      <w:numFmt w:val="lowerRoman"/>
      <w:start w:val="4"/>
    </w:lvl>
  </w:abstractNum>
  <w:abstractNum w:abstractNumId="395">
    <w:nsid w:val="72EDD574"/>
    <w:multiLevelType w:val="hybridMultilevel"/>
    <w:lvl w:ilvl="0">
      <w:lvlJc w:val="left"/>
      <w:lvlText w:val="(%1)"/>
      <w:numFmt w:val="lowerLetter"/>
      <w:start w:val="4"/>
    </w:lvl>
    <w:lvl w:ilvl="1">
      <w:lvlJc w:val="left"/>
      <w:lvlText w:val="%2"/>
      <w:numFmt w:val="lowerRoman"/>
      <w:start w:val="1"/>
    </w:lvl>
  </w:abstractNum>
  <w:abstractNum w:abstractNumId="396">
    <w:nsid w:val="7323808A"/>
    <w:multiLevelType w:val="hybridMultilevel"/>
    <w:lvl w:ilvl="0">
      <w:lvlJc w:val="left"/>
      <w:lvlText w:val="%1"/>
      <w:numFmt w:val="decimal"/>
      <w:start w:val="1"/>
    </w:lvl>
    <w:lvl w:ilvl="1">
      <w:lvlJc w:val="left"/>
      <w:lvlText w:val="(%2)"/>
      <w:numFmt w:val="lowerLetter"/>
      <w:start w:val="11"/>
    </w:lvl>
  </w:abstractNum>
  <w:abstractNum w:abstractNumId="397">
    <w:nsid w:val="5157276"/>
    <w:multiLevelType w:val="hybridMultilevel"/>
    <w:lvl w:ilvl="0">
      <w:lvlJc w:val="left"/>
      <w:lvlText w:val="%1."/>
      <w:numFmt w:val="decimal"/>
      <w:start w:val="14"/>
    </w:lvl>
    <w:lvl w:ilvl="1">
      <w:lvlJc w:val="left"/>
      <w:lvlText w:val="%2"/>
      <w:numFmt w:val="lowerLetter"/>
      <w:start w:val="1"/>
    </w:lvl>
  </w:abstractNum>
  <w:abstractNum w:abstractNumId="398">
    <w:nsid w:val="35A681DB"/>
    <w:multiLevelType w:val="hybridMultilevel"/>
    <w:lvl w:ilvl="0">
      <w:lvlJc w:val="left"/>
      <w:lvlText w:val="%1."/>
      <w:numFmt w:val="decimal"/>
      <w:start w:val="17"/>
    </w:lvl>
    <w:lvl w:ilvl="1">
      <w:lvlJc w:val="left"/>
      <w:lvlText w:val="(%2)"/>
      <w:numFmt w:val="lowerLetter"/>
      <w:start w:val="1"/>
    </w:lvl>
  </w:abstractNum>
  <w:abstractNum w:abstractNumId="399">
    <w:nsid w:val="1786C974"/>
    <w:multiLevelType w:val="hybridMultilevel"/>
    <w:lvl w:ilvl="0">
      <w:lvlJc w:val="left"/>
      <w:lvlText w:val="%1."/>
      <w:numFmt w:val="decimal"/>
      <w:start w:val="18"/>
    </w:lvl>
  </w:abstractNum>
  <w:abstractNum w:abstractNumId="400">
    <w:nsid w:val="1C2427A1"/>
    <w:multiLevelType w:val="hybridMultilevel"/>
    <w:lvl w:ilvl="0">
      <w:lvlJc w:val="left"/>
      <w:lvlText w:val="%1."/>
      <w:numFmt w:val="decimal"/>
      <w:start w:val="1"/>
    </w:lvl>
  </w:abstractNum>
  <w:abstractNum w:abstractNumId="401">
    <w:nsid w:val="63A24D68"/>
    <w:multiLevelType w:val="hybridMultilevel"/>
    <w:lvl w:ilvl="0">
      <w:lvlJc w:val="left"/>
      <w:lvlText w:val="%1."/>
      <w:numFmt w:val="decimal"/>
      <w:start w:val="3"/>
    </w:lvl>
  </w:abstractNum>
  <w:abstractNum w:abstractNumId="402">
    <w:nsid w:val="4FB7A02A"/>
    <w:multiLevelType w:val="hybridMultilevel"/>
    <w:lvl w:ilvl="0">
      <w:lvlJc w:val="left"/>
      <w:lvlText w:val="%1."/>
      <w:numFmt w:val="decimal"/>
      <w:start w:val="4"/>
    </w:lvl>
  </w:abstractNum>
  <w:abstractNum w:abstractNumId="403">
    <w:nsid w:val="96CF728"/>
    <w:multiLevelType w:val="hybridMultilevel"/>
    <w:lvl w:ilvl="0">
      <w:lvlJc w:val="left"/>
      <w:lvlText w:val="(%1)"/>
      <w:numFmt w:val="lowerLetter"/>
      <w:start w:val="1"/>
    </w:lvl>
  </w:abstractNum>
  <w:abstractNum w:abstractNumId="404">
    <w:nsid w:val="3B121183"/>
    <w:multiLevelType w:val="hybridMultilevel"/>
    <w:lvl w:ilvl="0">
      <w:lvlJc w:val="left"/>
      <w:lvlText w:val="(%1)"/>
      <w:numFmt w:val="lowerLetter"/>
      <w:start w:val="2"/>
    </w:lvl>
  </w:abstractNum>
  <w:abstractNum w:abstractNumId="405">
    <w:nsid w:val="3459648F"/>
    <w:multiLevelType w:val="hybridMultilevel"/>
    <w:lvl w:ilvl="0">
      <w:lvlJc w:val="left"/>
      <w:lvlText w:val="%1."/>
      <w:numFmt w:val="decimal"/>
      <w:start w:val="5"/>
    </w:lvl>
  </w:abstractNum>
  <w:abstractNum w:abstractNumId="406">
    <w:nsid w:val="3ADF331D"/>
    <w:multiLevelType w:val="hybridMultilevel"/>
    <w:lvl w:ilvl="0">
      <w:lvlJc w:val="left"/>
      <w:lvlText w:val="(%1)"/>
      <w:numFmt w:val="lowerLetter"/>
      <w:start w:val="1"/>
    </w:lvl>
  </w:abstractNum>
  <w:abstractNum w:abstractNumId="407">
    <w:nsid w:val="4D08A9E4"/>
    <w:multiLevelType w:val="hybridMultilevel"/>
    <w:lvl w:ilvl="0">
      <w:lvlJc w:val="left"/>
      <w:lvlText w:val="%1."/>
      <w:numFmt w:val="decimal"/>
      <w:start w:val="6"/>
    </w:lvl>
  </w:abstractNum>
  <w:abstractNum w:abstractNumId="408">
    <w:nsid w:val="6AF2BB3A"/>
    <w:multiLevelType w:val="hybridMultilevel"/>
    <w:lvl w:ilvl="0">
      <w:lvlJc w:val="left"/>
      <w:lvlText w:val="%1."/>
      <w:numFmt w:val="decimal"/>
      <w:start w:val="7"/>
    </w:lvl>
  </w:abstractNum>
  <w:abstractNum w:abstractNumId="409">
    <w:nsid w:val="481B1739"/>
    <w:multiLevelType w:val="hybridMultilevel"/>
    <w:lvl w:ilvl="0">
      <w:lvlJc w:val="left"/>
      <w:lvlText w:val="(%1)"/>
      <w:numFmt w:val="lowerLetter"/>
      <w:start w:val="1"/>
    </w:lvl>
  </w:abstractNum>
  <w:abstractNum w:abstractNumId="410">
    <w:nsid w:val="19E2BFCC"/>
    <w:multiLevelType w:val="hybridMultilevel"/>
    <w:lvl w:ilvl="0">
      <w:lvlJc w:val="left"/>
      <w:lvlText w:val="%1"/>
      <w:numFmt w:val="lowerLetter"/>
      <w:start w:val="1"/>
    </w:lvl>
    <w:lvl w:ilvl="1">
      <w:lvlJc w:val="left"/>
      <w:lvlText w:val="(%2)"/>
      <w:numFmt w:val="lowerRoman"/>
      <w:start w:val="1"/>
    </w:lvl>
  </w:abstractNum>
  <w:abstractNum w:abstractNumId="411">
    <w:nsid w:val="66D021CA"/>
    <w:multiLevelType w:val="hybridMultilevel"/>
    <w:lvl w:ilvl="0">
      <w:lvlJc w:val="left"/>
      <w:lvlText w:val="(%1)"/>
      <w:numFmt w:val="lowerLetter"/>
      <w:start w:val="6"/>
    </w:lvl>
    <w:lvl w:ilvl="1">
      <w:lvlJc w:val="left"/>
      <w:lvlText w:val="%2"/>
      <w:numFmt w:val="lowerRoman"/>
      <w:start w:val="1"/>
    </w:lvl>
  </w:abstractNum>
  <w:abstractNum w:abstractNumId="412">
    <w:nsid w:val="56167394"/>
    <w:multiLevelType w:val="hybridMultilevel"/>
    <w:lvl w:ilvl="0">
      <w:lvlJc w:val="left"/>
      <w:lvlText w:val="%1."/>
      <w:numFmt w:val="decimal"/>
      <w:start w:val="8"/>
    </w:lvl>
  </w:abstractNum>
  <w:abstractNum w:abstractNumId="413">
    <w:nsid w:val="921145C"/>
    <w:multiLevelType w:val="hybridMultilevel"/>
    <w:lvl w:ilvl="0">
      <w:lvlJc w:val="left"/>
      <w:lvlText w:val="%1."/>
      <w:numFmt w:val="decimal"/>
      <w:start w:val="9"/>
    </w:lvl>
  </w:abstractNum>
  <w:abstractNum w:abstractNumId="414">
    <w:nsid w:val="7B34DFE8"/>
    <w:multiLevelType w:val="hybridMultilevel"/>
    <w:lvl w:ilvl="0">
      <w:lvlJc w:val="left"/>
      <w:lvlText w:val="%1."/>
      <w:numFmt w:val="decimal"/>
      <w:start w:val="10"/>
    </w:lvl>
  </w:abstractNum>
  <w:abstractNum w:abstractNumId="415">
    <w:nsid w:val="3CD22B79"/>
    <w:multiLevelType w:val="hybridMultilevel"/>
    <w:lvl w:ilvl="0">
      <w:lvlJc w:val="left"/>
      <w:lvlText w:val="%1."/>
      <w:numFmt w:val="decimal"/>
      <w:start w:val="12"/>
    </w:lvl>
  </w:abstractNum>
  <w:abstractNum w:abstractNumId="416">
    <w:nsid w:val="3137975E"/>
    <w:multiLevelType w:val="hybridMultilevel"/>
    <w:lvl w:ilvl="0">
      <w:lvlJc w:val="left"/>
      <w:lvlText w:val="%1."/>
      <w:numFmt w:val="decimal"/>
      <w:start w:val="16"/>
    </w:lvl>
  </w:abstractNum>
  <w:abstractNum w:abstractNumId="417">
    <w:nsid w:val="2DDAA791"/>
    <w:multiLevelType w:val="hybridMultilevel"/>
    <w:lvl w:ilvl="0">
      <w:lvlJc w:val="left"/>
      <w:lvlText w:val="%1."/>
      <w:numFmt w:val="decimal"/>
      <w:start w:val="18"/>
    </w:lvl>
  </w:abstractNum>
  <w:abstractNum w:abstractNumId="418">
    <w:nsid w:val="77263B8A"/>
    <w:multiLevelType w:val="hybridMultilevel"/>
    <w:lvl w:ilvl="0">
      <w:lvlJc w:val="left"/>
      <w:lvlText w:val="(%1)"/>
      <w:numFmt w:val="lowerLetter"/>
      <w:start w:val="1"/>
    </w:lvl>
  </w:abstractNum>
  <w:abstractNum w:abstractNumId="419">
    <w:nsid w:val="755B5ED6"/>
    <w:multiLevelType w:val="hybridMultilevel"/>
    <w:lvl w:ilvl="0">
      <w:lvlJc w:val="left"/>
      <w:lvlText w:val="(%1)"/>
      <w:numFmt w:val="lowerLetter"/>
      <w:start w:val="3"/>
    </w:lvl>
  </w:abstractNum>
  <w:abstractNum w:abstractNumId="420">
    <w:nsid w:val="D3715DE"/>
    <w:multiLevelType w:val="hybridMultilevel"/>
    <w:lvl w:ilvl="0">
      <w:lvlJc w:val="left"/>
      <w:lvlText w:val="%1."/>
      <w:numFmt w:val="decimal"/>
      <w:start w:val="1"/>
    </w:lvl>
  </w:abstractNum>
  <w:abstractNum w:abstractNumId="421">
    <w:nsid w:val="73509257"/>
    <w:multiLevelType w:val="hybridMultilevel"/>
    <w:lvl w:ilvl="0">
      <w:lvlJc w:val="left"/>
      <w:lvlText w:val="%1."/>
      <w:numFmt w:val="decimal"/>
      <w:start w:val="3"/>
    </w:lvl>
  </w:abstractNum>
  <w:abstractNum w:abstractNumId="422">
    <w:nsid w:val="7013CDB7"/>
    <w:multiLevelType w:val="hybridMultilevel"/>
    <w:lvl w:ilvl="0">
      <w:lvlJc w:val="left"/>
      <w:lvlText w:val="%1."/>
      <w:numFmt w:val="decimal"/>
      <w:start w:val="4"/>
    </w:lvl>
  </w:abstractNum>
  <w:abstractNum w:abstractNumId="423">
    <w:nsid w:val="188BFB19"/>
    <w:multiLevelType w:val="hybridMultilevel"/>
    <w:lvl w:ilvl="0">
      <w:lvlJc w:val="left"/>
      <w:lvlText w:val="(%1)"/>
      <w:numFmt w:val="lowerLetter"/>
      <w:start w:val="1"/>
    </w:lvl>
  </w:abstractNum>
  <w:abstractNum w:abstractNumId="424">
    <w:nsid w:val="75F096DF"/>
    <w:multiLevelType w:val="hybridMultilevel"/>
    <w:lvl w:ilvl="0">
      <w:lvlJc w:val="left"/>
      <w:lvlText w:val="%1."/>
      <w:numFmt w:val="decimal"/>
      <w:start w:val="5"/>
    </w:lvl>
  </w:abstractNum>
  <w:abstractNum w:abstractNumId="425">
    <w:nsid w:val="76DEE918"/>
    <w:multiLevelType w:val="hybridMultilevel"/>
    <w:lvl w:ilvl="0">
      <w:lvlJc w:val="left"/>
      <w:lvlText w:val="%1."/>
      <w:numFmt w:val="decimal"/>
      <w:start w:val="9"/>
    </w:lvl>
  </w:abstractNum>
  <w:abstractNum w:abstractNumId="426">
    <w:nsid w:val="B79D08D"/>
    <w:multiLevelType w:val="hybridMultilevel"/>
    <w:lvl w:ilvl="0">
      <w:lvlJc w:val="left"/>
      <w:lvlText w:val="(%1)"/>
      <w:numFmt w:val="lowerLetter"/>
      <w:start w:val="1"/>
    </w:lvl>
  </w:abstractNum>
  <w:abstractNum w:abstractNumId="427">
    <w:nsid w:val="69141769"/>
    <w:multiLevelType w:val="hybridMultilevel"/>
    <w:lvl w:ilvl="0">
      <w:lvlJc w:val="left"/>
      <w:lvlText w:val="(%1)"/>
      <w:numFmt w:val="lowerLetter"/>
      <w:start w:val="2"/>
    </w:lvl>
  </w:abstractNum>
  <w:abstractNum w:abstractNumId="428">
    <w:nsid w:val="7BF45B8E"/>
    <w:multiLevelType w:val="hybridMultilevel"/>
    <w:lvl w:ilvl="0">
      <w:lvlJc w:val="left"/>
      <w:lvlText w:val="%1."/>
      <w:numFmt w:val="decimal"/>
      <w:start w:val="11"/>
    </w:lvl>
  </w:abstractNum>
  <w:abstractNum w:abstractNumId="429">
    <w:nsid w:val="41205269"/>
    <w:multiLevelType w:val="hybridMultilevel"/>
    <w:lvl w:ilvl="0">
      <w:lvlJc w:val="left"/>
      <w:lvlText w:val="%1."/>
      <w:numFmt w:val="decimal"/>
      <w:start w:val="1"/>
    </w:lvl>
  </w:abstractNum>
  <w:abstractNum w:abstractNumId="430">
    <w:nsid w:val="9AE0DD"/>
    <w:multiLevelType w:val="hybridMultilevel"/>
    <w:lvl w:ilvl="0">
      <w:lvlJc w:val="left"/>
      <w:lvlText w:val="%1."/>
      <w:numFmt w:val="decimal"/>
      <w:start w:val="2"/>
    </w:lvl>
  </w:abstractNum>
  <w:abstractNum w:abstractNumId="431">
    <w:nsid w:val="1818832F"/>
    <w:multiLevelType w:val="hybridMultilevel"/>
    <w:lvl w:ilvl="0">
      <w:lvlJc w:val="left"/>
      <w:lvlText w:val="%1."/>
      <w:numFmt w:val="decimal"/>
      <w:start w:val="3"/>
    </w:lvl>
  </w:abstractNum>
  <w:abstractNum w:abstractNumId="432">
    <w:nsid w:val="24C29FD1"/>
    <w:multiLevelType w:val="hybridMultilevel"/>
    <w:lvl w:ilvl="0">
      <w:lvlJc w:val="left"/>
      <w:lvlText w:val="☐"/>
      <w:numFmt w:val="bullet"/>
      <w:start w:val="1"/>
    </w:lvl>
  </w:abstractNum>
  <w:abstractNum w:abstractNumId="433">
    <w:nsid w:val="50528108"/>
    <w:multiLevelType w:val="hybridMultilevel"/>
    <w:lvl w:ilvl="0">
      <w:lvlJc w:val="left"/>
      <w:lvlText w:val="☐"/>
      <w:numFmt w:val="bullet"/>
      <w:start w:val="1"/>
    </w:lvl>
  </w:abstractNum>
  <w:abstractNum w:abstractNumId="434">
    <w:nsid w:val="21857A57"/>
    <w:multiLevelType w:val="hybridMultilevel"/>
    <w:lvl w:ilvl="0">
      <w:lvlJc w:val="left"/>
      <w:lvlText w:val="%1."/>
      <w:numFmt w:val="decimal"/>
      <w:start w:val="4"/>
    </w:lvl>
  </w:abstractNum>
  <w:abstractNum w:abstractNumId="435">
    <w:nsid w:val="5FD4B154"/>
    <w:multiLevelType w:val="hybridMultilevel"/>
    <w:lvl w:ilvl="0">
      <w:lvlJc w:val="left"/>
      <w:lvlText w:val="%1."/>
      <w:numFmt w:val="decimal"/>
      <w:start w:val="5"/>
    </w:lvl>
  </w:abstractNum>
  <w:abstractNum w:abstractNumId="436">
    <w:nsid w:val="4ABE597"/>
    <w:multiLevelType w:val="hybridMultilevel"/>
    <w:lvl w:ilvl="0">
      <w:lvlJc w:val="left"/>
      <w:lvlText w:val="☐"/>
      <w:numFmt w:val="bullet"/>
      <w:start w:val="1"/>
    </w:lvl>
  </w:abstractNum>
  <w:abstractNum w:abstractNumId="437">
    <w:nsid w:val="5C64AD75"/>
    <w:multiLevelType w:val="hybridMultilevel"/>
    <w:lvl w:ilvl="0">
      <w:lvlJc w:val="left"/>
      <w:lvlText w:val="%1."/>
      <w:numFmt w:val="decimal"/>
      <w:start w:val="6"/>
    </w:lvl>
  </w:abstractNum>
  <w:abstractNum w:abstractNumId="438">
    <w:nsid w:val="2CDD5B39"/>
    <w:multiLevelType w:val="hybridMultilevel"/>
    <w:lvl w:ilvl="0">
      <w:lvlJc w:val="left"/>
      <w:lvlText w:val="%1"/>
      <w:numFmt w:val="decimal"/>
      <w:start w:val="1"/>
    </w:lvl>
    <w:lvl w:ilvl="1">
      <w:lvlJc w:val="left"/>
      <w:lvlText w:val="%2."/>
      <w:numFmt w:val="decimal"/>
      <w:start w:val="1"/>
    </w:lvl>
  </w:abstractNum>
  <w:abstractNum w:abstractNumId="439">
    <w:nsid w:val="6F9EA0D1"/>
    <w:multiLevelType w:val="hybridMultilevel"/>
    <w:lvl w:ilvl="0">
      <w:lvlJc w:val="left"/>
      <w:lvlText w:val="%1."/>
      <w:numFmt w:val="decimal"/>
      <w:start w:val="2"/>
    </w:lvl>
    <w:lvl w:ilvl="1">
      <w:lvlJc w:val="left"/>
      <w:lvlText w:val="%2"/>
      <w:numFmt w:val="decimal"/>
      <w:start w:val="1"/>
    </w:lvl>
  </w:abstractNum>
  <w:abstractNum w:abstractNumId="440">
    <w:nsid w:val="247FC4AE"/>
    <w:multiLevelType w:val="hybridMultilevel"/>
    <w:lvl w:ilvl="0">
      <w:lvlJc w:val="left"/>
      <w:lvlText w:val="(%1)"/>
      <w:numFmt w:val="lowerLetter"/>
      <w:start w:val="1"/>
    </w:lvl>
  </w:abstractNum>
  <w:abstractNum w:abstractNumId="441">
    <w:nsid w:val="46C01B05"/>
    <w:multiLevelType w:val="hybridMultilevel"/>
    <w:lvl w:ilvl="0">
      <w:lvlJc w:val="left"/>
      <w:lvlText w:val="%1."/>
      <w:numFmt w:val="decimal"/>
      <w:start w:val="1"/>
    </w:lvl>
  </w:abstractNum>
  <w:abstractNum w:abstractNumId="442">
    <w:nsid w:val="566EC29B"/>
    <w:multiLevelType w:val="hybridMultilevel"/>
    <w:lvl w:ilvl="0">
      <w:lvlJc w:val="left"/>
      <w:lvlText w:val="%1."/>
      <w:numFmt w:val="decimal"/>
      <w:start w:val="2"/>
    </w:lvl>
  </w:abstractNum>
  <w:abstractNum w:abstractNumId="443">
    <w:nsid w:val="7A963843"/>
    <w:multiLevelType w:val="hybridMultilevel"/>
    <w:lvl w:ilvl="0">
      <w:lvlJc w:val="left"/>
      <w:lvlText w:val="%1."/>
      <w:numFmt w:val="decimal"/>
      <w:start w:val="3"/>
    </w:lvl>
  </w:abstractNum>
  <w:abstractNum w:abstractNumId="444">
    <w:nsid w:val="4FE12F61"/>
    <w:multiLevelType w:val="hybridMultilevel"/>
    <w:lvl w:ilvl="0">
      <w:lvlJc w:val="left"/>
      <w:lvlText w:val="%1."/>
      <w:numFmt w:val="decimal"/>
      <w:start w:val="4"/>
    </w:lvl>
  </w:abstractNum>
  <w:abstractNum w:abstractNumId="445">
    <w:nsid w:val="51A3A284"/>
    <w:multiLevelType w:val="hybridMultilevel"/>
    <w:lvl w:ilvl="0">
      <w:lvlJc w:val="left"/>
      <w:lvlText w:val="%1."/>
      <w:numFmt w:val="decimal"/>
      <w:start w:val="5"/>
    </w:lvl>
  </w:abstractNum>
  <w:abstractNum w:abstractNumId="446">
    <w:nsid w:val="376863BC"/>
    <w:multiLevelType w:val="hybridMultilevel"/>
    <w:lvl w:ilvl="0">
      <w:lvlJc w:val="left"/>
      <w:lvlText w:val="%1."/>
      <w:numFmt w:val="decimal"/>
      <w:start w:val="6"/>
    </w:lvl>
  </w:abstractNum>
  <w:abstractNum w:abstractNumId="447">
    <w:nsid w:val="118C6C0"/>
    <w:multiLevelType w:val="hybridMultilevel"/>
    <w:lvl w:ilvl="0">
      <w:lvlJc w:val="left"/>
      <w:lvlText w:val="(%1)"/>
      <w:numFmt w:val="lowerLetter"/>
      <w:start w:val="1"/>
    </w:lvl>
  </w:abstractNum>
  <w:abstractNum w:abstractNumId="448">
    <w:nsid w:val="7F7E4A15"/>
    <w:multiLevelType w:val="hybridMultilevel"/>
    <w:lvl w:ilvl="0">
      <w:lvlJc w:val="left"/>
      <w:lvlText w:val="(%1)"/>
      <w:numFmt w:val="lowerLetter"/>
      <w:start w:val="3"/>
    </w:lvl>
  </w:abstractNum>
  <w:abstractNum w:abstractNumId="449">
    <w:nsid w:val="2E8E9F47"/>
    <w:multiLevelType w:val="hybridMultilevel"/>
    <w:lvl w:ilvl="0">
      <w:lvlJc w:val="left"/>
      <w:lvlText w:val="%1"/>
      <w:numFmt w:val="decimal"/>
      <w:start w:val="1"/>
    </w:lvl>
    <w:lvl w:ilvl="1">
      <w:lvlJc w:val="left"/>
      <w:lvlText w:val="%2."/>
      <w:numFmt w:val="decimal"/>
      <w:start w:val="7"/>
    </w:lvl>
  </w:abstractNum>
  <w:abstractNum w:abstractNumId="450">
    <w:nsid w:val="76742596"/>
    <w:multiLevelType w:val="hybridMultilevel"/>
    <w:lvl w:ilvl="0">
      <w:lvlJc w:val="left"/>
      <w:lvlText w:val="(%1)"/>
      <w:numFmt w:val="decimal"/>
      <w:start w:val="180"/>
    </w:lvl>
    <w:lvl w:ilvl="1">
      <w:lvlJc w:val="left"/>
      <w:lvlText w:val="%2."/>
      <w:numFmt w:val="decimal"/>
      <w:start w:val="8"/>
    </w:lvl>
  </w:abstractNum>
  <w:abstractNum w:abstractNumId="451">
    <w:nsid w:val="CB55FF3"/>
    <w:multiLevelType w:val="hybridMultilevel"/>
    <w:lvl w:ilvl="0">
      <w:lvlJc w:val="left"/>
      <w:lvlText w:val="%1."/>
      <w:numFmt w:val="decimal"/>
      <w:start w:val="9"/>
    </w:lvl>
  </w:abstractNum>
  <w:abstractNum w:abstractNumId="452">
    <w:nsid w:val="21DF319E"/>
    <w:multiLevelType w:val="hybridMultilevel"/>
    <w:lvl w:ilvl="0">
      <w:lvlJc w:val="left"/>
      <w:lvlText w:val="(%1)"/>
      <w:numFmt w:val="lowerRoman"/>
      <w:start w:val="3"/>
    </w:lvl>
  </w:abstractNum>
  <w:abstractNum w:abstractNumId="453">
    <w:nsid w:val="6687F34D"/>
    <w:multiLevelType w:val="hybridMultilevel"/>
    <w:lvl w:ilvl="0">
      <w:lvlJc w:val="left"/>
      <w:lvlText w:val="%1."/>
      <w:numFmt w:val="decimal"/>
      <w:start w:val="10"/>
    </w:lvl>
  </w:abstractNum>
  <w:abstractNum w:abstractNumId="454">
    <w:nsid w:val="25415B0C"/>
    <w:multiLevelType w:val="hybridMultilevel"/>
    <w:lvl w:ilvl="0">
      <w:lvlJc w:val="left"/>
      <w:lvlText w:val="%1."/>
      <w:numFmt w:val="decimal"/>
      <w:start w:val="12"/>
    </w:lvl>
  </w:abstractNum>
  <w:abstractNum w:abstractNumId="455">
    <w:nsid w:val="17CFC87D"/>
    <w:multiLevelType w:val="hybridMultilevel"/>
    <w:lvl w:ilvl="0">
      <w:lvlJc w:val="left"/>
      <w:lvlText w:val="%1."/>
      <w:numFmt w:val="decimal"/>
      <w:start w:val="13"/>
    </w:lvl>
  </w:abstractNum>
  <w:abstractNum w:abstractNumId="456">
    <w:nsid w:val="5D66DC65"/>
    <w:multiLevelType w:val="hybridMultilevel"/>
    <w:lvl w:ilvl="0">
      <w:lvlJc w:val="left"/>
      <w:lvlText w:val="(%1)"/>
      <w:numFmt w:val="lowerLetter"/>
      <w:start w:val="1"/>
    </w:lvl>
  </w:abstractNum>
  <w:abstractNum w:abstractNumId="457">
    <w:nsid w:val="30BB2B99"/>
    <w:multiLevelType w:val="hybridMultilevel"/>
    <w:lvl w:ilvl="0">
      <w:lvlJc w:val="left"/>
      <w:lvlText w:val="%1."/>
      <w:numFmt w:val="decimal"/>
      <w:start w:val="14"/>
    </w:lvl>
  </w:abstractNum>
  <w:abstractNum w:abstractNumId="458">
    <w:nsid w:val="E3DFE6"/>
    <w:multiLevelType w:val="hybridMultilevel"/>
    <w:lvl w:ilvl="0">
      <w:lvlJc w:val="left"/>
      <w:lvlText w:val="%1."/>
      <w:numFmt w:val="decimal"/>
      <w:start w:val="17"/>
    </w:lvl>
  </w:abstractNum>
  <w:abstractNum w:abstractNumId="459">
    <w:nsid w:val="595B37F3"/>
    <w:multiLevelType w:val="hybridMultilevel"/>
    <w:lvl w:ilvl="0">
      <w:lvlJc w:val="left"/>
      <w:lvlText w:val="•"/>
      <w:numFmt w:val="bullet"/>
      <w:start w:val="1"/>
    </w:lvl>
  </w:abstractNum>
  <w:abstractNum w:abstractNumId="460">
    <w:nsid w:val="71DB7E02"/>
    <w:multiLevelType w:val="hybridMultilevel"/>
    <w:lvl w:ilvl="0">
      <w:lvlJc w:val="left"/>
      <w:lvlText w:val="•"/>
      <w:numFmt w:val="bullet"/>
      <w:start w:val="1"/>
    </w:lvl>
  </w:abstractNum>
  <w:abstractNum w:abstractNumId="461">
    <w:nsid w:val="17EC0C4"/>
    <w:multiLevelType w:val="hybridMultilevel"/>
    <w:lvl w:ilvl="0">
      <w:lvlJc w:val="left"/>
      <w:lvlText w:val="%1."/>
      <w:numFmt w:val="upperLetter"/>
      <w:start w:val="1"/>
    </w:lvl>
  </w:abstractNum>
  <w:abstractNum w:abstractNumId="462">
    <w:nsid w:val="7173BB22"/>
    <w:multiLevelType w:val="hybridMultilevel"/>
    <w:lvl w:ilvl="0">
      <w:lvlJc w:val="left"/>
      <w:lvlText w:val="%1."/>
      <w:numFmt w:val="decimal"/>
      <w:start w:val="1"/>
    </w:lvl>
  </w:abstractNum>
  <w:abstractNum w:abstractNumId="463">
    <w:nsid w:val="169E1DD3"/>
    <w:multiLevelType w:val="hybridMultilevel"/>
    <w:lvl w:ilvl="0">
      <w:lvlJc w:val="left"/>
      <w:lvlText w:val="%1."/>
      <w:numFmt w:val="decimal"/>
      <w:start w:val="2"/>
    </w:lvl>
  </w:abstractNum>
  <w:abstractNum w:abstractNumId="464">
    <w:nsid w:val="51D141CC"/>
    <w:multiLevelType w:val="hybridMultilevel"/>
    <w:lvl w:ilvl="0">
      <w:lvlJc w:val="left"/>
      <w:lvlText w:val="%1."/>
      <w:numFmt w:val="decimal"/>
      <w:start w:val="4"/>
    </w:lvl>
  </w:abstractNum>
  <w:abstractNum w:abstractNumId="465">
    <w:nsid w:val="12F9357A"/>
    <w:multiLevelType w:val="hybridMultilevel"/>
    <w:lvl w:ilvl="0">
      <w:lvlJc w:val="left"/>
      <w:lvlText w:val="%1."/>
      <w:numFmt w:val="decimal"/>
      <w:start w:val="5"/>
    </w:lvl>
  </w:abstractNum>
  <w:abstractNum w:abstractNumId="466">
    <w:nsid w:val="7672CF28"/>
    <w:multiLevelType w:val="hybridMultilevel"/>
    <w:lvl w:ilvl="0">
      <w:lvlJc w:val="left"/>
      <w:lvlText w:val="%1."/>
      <w:numFmt w:val="decimal"/>
      <w:start w:val="4"/>
    </w:lvl>
  </w:abstractNum>
  <w:abstractNum w:abstractNumId="467">
    <w:nsid w:val="567D2763"/>
    <w:multiLevelType w:val="hybridMultilevel"/>
    <w:lvl w:ilvl="0">
      <w:lvlJc w:val="left"/>
      <w:lvlText w:val="(%1)"/>
      <w:numFmt w:val="lowerRoman"/>
      <w:start w:val="1"/>
    </w:lvl>
  </w:abstractNum>
  <w:abstractNum w:abstractNumId="468">
    <w:nsid w:val="6F5DE2EF"/>
    <w:multiLevelType w:val="hybridMultilevel"/>
    <w:lvl w:ilvl="0">
      <w:lvlJc w:val="left"/>
      <w:lvlText w:val="%1."/>
      <w:numFmt w:val="decimal"/>
      <w:start w:val="5"/>
    </w:lvl>
  </w:abstractNum>
  <w:abstractNum w:abstractNumId="469">
    <w:nsid w:val="23502A61"/>
    <w:multiLevelType w:val="hybridMultilevel"/>
    <w:lvl w:ilvl="0">
      <w:lvlJc w:val="left"/>
      <w:lvlText w:val="%1."/>
      <w:numFmt w:val="decimal"/>
      <w:start w:val="1"/>
    </w:lvl>
  </w:abstractNum>
  <w:abstractNum w:abstractNumId="470">
    <w:nsid w:val="461BC834"/>
    <w:multiLevelType w:val="hybridMultilevel"/>
    <w:lvl w:ilvl="0">
      <w:lvlJc w:val="left"/>
      <w:lvlText w:val="(%1)"/>
      <w:numFmt w:val="lowerLetter"/>
      <w:start w:val="1"/>
    </w:lvl>
  </w:abstractNum>
  <w:abstractNum w:abstractNumId="471">
    <w:nsid w:val="13DDA79D"/>
    <w:multiLevelType w:val="hybridMultilevel"/>
    <w:lvl w:ilvl="0">
      <w:lvlJc w:val="left"/>
      <w:lvlText w:val="%1."/>
      <w:numFmt w:val="decimal"/>
      <w:start w:val="2"/>
    </w:lvl>
  </w:abstractNum>
  <w:abstractNum w:abstractNumId="472">
    <w:nsid w:val="6A104566"/>
    <w:multiLevelType w:val="hybridMultilevel"/>
    <w:lvl w:ilvl="0">
      <w:lvlJc w:val="left"/>
      <w:lvlText w:val="(%1)"/>
      <w:numFmt w:val="lowerRoman"/>
      <w:start w:val="1"/>
    </w:lvl>
  </w:abstractNum>
  <w:abstractNum w:abstractNumId="473">
    <w:nsid w:val="1C8A8ACF"/>
    <w:multiLevelType w:val="hybridMultilevel"/>
    <w:lvl w:ilvl="0">
      <w:lvlJc w:val="left"/>
      <w:lvlText w:val="(%1)"/>
      <w:numFmt w:val="lowerLetter"/>
      <w:start w:val="1"/>
    </w:lvl>
  </w:abstractNum>
  <w:abstractNum w:abstractNumId="474">
    <w:nsid w:val="E73DFE0"/>
    <w:multiLevelType w:val="hybridMultilevel"/>
    <w:lvl w:ilvl="0">
      <w:lvlJc w:val="left"/>
      <w:lvlText w:val="(%1)"/>
      <w:numFmt w:val="lowerLetter"/>
      <w:start w:val="3"/>
    </w:lvl>
  </w:abstractNum>
  <w:abstractNum w:abstractNumId="475">
    <w:nsid w:val="39F174C7"/>
    <w:multiLevelType w:val="hybridMultilevel"/>
    <w:lvl w:ilvl="0">
      <w:lvlJc w:val="left"/>
      <w:lvlText w:val="%1."/>
      <w:numFmt w:val="decimal"/>
      <w:start w:val="3"/>
    </w:lvl>
  </w:abstractNum>
  <w:abstractNum w:abstractNumId="476">
    <w:nsid w:val="6E2E2D53"/>
    <w:multiLevelType w:val="hybridMultilevel"/>
    <w:lvl w:ilvl="0">
      <w:lvlJc w:val="left"/>
      <w:lvlText w:val="%1."/>
      <w:numFmt w:val="decimal"/>
      <w:start w:val="4"/>
    </w:lvl>
  </w:abstractNum>
  <w:abstractNum w:abstractNumId="477">
    <w:nsid w:val="45DC439D"/>
    <w:multiLevelType w:val="hybridMultilevel"/>
    <w:lvl w:ilvl="0">
      <w:lvlJc w:val="left"/>
      <w:lvlText w:val="(%1)"/>
      <w:numFmt w:val="lowerLetter"/>
      <w:start w:val="1"/>
    </w:lvl>
    <w:lvl w:ilvl="1">
      <w:lvlJc w:val="left"/>
      <w:lvlText w:val="(%2)"/>
      <w:numFmt w:val="lowerRoman"/>
      <w:start w:val="1"/>
    </w:lvl>
  </w:abstractNum>
  <w:abstractNum w:abstractNumId="478">
    <w:nsid w:val="3B0A3B87"/>
    <w:multiLevelType w:val="hybridMultilevel"/>
    <w:lvl w:ilvl="0">
      <w:lvlJc w:val="left"/>
      <w:lvlText w:val="%1"/>
      <w:numFmt w:val="lowerLetter"/>
      <w:start w:val="1"/>
    </w:lvl>
    <w:lvl w:ilvl="1">
      <w:lvlJc w:val="left"/>
      <w:lvlText w:val="(%2)"/>
      <w:numFmt w:val="lowerRoman"/>
      <w:start w:val="9"/>
    </w:lvl>
  </w:abstractNum>
  <w:abstractNum w:abstractNumId="479">
    <w:nsid w:val="6DAC7768"/>
    <w:multiLevelType w:val="hybridMultilevel"/>
    <w:lvl w:ilvl="0">
      <w:lvlJc w:val="left"/>
      <w:lvlText w:val="(%1)"/>
      <w:numFmt w:val="lowerLetter"/>
      <w:start w:val="2"/>
    </w:lvl>
    <w:lvl w:ilvl="1">
      <w:lvlJc w:val="left"/>
      <w:lvlText w:val="%2"/>
      <w:numFmt w:val="lowerRoman"/>
      <w:start w:val="1"/>
    </w:lvl>
  </w:abstractNum>
  <w:abstractNum w:abstractNumId="480">
    <w:nsid w:val="746AE2E4"/>
    <w:multiLevelType w:val="hybridMultilevel"/>
    <w:lvl w:ilvl="0">
      <w:lvlJc w:val="left"/>
      <w:lvlText w:val="%1"/>
      <w:numFmt w:val="lowerRoman"/>
      <w:start w:val="1"/>
    </w:lvl>
    <w:lvl w:ilvl="1">
      <w:lvlJc w:val="left"/>
      <w:lvlText w:val="(%2)"/>
      <w:numFmt w:val="lowerLetter"/>
      <w:start w:val="6"/>
    </w:lvl>
  </w:abstractNum>
  <w:abstractNum w:abstractNumId="481">
    <w:nsid w:val="317E611D"/>
    <w:multiLevelType w:val="hybridMultilevel"/>
    <w:lvl w:ilvl="0">
      <w:lvlJc w:val="left"/>
      <w:lvlText w:val="(%1)"/>
      <w:numFmt w:val="lowerRoman"/>
      <w:start w:val="9"/>
    </w:lvl>
    <w:lvl w:ilvl="1">
      <w:lvlJc w:val="left"/>
      <w:lvlText w:val="%2"/>
      <w:numFmt w:val="lowerLetter"/>
      <w:start w:val="1"/>
    </w:lvl>
  </w:abstractNum>
  <w:abstractNum w:abstractNumId="482">
    <w:nsid w:val="7A61D75B"/>
    <w:multiLevelType w:val="hybridMultilevel"/>
    <w:lvl w:ilvl="0">
      <w:lvlJc w:val="left"/>
      <w:lvlText w:val="%1."/>
      <w:numFmt w:val="decimal"/>
      <w:start w:val="5"/>
    </w:lvl>
  </w:abstractNum>
  <w:abstractNum w:abstractNumId="483">
    <w:nsid w:val="164A1482"/>
    <w:multiLevelType w:val="hybridMultilevel"/>
    <w:lvl w:ilvl="0">
      <w:lvlJc w:val="left"/>
      <w:lvlText w:val="%1."/>
      <w:numFmt w:val="decimal"/>
      <w:start w:val="6"/>
    </w:lvl>
  </w:abstractNum>
  <w:abstractNum w:abstractNumId="484">
    <w:nsid w:val="1806546B"/>
    <w:multiLevelType w:val="hybridMultilevel"/>
    <w:lvl w:ilvl="0">
      <w:lvlJc w:val="left"/>
      <w:lvlText w:val="(%1)"/>
      <w:numFmt w:val="lowerLetter"/>
      <w:start w:val="1"/>
    </w:lvl>
  </w:abstractNum>
  <w:abstractNum w:abstractNumId="485">
    <w:nsid w:val="1FA33267"/>
    <w:multiLevelType w:val="hybridMultilevel"/>
    <w:lvl w:ilvl="0">
      <w:lvlJc w:val="left"/>
      <w:lvlText w:val="(%1)"/>
      <w:numFmt w:val="lowerLetter"/>
      <w:start w:val="2"/>
    </w:lvl>
  </w:abstractNum>
  <w:abstractNum w:abstractNumId="486">
    <w:nsid w:val="2E19DD00"/>
    <w:multiLevelType w:val="hybridMultilevel"/>
    <w:lvl w:ilvl="0">
      <w:lvlJc w:val="left"/>
      <w:lvlText w:val="(%1)"/>
      <w:numFmt w:val="lowerRoman"/>
      <w:start w:val="2"/>
    </w:lvl>
  </w:abstractNum>
  <w:abstractNum w:abstractNumId="487">
    <w:nsid w:val="756D30D0"/>
    <w:multiLevelType w:val="hybridMultilevel"/>
    <w:lvl w:ilvl="0">
      <w:lvlJc w:val="left"/>
      <w:lvlText w:val="%1."/>
      <w:numFmt w:val="decimal"/>
      <w:start w:val="7"/>
    </w:lvl>
  </w:abstractNum>
  <w:abstractNum w:abstractNumId="488">
    <w:nsid w:val="505E5E01"/>
    <w:multiLevelType w:val="hybridMultilevel"/>
    <w:lvl w:ilvl="0">
      <w:lvlJc w:val="left"/>
      <w:lvlText w:val="%1."/>
      <w:numFmt w:val="decimal"/>
      <w:start w:val="8"/>
    </w:lvl>
  </w:abstractNum>
  <w:abstractNum w:abstractNumId="489">
    <w:nsid w:val="2EFDBCE6"/>
    <w:multiLevelType w:val="hybridMultilevel"/>
    <w:lvl w:ilvl="0">
      <w:lvlJc w:val="left"/>
      <w:lvlText w:val="(%1)"/>
      <w:numFmt w:val="lowerLetter"/>
      <w:start w:val="1"/>
    </w:lvl>
  </w:abstractNum>
  <w:abstractNum w:abstractNumId="490">
    <w:nsid w:val="4EC868C4"/>
    <w:multiLevelType w:val="hybridMultilevel"/>
    <w:lvl w:ilvl="0">
      <w:lvlJc w:val="left"/>
      <w:lvlText w:val="(%1)"/>
      <w:numFmt w:val="lowerRoman"/>
      <w:start w:val="1"/>
    </w:lvl>
  </w:abstractNum>
  <w:abstractNum w:abstractNumId="491">
    <w:nsid w:val="4239DC03"/>
    <w:multiLevelType w:val="hybridMultilevel"/>
    <w:lvl w:ilvl="0">
      <w:lvlJc w:val="left"/>
      <w:lvlText w:val="(%1)"/>
      <w:numFmt w:val="lowerLetter"/>
      <w:start w:val="2"/>
    </w:lvl>
  </w:abstractNum>
  <w:abstractNum w:abstractNumId="492">
    <w:nsid w:val="307C7DAA"/>
    <w:multiLevelType w:val="hybridMultilevel"/>
    <w:lvl w:ilvl="0">
      <w:lvlJc w:val="left"/>
      <w:lvlText w:val="(%1)"/>
      <w:numFmt w:val="lowerLetter"/>
      <w:start w:val="5"/>
    </w:lvl>
  </w:abstractNum>
  <w:abstractNum w:abstractNumId="493">
    <w:nsid w:val="403C23E6"/>
    <w:multiLevelType w:val="hybridMultilevel"/>
    <w:lvl w:ilvl="0">
      <w:lvlJc w:val="left"/>
      <w:lvlText w:val="(%1)"/>
      <w:numFmt w:val="lowerLetter"/>
      <w:start w:val="1"/>
    </w:lvl>
  </w:abstractNum>
  <w:abstractNum w:abstractNumId="494">
    <w:nsid w:val="58D7F9D7"/>
    <w:multiLevelType w:val="hybridMultilevel"/>
    <w:lvl w:ilvl="0">
      <w:lvlJc w:val="left"/>
      <w:lvlText w:val="(%1)"/>
      <w:numFmt w:val="lowerLetter"/>
      <w:start w:val="4"/>
    </w:lvl>
  </w:abstractNum>
  <w:abstractNum w:abstractNumId="495">
    <w:nsid w:val="24DBF76"/>
    <w:multiLevelType w:val="hybridMultilevel"/>
    <w:lvl w:ilvl="0">
      <w:lvlJc w:val="left"/>
      <w:lvlText w:val="%1."/>
      <w:numFmt w:val="decimal"/>
      <w:start w:val="9"/>
    </w:lvl>
    <w:lvl w:ilvl="1">
      <w:lvlJc w:val="left"/>
      <w:lvlText w:val="(%2)"/>
      <w:numFmt w:val="lowerLetter"/>
      <w:start w:val="1"/>
    </w:lvl>
  </w:abstractNum>
  <w:abstractNum w:abstractNumId="496">
    <w:nsid w:val="53355960"/>
    <w:multiLevelType w:val="hybridMultilevel"/>
    <w:lvl w:ilvl="0">
      <w:lvlJc w:val="left"/>
      <w:lvlText w:val="(%1)"/>
      <w:numFmt w:val="lowerLetter"/>
      <w:start w:val="3"/>
    </w:lvl>
  </w:abstractNum>
  <w:abstractNum w:abstractNumId="497">
    <w:nsid w:val="4F4AC8FF"/>
    <w:multiLevelType w:val="hybridMultilevel"/>
    <w:lvl w:ilvl="0">
      <w:lvlJc w:val="left"/>
      <w:lvlText w:val="%1."/>
      <w:numFmt w:val="decimal"/>
      <w:start w:val="10"/>
    </w:lvl>
  </w:abstractNum>
  <w:abstractNum w:abstractNumId="498">
    <w:nsid w:val="58CAE6D9"/>
    <w:multiLevelType w:val="hybridMultilevel"/>
    <w:lvl w:ilvl="0">
      <w:lvlJc w:val="left"/>
      <w:lvlText w:val="%1."/>
      <w:numFmt w:val="decimal"/>
      <w:start w:val="11"/>
    </w:lvl>
  </w:abstractNum>
  <w:abstractNum w:abstractNumId="499">
    <w:nsid w:val="42933C4F"/>
    <w:multiLevelType w:val="hybridMultilevel"/>
    <w:lvl w:ilvl="0">
      <w:lvlJc w:val="left"/>
      <w:lvlText w:val="(%1)"/>
      <w:numFmt w:val="decimal"/>
      <w:start w:val="30"/>
    </w:lvl>
  </w:abstractNum>
  <w:abstractNum w:abstractNumId="500">
    <w:nsid w:val="729AF360"/>
    <w:multiLevelType w:val="hybridMultilevel"/>
    <w:lvl w:ilvl="0">
      <w:lvlJc w:val="left"/>
      <w:lvlText w:val="%1."/>
      <w:numFmt w:val="decimal"/>
      <w:start w:val="13"/>
    </w:lvl>
  </w:abstractNum>
  <w:abstractNum w:abstractNumId="501">
    <w:nsid w:val="1EE6AF0D"/>
    <w:multiLevelType w:val="hybridMultilevel"/>
    <w:lvl w:ilvl="0">
      <w:lvlJc w:val="left"/>
      <w:lvlText w:val="(%1)"/>
      <w:numFmt w:val="lowerLetter"/>
      <w:start w:val="1"/>
    </w:lvl>
  </w:abstractNum>
  <w:abstractNum w:abstractNumId="502">
    <w:nsid w:val="5670E3ED"/>
    <w:multiLevelType w:val="hybridMultilevel"/>
    <w:lvl w:ilvl="0">
      <w:lvlJc w:val="left"/>
      <w:lvlText w:val="(%1)"/>
      <w:numFmt w:val="lowerLetter"/>
      <w:start w:val="1"/>
    </w:lvl>
  </w:abstractNum>
  <w:abstractNum w:abstractNumId="503">
    <w:nsid w:val="5CAB38C6"/>
    <w:multiLevelType w:val="hybridMultilevel"/>
    <w:lvl w:ilvl="0">
      <w:lvlJc w:val="left"/>
      <w:lvlText w:val="(%1)"/>
      <w:numFmt w:val="decimal"/>
      <w:start w:val="1"/>
    </w:lvl>
  </w:abstractNum>
  <w:abstractNum w:abstractNumId="504">
    <w:nsid w:val="3B7139DD"/>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05">
    <w:nsid w:val="64E4C3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06">
    <w:nsid w:val="169CAD8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07">
    <w:nsid w:val="299F6730"/>
    <w:multiLevelType w:val="hybridMultilevel"/>
    <w:lvl w:ilvl="0">
      <w:lvlJc w:val="left"/>
      <w:lvlText w:val="%1"/>
      <w:numFmt w:val="decimal"/>
      <w:start w:val="1"/>
    </w:lvl>
    <w:lvl w:ilvl="1">
      <w:lvlJc w:val="left"/>
      <w:lvlText w:val="(%2)"/>
      <w:numFmt w:val="lowerLetter"/>
      <w:start w:val="5"/>
    </w:lvl>
  </w:abstractNum>
  <w:abstractNum w:abstractNumId="508">
    <w:nsid w:val="2AC1076A"/>
    <w:multiLevelType w:val="hybridMultilevel"/>
    <w:lvl w:ilvl="0">
      <w:lvlJc w:val="left"/>
      <w:lvlText w:val="(%1)"/>
      <w:numFmt w:val="decimal"/>
      <w:start w:val="5"/>
    </w:lvl>
    <w:lvl w:ilvl="1">
      <w:lvlJc w:val="left"/>
      <w:lvlText w:val="(%2)"/>
      <w:numFmt w:val="lowerLetter"/>
      <w:start w:val="8"/>
    </w:lvl>
  </w:abstractNum>
  <w:abstractNum w:abstractNumId="509">
    <w:nsid w:val="51A6E915"/>
    <w:multiLevelType w:val="hybridMultilevel"/>
    <w:lvl w:ilvl="0">
      <w:lvlJc w:val="left"/>
      <w:lvlText w:val="%1."/>
      <w:numFmt w:val="decimal"/>
      <w:start w:val="14"/>
    </w:lvl>
  </w:abstractNum>
  <w:abstractNum w:abstractNumId="510">
    <w:nsid w:val="174BDE99"/>
    <w:multiLevelType w:val="hybridMultilevel"/>
    <w:lvl w:ilvl="0">
      <w:lvlJc w:val="left"/>
      <w:lvlText w:val="%1."/>
      <w:numFmt w:val="decimal"/>
      <w:start w:val="15"/>
    </w:lvl>
  </w:abstractNum>
  <w:abstractNum w:abstractNumId="511">
    <w:nsid w:val="1F2BEA4E"/>
    <w:multiLevelType w:val="hybridMultilevel"/>
    <w:lvl w:ilvl="0">
      <w:lvlJc w:val="left"/>
      <w:lvlText w:val="%1."/>
      <w:numFmt w:val="decimal"/>
      <w:start w:val="16"/>
    </w:lvl>
  </w:abstractNum>
  <w:abstractNum w:abstractNumId="512">
    <w:nsid w:val="3254A32"/>
    <w:multiLevelType w:val="hybridMultilevel"/>
    <w:lvl w:ilvl="0">
      <w:lvlJc w:val="left"/>
      <w:lvlText w:val="(%1)"/>
      <w:numFmt w:val="decimal"/>
      <w:start w:val="1"/>
    </w:lvl>
  </w:abstractNum>
  <w:abstractNum w:abstractNumId="513">
    <w:nsid w:val="11ADB5F4"/>
    <w:multiLevelType w:val="hybridMultilevel"/>
    <w:lvl w:ilvl="0">
      <w:lvlJc w:val="left"/>
      <w:lvlText w:val="%1."/>
      <w:numFmt w:val="decimal"/>
      <w:start w:val="17"/>
    </w:lvl>
  </w:abstractNum>
  <w:abstractNum w:abstractNumId="514">
    <w:nsid w:val="3575FED1"/>
    <w:multiLevelType w:val="hybridMultilevel"/>
    <w:lvl w:ilvl="0">
      <w:lvlJc w:val="left"/>
      <w:lvlText w:val="%1."/>
      <w:numFmt w:val="decimal"/>
      <w:start w:val="1"/>
    </w:lvl>
  </w:abstractNum>
  <w:abstractNum w:abstractNumId="515">
    <w:nsid w:val="1B2B9E9D"/>
    <w:multiLevelType w:val="hybridMultilevel"/>
    <w:lvl w:ilvl="0">
      <w:lvlJc w:val="left"/>
      <w:lvlText w:val="%1."/>
      <w:numFmt w:val="decimal"/>
      <w:start w:val="11"/>
    </w:lvl>
  </w:abstractNum>
  <w:abstractNum w:abstractNumId="516">
    <w:nsid w:val="3150E85C"/>
    <w:multiLevelType w:val="hybridMultilevel"/>
    <w:lvl w:ilvl="0">
      <w:lvlJc w:val="left"/>
      <w:lvlText w:val="%1."/>
      <w:numFmt w:val="decimal"/>
      <w:start w:val="1"/>
    </w:lvl>
  </w:abstractNum>
  <w:abstractNum w:abstractNumId="517">
    <w:nsid w:val="638FDBD1"/>
    <w:multiLevelType w:val="hybridMultilevel"/>
    <w:lvl w:ilvl="0">
      <w:lvlJc w:val="left"/>
      <w:lvlText w:val="%1."/>
      <w:numFmt w:val="decimal"/>
      <w:start w:val="2"/>
    </w:lvl>
  </w:abstractNum>
  <w:abstractNum w:abstractNumId="518">
    <w:nsid w:val="1098CF6E"/>
    <w:multiLevelType w:val="hybridMultilevel"/>
    <w:lvl w:ilvl="0">
      <w:lvlJc w:val="left"/>
      <w:lvlText w:val="%1."/>
      <w:numFmt w:val="decimal"/>
      <w:start w:val="3"/>
    </w:lvl>
  </w:abstractNum>
  <w:abstractNum w:abstractNumId="519">
    <w:nsid w:val="1AF465D"/>
    <w:multiLevelType w:val="hybridMultilevel"/>
    <w:lvl w:ilvl="0">
      <w:lvlJc w:val="left"/>
      <w:lvlText w:val="(%1)"/>
      <w:numFmt w:val="decimal"/>
      <w:start w:val="5"/>
    </w:lvl>
  </w:abstractNum>
  <w:abstractNum w:abstractNumId="520">
    <w:nsid w:val="128D98B7"/>
    <w:multiLevelType w:val="hybridMultilevel"/>
    <w:lvl w:ilvl="0">
      <w:lvlJc w:val="left"/>
      <w:lvlText w:val="(%1)"/>
      <w:numFmt w:val="lowerLetter"/>
      <w:start w:val="1"/>
    </w:lvl>
  </w:abstractNum>
  <w:abstractNum w:abstractNumId="521">
    <w:nsid w:val="5F613832"/>
    <w:multiLevelType w:val="hybridMultilevel"/>
    <w:lvl w:ilvl="0">
      <w:lvlJc w:val="left"/>
      <w:lvlText w:val="%1."/>
      <w:numFmt w:val="decimal"/>
      <w:start w:val="4"/>
    </w:lvl>
  </w:abstractNum>
  <w:abstractNum w:abstractNumId="522">
    <w:nsid w:val="43E92260"/>
    <w:multiLevelType w:val="hybridMultilevel"/>
    <w:lvl w:ilvl="0">
      <w:lvlJc w:val="left"/>
      <w:lvlText w:val="%1."/>
      <w:numFmt w:val="decimal"/>
      <w:start w:val="5"/>
    </w:lvl>
  </w:abstractNum>
  <w:abstractNum w:abstractNumId="523">
    <w:nsid w:val="430A1662"/>
    <w:multiLevelType w:val="hybridMultilevel"/>
    <w:lvl w:ilvl="0">
      <w:lvlJc w:val="left"/>
      <w:lvlText w:val="(%1)"/>
      <w:numFmt w:val="lowerLetter"/>
      <w:start w:val="1"/>
    </w:lvl>
  </w:abstractNum>
  <w:abstractNum w:abstractNumId="524">
    <w:nsid w:val="1F9D5C18"/>
    <w:multiLevelType w:val="hybridMultilevel"/>
    <w:lvl w:ilvl="0">
      <w:lvlJc w:val="left"/>
      <w:lvlText w:val="(%1)"/>
      <w:numFmt w:val="lowerLetter"/>
      <w:start w:val="6"/>
    </w:lvl>
  </w:abstractNum>
  <w:abstractNum w:abstractNumId="525">
    <w:nsid w:val="1CC11C37"/>
    <w:multiLevelType w:val="hybridMultilevel"/>
    <w:lvl w:ilvl="0">
      <w:lvlJc w:val="left"/>
      <w:lvlText w:val="(%1)"/>
      <w:numFmt w:val="lowerRoman"/>
      <w:start w:val="3"/>
    </w:lvl>
  </w:abstractNum>
  <w:abstractNum w:abstractNumId="526">
    <w:nsid w:val="4557D5D8"/>
    <w:multiLevelType w:val="hybridMultilevel"/>
    <w:lvl w:ilvl="0">
      <w:lvlJc w:val="left"/>
      <w:lvlText w:val="(%1)"/>
      <w:numFmt w:val="lowerRoman"/>
      <w:start w:val="11"/>
    </w:lvl>
  </w:abstractNum>
  <w:abstractNum w:abstractNumId="527">
    <w:nsid w:val="72D2B579"/>
    <w:multiLevelType w:val="hybridMultilevel"/>
    <w:lvl w:ilvl="0">
      <w:lvlJc w:val="left"/>
      <w:lvlText w:val="%1."/>
      <w:numFmt w:val="decimal"/>
      <w:start w:val="7"/>
    </w:lvl>
  </w:abstractNum>
  <w:abstractNum w:abstractNumId="528">
    <w:nsid w:val="6C0BE536"/>
    <w:multiLevelType w:val="hybridMultilevel"/>
    <w:lvl w:ilvl="0">
      <w:lvlJc w:val="left"/>
      <w:lvlText w:val="%1."/>
      <w:numFmt w:val="decimal"/>
      <w:start w:val="9"/>
    </w:lvl>
  </w:abstractNum>
  <w:abstractNum w:abstractNumId="529">
    <w:nsid w:val="1E22BCB2"/>
    <w:multiLevelType w:val="hybridMultilevel"/>
    <w:lvl w:ilvl="0">
      <w:lvlJc w:val="left"/>
      <w:lvlText w:val="%1."/>
      <w:numFmt w:val="decimal"/>
      <w:start w:val="10"/>
    </w:lvl>
  </w:abstractNum>
  <w:abstractNum w:abstractNumId="530">
    <w:nsid w:val="3565F1C8"/>
    <w:multiLevelType w:val="hybridMultilevel"/>
    <w:lvl w:ilvl="0">
      <w:lvlJc w:val="left"/>
      <w:lvlText w:val="(%1)"/>
      <w:numFmt w:val="lowerLetter"/>
      <w:start w:val="1"/>
    </w:lvl>
  </w:abstractNum>
  <w:abstractNum w:abstractNumId="531">
    <w:nsid w:val="5EA6D896"/>
    <w:multiLevelType w:val="hybridMultilevel"/>
    <w:lvl w:ilvl="0">
      <w:lvlJc w:val="left"/>
      <w:lvlText w:val="(%1)"/>
      <w:numFmt w:val="lowerLetter"/>
      <w:start w:val="2"/>
    </w:lvl>
  </w:abstractNum>
  <w:abstractNum w:abstractNumId="532">
    <w:nsid w:val="3D096BBF"/>
    <w:multiLevelType w:val="hybridMultilevel"/>
    <w:lvl w:ilvl="0">
      <w:lvlJc w:val="left"/>
      <w:lvlText w:val="(%1)"/>
      <w:numFmt w:val="lowerLetter"/>
      <w:start w:val="1"/>
    </w:lvl>
  </w:abstractNum>
  <w:abstractNum w:abstractNumId="533">
    <w:nsid w:val="BD6D5B5"/>
    <w:multiLevelType w:val="hybridMultilevel"/>
    <w:lvl w:ilvl="0">
      <w:lvlJc w:val="left"/>
      <w:lvlText w:val="%1."/>
      <w:numFmt w:val="decimal"/>
      <w:start w:val="11"/>
    </w:lvl>
  </w:abstractNum>
  <w:abstractNum w:abstractNumId="534">
    <w:nsid w:val="3B52115C"/>
    <w:multiLevelType w:val="hybridMultilevel"/>
    <w:lvl w:ilvl="0">
      <w:lvlJc w:val="left"/>
      <w:lvlText w:val="%1."/>
      <w:numFmt w:val="decimal"/>
      <w:start w:val="12"/>
    </w:lvl>
  </w:abstractNum>
  <w:abstractNum w:abstractNumId="535">
    <w:nsid w:val="787AA59C"/>
    <w:multiLevelType w:val="hybridMultilevel"/>
    <w:lvl w:ilvl="0">
      <w:lvlJc w:val="left"/>
      <w:lvlText w:val="%1."/>
      <w:numFmt w:val="decimal"/>
      <w:start w:val="13"/>
    </w:lvl>
  </w:abstractNum>
  <w:abstractNum w:abstractNumId="536">
    <w:nsid w:val="70BB9983"/>
    <w:multiLevelType w:val="hybridMultilevel"/>
    <w:lvl w:ilvl="0">
      <w:lvlJc w:val="left"/>
      <w:lvlText w:val="%1."/>
      <w:numFmt w:val="decimal"/>
      <w:start w:val="14"/>
    </w:lvl>
  </w:abstractNum>
  <w:abstractNum w:abstractNumId="537">
    <w:nsid w:val="51EEBEEA"/>
    <w:multiLevelType w:val="hybridMultilevel"/>
    <w:lvl w:ilvl="0">
      <w:lvlJc w:val="left"/>
      <w:lvlText w:val="(%1)"/>
      <w:numFmt w:val="decimal"/>
      <w:start w:val="270"/>
    </w:lvl>
  </w:abstractNum>
  <w:abstractNum w:abstractNumId="538">
    <w:nsid w:val="221A0CCD"/>
    <w:multiLevelType w:val="hybridMultilevel"/>
    <w:lvl w:ilvl="0">
      <w:lvlJc w:val="left"/>
      <w:lvlText w:val="%1."/>
      <w:numFmt w:val="decimal"/>
      <w:start w:val="15"/>
    </w:lvl>
  </w:abstractNum>
  <w:abstractNum w:abstractNumId="539">
    <w:nsid w:val="1B7CA0ED"/>
    <w:multiLevelType w:val="hybridMultilevel"/>
    <w:lvl w:ilvl="0">
      <w:lvlJc w:val="left"/>
      <w:lvlText w:val="%1."/>
      <w:numFmt w:val="decimal"/>
      <w:start w:val="16"/>
    </w:lvl>
  </w:abstractNum>
  <w:abstractNum w:abstractNumId="540">
    <w:nsid w:val="2395A7FF"/>
    <w:multiLevelType w:val="hybridMultilevel"/>
    <w:lvl w:ilvl="0">
      <w:lvlJc w:val="left"/>
      <w:lvlText w:val="(%1)"/>
      <w:numFmt w:val="lowerLetter"/>
      <w:start w:val="1"/>
    </w:lvl>
  </w:abstractNum>
  <w:abstractNum w:abstractNumId="541">
    <w:nsid w:val="3965EB66"/>
    <w:multiLevelType w:val="hybridMultilevel"/>
    <w:lvl w:ilvl="0">
      <w:lvlJc w:val="left"/>
      <w:lvlText w:val="(%1)"/>
      <w:numFmt w:val="lowerLetter"/>
      <w:start w:val="5"/>
    </w:lvl>
  </w:abstractNum>
  <w:abstractNum w:abstractNumId="542">
    <w:nsid w:val="3AA88B3C"/>
    <w:multiLevelType w:val="hybridMultilevel"/>
    <w:lvl w:ilvl="0">
      <w:lvlJc w:val="left"/>
      <w:lvlText w:val="(%1)"/>
      <w:numFmt w:val="lowerLetter"/>
      <w:start w:val="1"/>
    </w:lvl>
  </w:abstractNum>
  <w:abstractNum w:abstractNumId="543">
    <w:nsid w:val="26BAF231"/>
    <w:multiLevelType w:val="hybridMultilevel"/>
    <w:lvl w:ilvl="0">
      <w:lvlJc w:val="left"/>
      <w:lvlText w:val="%1."/>
      <w:numFmt w:val="decimal"/>
      <w:start w:val="17"/>
    </w:lvl>
  </w:abstractNum>
  <w:abstractNum w:abstractNumId="544">
    <w:nsid w:val="4B13A15A"/>
    <w:multiLevelType w:val="hybridMultilevel"/>
    <w:lvl w:ilvl="0">
      <w:lvlJc w:val="left"/>
      <w:lvlText w:val="(%1)"/>
      <w:numFmt w:val="lowerLetter"/>
      <w:start w:val="1"/>
    </w:lvl>
  </w:abstractNum>
  <w:abstractNum w:abstractNumId="545">
    <w:nsid w:val="701E8A0D"/>
    <w:multiLevelType w:val="hybridMultilevel"/>
    <w:lvl w:ilvl="0">
      <w:lvlJc w:val="left"/>
      <w:lvlText w:val="(%1)"/>
      <w:numFmt w:val="lowerLetter"/>
      <w:start w:val="7"/>
    </w:lvl>
  </w:abstractNum>
  <w:abstractNum w:abstractNumId="546">
    <w:nsid w:val="41E690CF"/>
    <w:multiLevelType w:val="hybridMultilevel"/>
    <w:lvl w:ilvl="0">
      <w:lvlJc w:val="left"/>
      <w:lvlText w:val="(%1)"/>
      <w:numFmt w:val="lowerLetter"/>
      <w:start w:val="1"/>
    </w:lvl>
    <w:lvl w:ilvl="1">
      <w:lvlJc w:val="left"/>
      <w:lvlText w:val="(%2)"/>
      <w:numFmt w:val="lowerRoman"/>
      <w:start w:val="1"/>
    </w:lvl>
  </w:abstractNum>
  <w:abstractNum w:abstractNumId="547">
    <w:nsid w:val="7C6489B6"/>
    <w:multiLevelType w:val="hybridMultilevel"/>
    <w:lvl w:ilvl="0">
      <w:lvlJc w:val="left"/>
      <w:lvlText w:val="%1"/>
      <w:numFmt w:val="lowerLetter"/>
      <w:start w:val="1"/>
    </w:lvl>
    <w:lvl w:ilvl="1">
      <w:lvlJc w:val="left"/>
      <w:lvlText w:val="(%2)"/>
      <w:numFmt w:val="lowerRoman"/>
      <w:start w:val="3"/>
    </w:lvl>
  </w:abstractNum>
  <w:abstractNum w:abstractNumId="548">
    <w:nsid w:val="53AE65DE"/>
    <w:multiLevelType w:val="hybridMultilevel"/>
    <w:lvl w:ilvl="0">
      <w:lvlJc w:val="left"/>
      <w:lvlText w:val="(%1)"/>
      <w:numFmt w:val="lowerLetter"/>
      <w:start w:val="2"/>
    </w:lvl>
    <w:lvl w:ilvl="1">
      <w:lvlJc w:val="left"/>
      <w:lvlText w:val="%2"/>
      <w:numFmt w:val="lowerRoman"/>
      <w:start w:val="1"/>
    </w:lvl>
  </w:abstractNum>
  <w:abstractNum w:abstractNumId="549">
    <w:nsid w:val="527F603D"/>
    <w:multiLevelType w:val="hybridMultilevel"/>
    <w:lvl w:ilvl="0">
      <w:lvlJc w:val="left"/>
      <w:lvlText w:val="%1."/>
      <w:numFmt w:val="decimal"/>
      <w:start w:val="18"/>
    </w:lvl>
  </w:abstractNum>
  <w:abstractNum w:abstractNumId="550">
    <w:nsid w:val="7E13D013"/>
    <w:multiLevelType w:val="hybridMultilevel"/>
    <w:lvl w:ilvl="0">
      <w:lvlJc w:val="left"/>
      <w:lvlText w:val="%1."/>
      <w:numFmt w:val="decimal"/>
      <w:start w:val="20"/>
    </w:lvl>
  </w:abstractNum>
  <w:abstractNum w:abstractNumId="551">
    <w:nsid w:val="663BFE95"/>
    <w:multiLevelType w:val="hybridMultilevel"/>
    <w:lvl w:ilvl="0">
      <w:lvlJc w:val="left"/>
      <w:lvlText w:val="%1."/>
      <w:numFmt w:val="decimal"/>
      <w:start w:val="22"/>
    </w:lvl>
  </w:abstractNum>
  <w:abstractNum w:abstractNumId="552">
    <w:nsid w:val="31E0986F"/>
    <w:multiLevelType w:val="hybridMultilevel"/>
    <w:lvl w:ilvl="0">
      <w:lvlJc w:val="left"/>
      <w:lvlText w:val="%1."/>
      <w:numFmt w:val="decimal"/>
      <w:start w:val="25"/>
    </w:lvl>
  </w:abstractNum>
  <w:abstractNum w:abstractNumId="553">
    <w:nsid w:val="41FCF274"/>
    <w:multiLevelType w:val="hybridMultilevel"/>
    <w:lvl w:ilvl="0">
      <w:lvlJc w:val="left"/>
      <w:lvlText w:val="(%1)"/>
      <w:numFmt w:val="lowerLetter"/>
      <w:start w:val="5"/>
    </w:lvl>
  </w:abstractNum>
  <w:abstractNum w:abstractNumId="554">
    <w:nsid w:val="294614F7"/>
    <w:multiLevelType w:val="hybridMultilevel"/>
    <w:lvl w:ilvl="0">
      <w:lvlJc w:val="left"/>
      <w:lvlText w:val="%1."/>
      <w:numFmt w:val="decimal"/>
      <w:start w:val="26"/>
    </w:lvl>
  </w:abstractNum>
  <w:abstractNum w:abstractNumId="555">
    <w:nsid w:val="517DF487"/>
    <w:multiLevelType w:val="hybridMultilevel"/>
    <w:lvl w:ilvl="0">
      <w:lvlJc w:val="left"/>
      <w:lvlText w:val="(%1)"/>
      <w:numFmt w:val="lowerLetter"/>
      <w:start w:val="26"/>
    </w:lvl>
  </w:abstractNum>
  <w:abstractNum w:abstractNumId="556">
    <w:nsid w:val="5EBE0EAB"/>
    <w:multiLevelType w:val="hybridMultilevel"/>
    <w:lvl w:ilvl="0">
      <w:lvlJc w:val="left"/>
      <w:lvlText w:val="(%1)"/>
      <w:numFmt w:val="upperLetter"/>
      <w:start w:val="2"/>
    </w:lvl>
  </w:abstractNum>
  <w:abstractNum w:abstractNumId="557">
    <w:nsid w:val="6E9DEAD0"/>
    <w:multiLevelType w:val="hybridMultilevel"/>
    <w:lvl w:ilvl="0">
      <w:lvlJc w:val="left"/>
      <w:lvlText w:val="%1."/>
      <w:numFmt w:val="decimal"/>
      <w:start w:val="28"/>
    </w:lvl>
  </w:abstractNum>
  <w:abstractNum w:abstractNumId="558">
    <w:nsid w:val="4450AA00"/>
    <w:multiLevelType w:val="hybridMultilevel"/>
    <w:lvl w:ilvl="0">
      <w:lvlJc w:val="left"/>
      <w:lvlText w:val="%1."/>
      <w:numFmt w:val="decimal"/>
      <w:start w:val="29"/>
    </w:lvl>
  </w:abstractNum>
  <w:abstractNum w:abstractNumId="559">
    <w:nsid w:val="4AC9F3E2"/>
    <w:multiLevelType w:val="hybridMultilevel"/>
    <w:lvl w:ilvl="0">
      <w:lvlJc w:val="left"/>
      <w:lvlText w:val="%1."/>
      <w:numFmt w:val="decimal"/>
      <w:start w:val="30"/>
    </w:lvl>
  </w:abstractNum>
  <w:abstractNum w:abstractNumId="560">
    <w:nsid w:val="CC0A782"/>
    <w:multiLevelType w:val="hybridMultilevel"/>
    <w:lvl w:ilvl="0">
      <w:lvlJc w:val="left"/>
      <w:lvlText w:val="%1."/>
      <w:numFmt w:val="decimal"/>
      <w:start w:val="31"/>
    </w:lvl>
  </w:abstractNum>
  <w:abstractNum w:abstractNumId="561">
    <w:nsid w:val="79B69BC9"/>
    <w:multiLevelType w:val="hybridMultilevel"/>
    <w:lvl w:ilvl="0">
      <w:lvlJc w:val="left"/>
      <w:lvlText w:val="%1."/>
      <w:numFmt w:val="decimal"/>
      <w:start w:val="35"/>
    </w:lvl>
  </w:abstractNum>
  <w:abstractNum w:abstractNumId="562">
    <w:nsid w:val="2970CC78"/>
    <w:multiLevelType w:val="hybridMultilevel"/>
    <w:lvl w:ilvl="0">
      <w:lvlJc w:val="left"/>
      <w:lvlText w:val="%1."/>
      <w:numFmt w:val="decimal"/>
      <w:start w:val="43"/>
    </w:lvl>
  </w:abstractNum>
  <w:abstractNum w:abstractNumId="563">
    <w:nsid w:val="49CA1341"/>
    <w:multiLevelType w:val="hybridMultilevel"/>
    <w:lvl w:ilvl="0">
      <w:lvlJc w:val="left"/>
      <w:lvlText w:val="%1."/>
      <w:numFmt w:val="decimal"/>
      <w:start w:val="47"/>
    </w:lvl>
  </w:abstractNum>
  <w:abstractNum w:abstractNumId="564">
    <w:nsid w:val="58D717E"/>
    <w:multiLevelType w:val="hybridMultilevel"/>
    <w:lvl w:ilvl="0">
      <w:lvlJc w:val="left"/>
      <w:lvlText w:val="%1."/>
      <w:numFmt w:val="decimal"/>
      <w:start w:val="55"/>
    </w:lvl>
  </w:abstractNum>
  <w:abstractNum w:abstractNumId="565">
    <w:nsid w:val="64C2DDD5"/>
    <w:multiLevelType w:val="hybridMultilevel"/>
    <w:lvl w:ilvl="0">
      <w:lvlJc w:val="left"/>
      <w:lvlText w:val="%1."/>
      <w:numFmt w:val="decimal"/>
      <w:start w:val="62"/>
    </w:lvl>
  </w:abstractNum>
  <w:abstractNum w:abstractNumId="566">
    <w:nsid w:val="4244B8DE"/>
    <w:multiLevelType w:val="hybridMultilevel"/>
    <w:lvl w:ilvl="0">
      <w:lvlJc w:val="left"/>
      <w:lvlText w:val="%1."/>
      <w:numFmt w:val="decimal"/>
      <w:start w:val="1"/>
    </w:lvl>
  </w:abstractNum>
  <w:abstractNum w:abstractNumId="567">
    <w:nsid w:val="76490B01"/>
    <w:multiLevelType w:val="hybridMultilevel"/>
    <w:lvl w:ilvl="0">
      <w:lvlJc w:val="left"/>
      <w:lvlText w:val="%1."/>
      <w:numFmt w:val="decimal"/>
      <w:start w:val="9"/>
    </w:lvl>
  </w:abstractNum>
  <w:abstractNum w:abstractNumId="568">
    <w:nsid w:val="36B19CBF"/>
    <w:multiLevelType w:val="hybridMultilevel"/>
    <w:lvl w:ilvl="0">
      <w:lvlJc w:val="left"/>
      <w:lvlText w:val="%1."/>
      <w:numFmt w:val="decimal"/>
      <w:start w:val="19"/>
    </w:lvl>
  </w:abstractNum>
  <w:abstractNum w:abstractNumId="569">
    <w:nsid w:val="645EC5AB"/>
    <w:multiLevelType w:val="hybridMultilevel"/>
    <w:lvl w:ilvl="0">
      <w:lvlJc w:val="left"/>
      <w:lvlText w:val="%1."/>
      <w:numFmt w:val="decimal"/>
      <w:start w:val="1"/>
    </w:lvl>
  </w:abstractNum>
  <w:abstractNum w:abstractNumId="570">
    <w:nsid w:val="11C5ABEF"/>
    <w:multiLevelType w:val="hybridMultilevel"/>
    <w:lvl w:ilvl="0">
      <w:lvlJc w:val="left"/>
      <w:lvlText w:val="%1."/>
      <w:numFmt w:val="decimal"/>
      <w:start w:val="6"/>
    </w:lvl>
  </w:abstractNum>
  <w:abstractNum w:abstractNumId="571">
    <w:nsid w:val="5A4744BE"/>
    <w:multiLevelType w:val="hybridMultilevel"/>
    <w:lvl w:ilvl="0">
      <w:lvlJc w:val="left"/>
      <w:lvlText w:val="%1."/>
      <w:numFmt w:val="decimal"/>
      <w:start w:val="1"/>
    </w:lvl>
  </w:abstractNum>
  <w:abstractNum w:abstractNumId="572">
    <w:nsid w:val="1DC4B111"/>
    <w:multiLevelType w:val="hybridMultilevel"/>
    <w:lvl w:ilvl="0">
      <w:lvlJc w:val="left"/>
      <w:lvlText w:val="%1."/>
      <w:numFmt w:val="decimal"/>
      <w:start w:val="4"/>
    </w:lvl>
    <w:lvl w:ilvl="1">
      <w:lvlJc w:val="left"/>
      <w:lvlText w:val="%2."/>
      <w:numFmt w:val="lowerLetter"/>
      <w:start w:val="1"/>
    </w:lvl>
  </w:abstractNum>
  <w:abstractNum w:abstractNumId="573">
    <w:nsid w:val="4C6E372B"/>
    <w:multiLevelType w:val="hybridMultilevel"/>
    <w:lvl w:ilvl="0">
      <w:lvlJc w:val="left"/>
      <w:lvlText w:val="%1."/>
      <w:numFmt w:val="lowerLetter"/>
      <w:start w:val="5"/>
    </w:lvl>
    <w:lvl w:ilvl="1">
      <w:lvlJc w:val="left"/>
      <w:lvlText w:val="%2."/>
      <w:numFmt w:val="lowerRoman"/>
      <w:start w:val="1"/>
    </w:lvl>
  </w:abstractNum>
  <w:abstractNum w:abstractNumId="574">
    <w:nsid w:val="10236EF"/>
    <w:multiLevelType w:val="hybridMultilevel"/>
    <w:lvl w:ilvl="0">
      <w:lvlJc w:val="left"/>
      <w:lvlText w:val="%1."/>
      <w:numFmt w:val="decimal"/>
      <w:start w:val="1"/>
    </w:lvl>
  </w:abstractNum>
  <w:abstractNum w:abstractNumId="575">
    <w:nsid w:val="68D8526B"/>
    <w:multiLevelType w:val="hybridMultilevel"/>
    <w:lvl w:ilvl="0">
      <w:lvlJc w:val="left"/>
      <w:lvlText w:val="%1."/>
      <w:numFmt w:val="decimal"/>
      <w:start w:val="2"/>
    </w:lvl>
  </w:abstractNum>
  <w:abstractNum w:abstractNumId="576">
    <w:nsid w:val="3C8CC138"/>
    <w:multiLevelType w:val="hybridMultilevel"/>
    <w:lvl w:ilvl="0">
      <w:lvlJc w:val="left"/>
      <w:lvlText w:val="(%1)"/>
      <w:numFmt w:val="lowerLetter"/>
      <w:start w:val="1"/>
    </w:lvl>
    <w:lvl w:ilvl="1">
      <w:lvlJc w:val="left"/>
      <w:lvlText w:val="(%2)"/>
      <w:numFmt w:val="lowerLetter"/>
      <w:start w:val="35"/>
    </w:lvl>
  </w:abstractNum>
  <w:abstractNum w:abstractNumId="577">
    <w:nsid w:val="42E8C7B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78">
    <w:nsid w:val="653CDC2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79">
    <w:nsid w:val="103B2716"/>
    <w:multiLevelType w:val="hybridMultilevel"/>
    <w:lvl w:ilvl="0">
      <w:lvlJc w:val="left"/>
      <w:lvlText w:val="(%1)"/>
      <w:numFmt w:val="lowerLetter"/>
      <w:start w:val="1"/>
    </w:lvl>
  </w:abstractNum>
  <w:abstractNum w:abstractNumId="580">
    <w:nsid w:val="156827FB"/>
    <w:multiLevelType w:val="hybridMultilevel"/>
    <w:lvl w:ilvl="0">
      <w:lvlJc w:val="left"/>
      <w:lvlText w:val="(%1)"/>
      <w:numFmt w:val="lowerLetter"/>
      <w:start w:val="1"/>
    </w:lvl>
  </w:abstractNum>
  <w:abstractNum w:abstractNumId="581">
    <w:nsid w:val="6350AC35"/>
    <w:multiLevelType w:val="hybridMultilevel"/>
    <w:lvl w:ilvl="0">
      <w:lvlJc w:val="left"/>
      <w:lvlText w:val="%1."/>
      <w:numFmt w:val="decimal"/>
      <w:start w:val="3"/>
    </w:lvl>
  </w:abstractNum>
  <w:abstractNum w:abstractNumId="582">
    <w:nsid w:val="767725AB"/>
    <w:multiLevelType w:val="hybridMultilevel"/>
    <w:lvl w:ilvl="0">
      <w:lvlJc w:val="left"/>
      <w:lvlText w:val="(%1)"/>
      <w:numFmt w:val="lowerLetter"/>
      <w:start w:val="1"/>
    </w:lvl>
  </w:abstractNum>
  <w:abstractNum w:abstractNumId="583">
    <w:nsid w:val="4748C06A"/>
    <w:multiLevelType w:val="hybridMultilevel"/>
    <w:lvl w:ilvl="0">
      <w:lvlJc w:val="left"/>
      <w:lvlText w:val="(%1)"/>
      <w:numFmt w:val="lowerLetter"/>
      <w:start w:val="9"/>
    </w:lvl>
  </w:abstractNum>
  <w:abstractNum w:abstractNumId="584">
    <w:nsid w:val="254D9EA9"/>
    <w:multiLevelType w:val="hybridMultilevel"/>
    <w:lvl w:ilvl="0">
      <w:lvlJc w:val="left"/>
      <w:lvlText w:val="(%1)"/>
      <w:numFmt w:val="lowerLetter"/>
      <w:start w:val="1"/>
    </w:lvl>
  </w:abstractNum>
  <w:abstractNum w:abstractNumId="585">
    <w:nsid w:val="1FBD3AA3"/>
    <w:multiLevelType w:val="hybridMultilevel"/>
    <w:lvl w:ilvl="0">
      <w:lvlJc w:val="left"/>
      <w:lvlText w:val="(%1)"/>
      <w:numFmt w:val="lowerLetter"/>
      <w:start w:val="4"/>
    </w:lvl>
  </w:abstractNum>
  <w:abstractNum w:abstractNumId="586">
    <w:nsid w:val="18C6B4F2"/>
    <w:multiLevelType w:val="hybridMultilevel"/>
    <w:lvl w:ilvl="0">
      <w:lvlJc w:val="left"/>
      <w:lvlText w:val="%1."/>
      <w:numFmt w:val="decimal"/>
      <w:start w:val="4"/>
    </w:lvl>
  </w:abstractNum>
  <w:abstractNum w:abstractNumId="587">
    <w:nsid w:val="40BAD55"/>
    <w:multiLevelType w:val="hybridMultilevel"/>
    <w:lvl w:ilvl="0">
      <w:lvlJc w:val="left"/>
      <w:lvlText w:val="%1."/>
      <w:numFmt w:val="decimal"/>
      <w:start w:val="5"/>
    </w:lvl>
  </w:abstractNum>
  <w:abstractNum w:abstractNumId="588">
    <w:nsid w:val="E5B2573"/>
    <w:multiLevelType w:val="hybridMultilevel"/>
    <w:lvl w:ilvl="0">
      <w:lvlJc w:val="left"/>
      <w:lvlText w:val="(%1)"/>
      <w:numFmt w:val="lowerLetter"/>
      <w:start w:val="1"/>
    </w:lvl>
  </w:abstractNum>
  <w:abstractNum w:abstractNumId="589">
    <w:nsid w:val="5D175EF2"/>
    <w:multiLevelType w:val="hybridMultilevel"/>
    <w:lvl w:ilvl="0">
      <w:lvlJc w:val="left"/>
      <w:lvlText w:val="(%1)"/>
      <w:numFmt w:val="lowerLetter"/>
      <w:start w:val="2"/>
    </w:lvl>
  </w:abstractNum>
  <w:abstractNum w:abstractNumId="590">
    <w:nsid w:val="4ED5A137"/>
    <w:multiLevelType w:val="hybridMultilevel"/>
    <w:lvl w:ilvl="0">
      <w:lvlJc w:val="left"/>
      <w:lvlText w:val="%1."/>
      <w:numFmt w:val="decimal"/>
      <w:start w:val="6"/>
    </w:lvl>
    <w:lvl w:ilvl="1">
      <w:lvlJc w:val="left"/>
      <w:lvlText w:val="(%2)"/>
      <w:numFmt w:val="lowerLetter"/>
      <w:start w:val="1"/>
    </w:lvl>
  </w:abstractNum>
  <w:abstractNum w:abstractNumId="591">
    <w:nsid w:val="1B1BCCF5"/>
    <w:multiLevelType w:val="hybridMultilevel"/>
    <w:lvl w:ilvl="0">
      <w:lvlJc w:val="left"/>
      <w:lvlText w:val="(%1)"/>
      <w:numFmt w:val="lowerLetter"/>
      <w:start w:val="2"/>
    </w:lvl>
  </w:abstractNum>
  <w:abstractNum w:abstractNumId="592">
    <w:nsid w:val="56CDFA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3">
    <w:nsid w:val="78466D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abstractNum>
  <w:abstractNum w:abstractNumId="594">
    <w:nsid w:val="64E5E036"/>
    <w:multiLevelType w:val="hybridMultilevel"/>
    <w:lvl w:ilvl="0">
      <w:lvlJc w:val="left"/>
      <w:lvlText w:val="(%1)"/>
      <w:numFmt w:val="lowerRoman"/>
      <w:start w:val="7"/>
    </w:lvl>
  </w:abstractNum>
  <w:abstractNum w:abstractNumId="595">
    <w:nsid w:val="5C5B6C3A"/>
    <w:multiLevelType w:val="hybridMultilevel"/>
    <w:lvl w:ilvl="0">
      <w:lvlJc w:val="left"/>
      <w:lvlText w:val="(%1)"/>
      <w:numFmt w:val="lowerRoman"/>
      <w:start w:val="8"/>
    </w:lvl>
  </w:abstractNum>
  <w:abstractNum w:abstractNumId="596">
    <w:nsid w:val="5D094B84"/>
    <w:multiLevelType w:val="hybridMultilevel"/>
    <w:lvl w:ilvl="0">
      <w:lvlJc w:val="left"/>
      <w:lvlText w:val="(%1)"/>
      <w:numFmt w:val="lowerLetter"/>
      <w:start w:val="2"/>
    </w:lvl>
  </w:abstractNum>
  <w:abstractNum w:abstractNumId="597">
    <w:nsid w:val="272A9914"/>
    <w:multiLevelType w:val="hybridMultilevel"/>
    <w:lvl w:ilvl="0">
      <w:lvlJc w:val="left"/>
      <w:lvlText w:val="(%1)"/>
      <w:numFmt w:val="lowerLetter"/>
      <w:start w:val="1"/>
    </w:lvl>
  </w:abstractNum>
  <w:abstractNum w:abstractNumId="598">
    <w:nsid w:val="52A4773B"/>
    <w:multiLevelType w:val="hybridMultilevel"/>
    <w:lvl w:ilvl="0">
      <w:lvlJc w:val="left"/>
      <w:lvlText w:val="(%1)"/>
      <w:numFmt w:val="lowerLetter"/>
      <w:start w:val="2"/>
    </w:lvl>
  </w:abstractNum>
  <w:abstractNum w:abstractNumId="599">
    <w:nsid w:val="13BAE843"/>
    <w:multiLevelType w:val="hybridMultilevel"/>
    <w:lvl w:ilvl="0">
      <w:lvlJc w:val="left"/>
      <w:lvlText w:val="(%1)"/>
      <w:numFmt w:val="lowerLetter"/>
      <w:start w:val="1"/>
    </w:lvl>
  </w:abstractNum>
  <w:abstractNum w:abstractNumId="600">
    <w:nsid w:val="B895EBF"/>
    <w:multiLevelType w:val="hybridMultilevel"/>
    <w:lvl w:ilvl="0">
      <w:lvlJc w:val="left"/>
      <w:lvlText w:val="%1"/>
      <w:numFmt w:val="decimal"/>
      <w:start w:val="1"/>
    </w:lvl>
    <w:lvl w:ilvl="1">
      <w:lvlJc w:val="left"/>
      <w:lvlText w:val="(%2)"/>
      <w:numFmt w:val="lowerLetter"/>
      <w:start w:val="2"/>
    </w:lvl>
  </w:abstractNum>
  <w:abstractNum w:abstractNumId="601">
    <w:nsid w:val="646A232A"/>
    <w:multiLevelType w:val="hybridMultilevel"/>
    <w:lvl w:ilvl="0">
      <w:lvlJc w:val="left"/>
      <w:lvlText w:val="%1."/>
      <w:numFmt w:val="decimal"/>
      <w:start w:val="7"/>
    </w:lvl>
    <w:lvl w:ilvl="1">
      <w:lvlJc w:val="left"/>
      <w:lvlText w:val="%2"/>
      <w:numFmt w:val="lowerLetter"/>
      <w:start w:val="1"/>
    </w:lvl>
  </w:abstractNum>
  <w:abstractNum w:abstractNumId="602">
    <w:nsid w:val="6E022D01"/>
    <w:multiLevelType w:val="hybridMultilevel"/>
    <w:lvl w:ilvl="0">
      <w:lvlJc w:val="left"/>
      <w:lvlText w:val="%1."/>
      <w:numFmt w:val="decimal"/>
      <w:start w:val="8"/>
    </w:lvl>
  </w:abstractNum>
  <w:abstractNum w:abstractNumId="603">
    <w:nsid w:val="294E0FD0"/>
    <w:multiLevelType w:val="hybridMultilevel"/>
    <w:lvl w:ilvl="0">
      <w:lvlJc w:val="left"/>
      <w:lvlText w:val="%1"/>
      <w:numFmt w:val="decimal"/>
      <w:start w:val="1"/>
    </w:lvl>
    <w:lvl w:ilvl="1">
      <w:lvlJc w:val="left"/>
      <w:lvlText w:val="(%2)"/>
      <w:numFmt w:val="lowerLetter"/>
      <w:start w:val="1"/>
    </w:lvl>
  </w:abstractNum>
  <w:abstractNum w:abstractNumId="604">
    <w:nsid w:val="30D85A55"/>
    <w:multiLevelType w:val="hybridMultilevel"/>
    <w:lvl w:ilvl="0">
      <w:lvlJc w:val="left"/>
      <w:lvlText w:val="(%1)"/>
      <w:numFmt w:val="decimal"/>
      <w:start w:val="10"/>
    </w:lvl>
    <w:lvl w:ilvl="1">
      <w:lvlJc w:val="left"/>
      <w:lvlText w:val="%2"/>
      <w:numFmt w:val="lowerLetter"/>
      <w:start w:val="1"/>
    </w:lvl>
  </w:abstractNum>
  <w:abstractNum w:abstractNumId="605">
    <w:nsid w:val="6F0463F1"/>
    <w:multiLevelType w:val="hybridMultilevel"/>
    <w:lvl w:ilvl="0">
      <w:lvlJc w:val="left"/>
      <w:lvlText w:val="(%1)"/>
      <w:numFmt w:val="lowerLetter"/>
      <w:start w:val="1"/>
    </w:lvl>
  </w:abstractNum>
  <w:abstractNum w:abstractNumId="606">
    <w:nsid w:val="1226623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7">
    <w:nsid w:val="6D651B8D"/>
    <w:multiLevelType w:val="hybridMultilevel"/>
    <w:lvl w:ilvl="0">
      <w:lvlJc w:val="left"/>
      <w:lvlText w:val="(%1)"/>
      <w:numFmt w:val="lowerRoman"/>
      <w:start w:val="3"/>
    </w:lvl>
  </w:abstractNum>
  <w:abstractNum w:abstractNumId="608">
    <w:nsid w:val="31ED2BAF"/>
    <w:multiLevelType w:val="hybridMultilevel"/>
    <w:lvl w:ilvl="0">
      <w:lvlJc w:val="left"/>
      <w:lvlText w:val="%1."/>
      <w:numFmt w:val="decimal"/>
      <w:start w:val="10"/>
    </w:lvl>
  </w:abstractNum>
  <w:abstractNum w:abstractNumId="609">
    <w:nsid w:val="77633E5E"/>
    <w:multiLevelType w:val="hybridMultilevel"/>
    <w:lvl w:ilvl="0">
      <w:lvlJc w:val="left"/>
      <w:lvlText w:val="(%1)"/>
      <w:numFmt w:val="decimal"/>
      <w:start w:val="3"/>
    </w:lvl>
  </w:abstractNum>
  <w:abstractNum w:abstractNumId="610">
    <w:nsid w:val="7DA042A3"/>
    <w:multiLevelType w:val="hybridMultilevel"/>
    <w:lvl w:ilvl="0">
      <w:lvlJc w:val="left"/>
      <w:lvlText w:val="%1."/>
      <w:numFmt w:val="decimal"/>
      <w:start w:val="11"/>
    </w:lvl>
  </w:abstractNum>
  <w:abstractNum w:abstractNumId="611">
    <w:nsid w:val="475553AB"/>
    <w:multiLevelType w:val="hybridMultilevel"/>
    <w:lvl w:ilvl="0">
      <w:lvlJc w:val="left"/>
      <w:lvlText w:val="%1."/>
      <w:numFmt w:val="decimal"/>
      <w:start w:val="12"/>
    </w:lvl>
  </w:abstractNum>
  <w:abstractNum w:abstractNumId="612">
    <w:nsid w:val="5AB3EA93"/>
    <w:multiLevelType w:val="hybridMultilevel"/>
    <w:lvl w:ilvl="0">
      <w:lvlJc w:val="left"/>
      <w:lvlText w:val="(%1)"/>
      <w:numFmt w:val="lowerRoman"/>
      <w:start w:val="1"/>
    </w:lvl>
  </w:abstractNum>
  <w:abstractNum w:abstractNumId="613">
    <w:nsid w:val="7417684F"/>
    <w:multiLevelType w:val="hybridMultilevel"/>
    <w:lvl w:ilvl="0">
      <w:lvlJc w:val="left"/>
      <w:lvlText w:val="%1"/>
      <w:numFmt w:val="lowerLetter"/>
      <w:start w:val="1"/>
    </w:lvl>
    <w:lvl w:ilvl="1">
      <w:lvlJc w:val="left"/>
      <w:lvlText w:val="(%2)"/>
      <w:numFmt w:val="lowerRoman"/>
      <w:start w:val="3"/>
    </w:lvl>
  </w:abstractNum>
  <w:abstractNum w:abstractNumId="614">
    <w:nsid w:val="E9E1415"/>
    <w:multiLevelType w:val="hybridMultilevel"/>
    <w:lvl w:ilvl="0">
      <w:lvlJc w:val="left"/>
      <w:lvlText w:val="(%1)"/>
      <w:numFmt w:val="lowerLetter"/>
      <w:start w:val="2"/>
    </w:lvl>
    <w:lvl w:ilvl="1">
      <w:lvlJc w:val="left"/>
      <w:lvlText w:val="%2"/>
      <w:numFmt w:val="lowerRoman"/>
      <w:start w:val="1"/>
    </w:lvl>
  </w:abstractNum>
  <w:abstractNum w:abstractNumId="615">
    <w:nsid w:val="1893D"/>
    <w:multiLevelType w:val="hybridMultilevel"/>
    <w:lvl w:ilvl="0">
      <w:lvlJc w:val="left"/>
      <w:lvlText w:val="(%1)"/>
      <w:numFmt w:val="lowerRoman"/>
      <w:start w:val="3"/>
    </w:lvl>
  </w:abstractNum>
  <w:abstractNum w:abstractNumId="616">
    <w:nsid w:val="13D4A2F2"/>
    <w:multiLevelType w:val="hybridMultilevel"/>
    <w:lvl w:ilvl="0">
      <w:lvlJc w:val="left"/>
      <w:lvlText w:val="%1."/>
      <w:numFmt w:val="decimal"/>
      <w:start w:val="13"/>
    </w:lvl>
  </w:abstractNum>
  <w:abstractNum w:abstractNumId="617">
    <w:nsid w:val="2764C907"/>
    <w:multiLevelType w:val="hybridMultilevel"/>
    <w:lvl w:ilvl="0">
      <w:lvlJc w:val="left"/>
      <w:lvlText w:val="(%1)"/>
      <w:numFmt w:val="lowerLetter"/>
      <w:start w:val="1"/>
    </w:lvl>
  </w:abstractNum>
  <w:abstractNum w:abstractNumId="618">
    <w:nsid w:val="40D3692"/>
    <w:multiLevelType w:val="hybridMultilevel"/>
    <w:lvl w:ilvl="0">
      <w:lvlJc w:val="left"/>
      <w:lvlText w:val="(%1)"/>
      <w:numFmt w:val="lowerLetter"/>
      <w:start w:val="1"/>
    </w:lvl>
  </w:abstractNum>
  <w:abstractNum w:abstractNumId="619">
    <w:nsid w:val="222FC865"/>
    <w:multiLevelType w:val="hybridMultilevel"/>
    <w:lvl w:ilvl="0">
      <w:lvlJc w:val="left"/>
      <w:lvlText w:val="(%1)"/>
      <w:numFmt w:val="lowerLetter"/>
      <w:start w:val="1"/>
    </w:lvl>
  </w:abstractNum>
  <w:abstractNum w:abstractNumId="620">
    <w:nsid w:val="47C27FA"/>
    <w:multiLevelType w:val="hybridMultilevel"/>
    <w:lvl w:ilvl="0">
      <w:lvlJc w:val="left"/>
      <w:lvlText w:val="(%1)"/>
      <w:numFmt w:val="lowerLetter"/>
      <w:start w:val="4"/>
    </w:lvl>
  </w:abstractNum>
  <w:abstractNum w:abstractNumId="621">
    <w:nsid w:val="52E2D7C9"/>
    <w:multiLevelType w:val="hybridMultilevel"/>
    <w:lvl w:ilvl="0">
      <w:lvlJc w:val="left"/>
      <w:lvlText w:val="(%1)"/>
      <w:numFmt w:val="lowerRoman"/>
      <w:start w:val="3"/>
    </w:lvl>
  </w:abstractNum>
  <w:abstractNum w:abstractNumId="622">
    <w:nsid w:val="3D4B955A"/>
    <w:multiLevelType w:val="hybridMultilevel"/>
    <w:lvl w:ilvl="0">
      <w:lvlJc w:val="left"/>
      <w:lvlText w:val="(%1)"/>
      <w:numFmt w:val="lowerLetter"/>
      <w:start w:val="1"/>
    </w:lvl>
  </w:abstractNum>
  <w:abstractNum w:abstractNumId="623">
    <w:nsid w:val="5B4A22B5"/>
    <w:multiLevelType w:val="hybridMultilevel"/>
    <w:lvl w:ilvl="0">
      <w:lvlJc w:val="left"/>
      <w:lvlText w:val="(%1)"/>
      <w:numFmt w:val="lowerLetter"/>
      <w:start w:val="2"/>
    </w:lvl>
    <w:lvl w:ilvl="1">
      <w:lvlJc w:val="left"/>
      <w:lvlText w:val="(%2)"/>
      <w:numFmt w:val="lowerLetter"/>
      <w:start w:val="4"/>
    </w:lvl>
  </w:abstractNum>
  <w:abstractNum w:abstractNumId="624">
    <w:nsid w:val="4B294578"/>
    <w:multiLevelType w:val="hybridMultilevel"/>
    <w:lvl w:ilvl="0">
      <w:lvlJc w:val="left"/>
      <w:lvlText w:val="(%1)"/>
      <w:numFmt w:val="lowerLetter"/>
      <w:start w:val="5"/>
    </w:lvl>
  </w:abstractNum>
  <w:abstractNum w:abstractNumId="625">
    <w:nsid w:val="22317590"/>
    <w:multiLevelType w:val="hybridMultilevel"/>
    <w:lvl w:ilvl="0">
      <w:lvlJc w:val="left"/>
      <w:lvlText w:val="(%1)"/>
      <w:numFmt w:val="lowerLetter"/>
      <w:start w:val="7"/>
    </w:lvl>
  </w:abstractNum>
  <w:abstractNum w:abstractNumId="626">
    <w:nsid w:val="37A58EEF"/>
    <w:multiLevelType w:val="hybridMultilevel"/>
    <w:lvl w:ilvl="0">
      <w:lvlJc w:val="left"/>
      <w:lvlText w:val="(%1)"/>
      <w:numFmt w:val="lowerRoman"/>
      <w:start w:val="1"/>
    </w:lvl>
  </w:abstractNum>
  <w:abstractNum w:abstractNumId="627">
    <w:nsid w:val="283290FD"/>
    <w:multiLevelType w:val="hybridMultilevel"/>
    <w:lvl w:ilvl="0">
      <w:lvlJc w:val="left"/>
      <w:lvlText w:val="(%1)"/>
      <w:numFmt w:val="lowerRoman"/>
      <w:start w:val="3"/>
    </w:lvl>
  </w:abstractNum>
  <w:abstractNum w:abstractNumId="628">
    <w:nsid w:val="495C0EA5"/>
    <w:multiLevelType w:val="hybridMultilevel"/>
    <w:lvl w:ilvl="0">
      <w:lvlJc w:val="left"/>
      <w:lvlText w:val="["/>
      <w:numFmt w:val="bullet"/>
      <w:start w:val="1"/>
    </w:lvl>
  </w:abstractNum>
  <w:abstractNum w:abstractNumId="629">
    <w:nsid w:val="A4A062B"/>
    <w:multiLevelType w:val="hybridMultilevel"/>
    <w:lvl w:ilvl="0">
      <w:lvlJc w:val="left"/>
      <w:lvlText w:val="%1."/>
      <w:numFmt w:val="decimal"/>
      <w:start w:val="1"/>
    </w:lvl>
  </w:abstractNum>
  <w:abstractNum w:abstractNumId="630">
    <w:nsid w:val="3BED7940"/>
    <w:multiLevelType w:val="hybridMultilevel"/>
    <w:lvl w:ilvl="0">
      <w:lvlJc w:val="left"/>
      <w:lvlText w:val="%1."/>
      <w:numFmt w:val="decimal"/>
      <w:start w:val="8"/>
    </w:lvl>
  </w:abstractNum>
  <w:abstractNum w:abstractNumId="631">
    <w:nsid w:val="54E56D64"/>
    <w:multiLevelType w:val="hybridMultilevel"/>
    <w:lvl w:ilvl="0">
      <w:lvlJc w:val="left"/>
      <w:lvlText w:val="(%1)"/>
      <w:numFmt w:val="lowerLetter"/>
      <w:start w:val="1"/>
    </w:lvl>
  </w:abstractNum>
  <w:abstractNum w:abstractNumId="632">
    <w:nsid w:val="6EB42955"/>
    <w:multiLevelType w:val="hybridMultilevel"/>
    <w:lvl w:ilvl="0">
      <w:lvlJc w:val="left"/>
      <w:lvlText w:val="(%1)"/>
      <w:numFmt w:val="lowerLetter"/>
      <w:start w:val="2"/>
    </w:lvl>
  </w:abstractNum>
  <w:abstractNum w:abstractNumId="633">
    <w:nsid w:val="29EFA642"/>
    <w:multiLevelType w:val="hybridMultilevel"/>
    <w:lvl w:ilvl="0">
      <w:lvlJc w:val="left"/>
      <w:lvlText w:val="%1)"/>
      <w:numFmt w:val="decimal"/>
      <w:start w:val="8"/>
    </w:lvl>
  </w:abstractNum>
  <w:abstractNum w:abstractNumId="634">
    <w:nsid w:val="7E337D35"/>
    <w:multiLevelType w:val="hybridMultilevel"/>
    <w:lvl w:ilvl="0">
      <w:lvlJc w:val="left"/>
      <w:lvlText w:val="%1)"/>
      <w:numFmt w:val="decimal"/>
      <w:start w:val="5"/>
    </w:lvl>
  </w:abstractNum>
  <w:abstractNum w:abstractNumId="635">
    <w:nsid w:val="1F8C83AB"/>
    <w:multiLevelType w:val="hybridMultilevel"/>
    <w:lvl w:ilvl="0">
      <w:lvlJc w:val="left"/>
      <w:lvlText w:val="%1."/>
      <w:numFmt w:val="decimal"/>
      <w:start w:val="1"/>
    </w:lvl>
  </w:abstractNum>
  <w:abstractNum w:abstractNumId="636">
    <w:nsid w:val="18F40A33"/>
    <w:multiLevelType w:val="hybridMultilevel"/>
    <w:lvl w:ilvl="0">
      <w:lvlJc w:val="left"/>
      <w:lvlText w:val="%1."/>
      <w:numFmt w:val="decimal"/>
      <w:start w:val="5"/>
    </w:lvl>
  </w:abstractNum>
  <w:abstractNum w:abstractNumId="637">
    <w:nsid w:val="1059DF71"/>
    <w:multiLevelType w:val="hybridMultilevel"/>
    <w:lvl w:ilvl="0">
      <w:lvlJc w:val="left"/>
      <w:lvlText w:val="***"/>
      <w:numFmt w:val="bullet"/>
      <w:start w:val="1"/>
    </w:lvl>
  </w:abstractNum>
  <w:abstractNum w:abstractNumId="638">
    <w:nsid w:val="CF19F38"/>
    <w:multiLevelType w:val="hybridMultilevel"/>
    <w:lvl w:ilvl="0">
      <w:lvlJc w:val="left"/>
      <w:lvlText w:val=":"/>
      <w:numFmt w:val="bullet"/>
      <w:start w:val="1"/>
    </w:lvl>
  </w:abstractNum>
  <w:abstractNum w:abstractNumId="639">
    <w:nsid w:val="4AE135E2"/>
    <w:multiLevelType w:val="hybridMultilevel"/>
    <w:lvl w:ilvl="0">
      <w:lvlJc w:val="left"/>
      <w:lvlText w:val="%1"/>
      <w:numFmt w:val="lowerLetter"/>
      <w:start w:val="1"/>
    </w:lvl>
    <w:lvl w:ilvl="1">
      <w:lvlJc w:val="left"/>
      <w:lvlText w:val="(%2)"/>
      <w:numFmt w:val="lowerLetter"/>
      <w:start w:val="1"/>
    </w:lvl>
  </w:abstractNum>
  <w:abstractNum w:abstractNumId="640">
    <w:nsid w:val="7BD1DCF"/>
    <w:multiLevelType w:val="hybridMultilevel"/>
    <w:lvl w:ilvl="0">
      <w:lvlJc w:val="left"/>
      <w:lvlText w:val="(%1)"/>
      <w:numFmt w:val="lowerLetter"/>
      <w:start w:val="9"/>
    </w:lvl>
    <w:lvl w:ilvl="1">
      <w:lvlJc w:val="left"/>
      <w:lvlText w:val="%2"/>
      <w:numFmt w:val="lowerLetter"/>
      <w:start w:val="1"/>
    </w:lvl>
  </w:abstractNum>
  <w:abstractNum w:abstractNumId="641">
    <w:nsid w:val="A91E1DC"/>
    <w:multiLevelType w:val="hybridMultilevel"/>
    <w:lvl w:ilvl="0">
      <w:lvlJc w:val="left"/>
      <w:lvlText w:val="(%1)"/>
      <w:numFmt w:val="lowerLetter"/>
      <w:start w:val="3"/>
    </w:lvl>
  </w:abstractNum>
  <w:abstractNum w:abstractNumId="642">
    <w:nsid w:val="1236898D"/>
    <w:multiLevelType w:val="hybridMultilevel"/>
    <w:lvl w:ilvl="0">
      <w:lvlJc w:val="left"/>
      <w:lvlText w:val="(%1)"/>
      <w:numFmt w:val="lowerRoman"/>
      <w:start w:val="3"/>
    </w:lvl>
  </w:abstractNum>
  <w:abstractNum w:abstractNumId="643">
    <w:nsid w:val="62710862"/>
    <w:multiLevelType w:val="hybridMultilevel"/>
    <w:lvl w:ilvl="0">
      <w:lvlJc w:val="left"/>
      <w:lvlText w:val="(%1)"/>
      <w:numFmt w:val="lowerLetter"/>
      <w:start w:val="1"/>
    </w:lvl>
  </w:abstractNum>
  <w:abstractNum w:abstractNumId="644">
    <w:nsid w:val="7EA94A2B"/>
    <w:multiLevelType w:val="hybridMultilevel"/>
    <w:lvl w:ilvl="0">
      <w:lvlJc w:val="left"/>
      <w:lvlText w:val="(%1)"/>
      <w:numFmt w:val="lowerLetter"/>
      <w:start w:val="3"/>
    </w:lvl>
  </w:abstractNum>
  <w:abstractNum w:abstractNumId="645">
    <w:nsid w:val="20D49DA3"/>
    <w:multiLevelType w:val="hybridMultilevel"/>
    <w:lvl w:ilvl="0">
      <w:lvlJc w:val="left"/>
      <w:lvlText w:val="(%1)"/>
      <w:numFmt w:val="lowerLetter"/>
      <w:start w:val="1"/>
    </w:lvl>
  </w:abstractNum>
  <w:abstractNum w:abstractNumId="646">
    <w:nsid w:val="6272919F"/>
    <w:multiLevelType w:val="hybridMultilevel"/>
    <w:lvl w:ilvl="0">
      <w:lvlJc w:val="left"/>
      <w:lvlText w:val="(%1)"/>
      <w:numFmt w:val="decimal"/>
      <w:start w:val="1"/>
    </w:lvl>
  </w:abstractNum>
  <w:abstractNum w:abstractNumId="647">
    <w:nsid w:val="127DED1D"/>
    <w:multiLevelType w:val="hybridMultilevel"/>
    <w:lvl w:ilvl="0">
      <w:lvlJc w:val="left"/>
      <w:lvlText w:val="(%1)"/>
      <w:numFmt w:val="lowerLetter"/>
      <w:start w:val="1"/>
    </w:lvl>
  </w:abstractNum>
  <w:abstractNum w:abstractNumId="648">
    <w:nsid w:val="483966AA"/>
    <w:multiLevelType w:val="hybridMultilevel"/>
    <w:lvl w:ilvl="0">
      <w:lvlJc w:val="left"/>
      <w:lvlText w:val="%1."/>
      <w:numFmt w:val="decimal"/>
      <w:start w:val="1"/>
    </w:lvl>
  </w:abstractNum>
  <w:abstractNum w:abstractNumId="649">
    <w:nsid w:val="667FC831"/>
    <w:multiLevelType w:val="hybridMultilevel"/>
    <w:lvl w:ilvl="0">
      <w:lvlJc w:val="left"/>
      <w:lvlText w:val="["/>
      <w:numFmt w:val="bullet"/>
      <w:start w:val="1"/>
    </w:lvl>
  </w:abstractNum>
  <w:abstractNum w:abstractNumId="650">
    <w:nsid w:val="34ADB582"/>
    <w:multiLevelType w:val="hybridMultilevel"/>
    <w:lvl w:ilvl="0">
      <w:lvlJc w:val="left"/>
      <w:lvlText w:val="["/>
      <w:numFmt w:val="bullet"/>
      <w:start w:val="1"/>
    </w:lvl>
  </w:abstractNum>
  <w:abstractNum w:abstractNumId="651">
    <w:nsid w:val="4CB58EA4"/>
    <w:multiLevelType w:val="hybridMultilevel"/>
    <w:lvl w:ilvl="0">
      <w:lvlJc w:val="left"/>
      <w:lvlText w:val="["/>
      <w:numFmt w:val="bullet"/>
      <w:start w:val="1"/>
    </w:lvl>
  </w:abstractNum>
  <w:abstractNum w:abstractNumId="652">
    <w:nsid w:val="39629FFA"/>
    <w:multiLevelType w:val="hybridMultilevel"/>
    <w:lvl w:ilvl="0">
      <w:lvlJc w:val="left"/>
      <w:lvlText w:val="["/>
      <w:numFmt w:val="bullet"/>
      <w:start w:val="1"/>
    </w:lvl>
  </w:abstractNum>
  <w:abstractNum w:abstractNumId="653">
    <w:nsid w:val="71F94ADC"/>
    <w:multiLevelType w:val="hybridMultilevel"/>
    <w:lvl w:ilvl="0">
      <w:lvlJc w:val="left"/>
      <w:lvlText w:val="%1."/>
      <w:numFmt w:val="decimal"/>
      <w:start w:val="2"/>
    </w:lvl>
  </w:abstractNum>
  <w:abstractNum w:abstractNumId="654">
    <w:nsid w:val="27FFB1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503"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24"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29" Type="http://schemas.openxmlformats.org/officeDocument/2006/relationships/image" Target="media/image493.png"/><Relationship Id="rId530" Type="http://schemas.openxmlformats.org/officeDocument/2006/relationships/image" Target="media/image494.png"/><Relationship Id="rId531" Type="http://schemas.openxmlformats.org/officeDocument/2006/relationships/image" Target="media/image495.png"/><Relationship Id="rId532" Type="http://schemas.openxmlformats.org/officeDocument/2006/relationships/image" Target="media/image496.png"/><Relationship Id="rId533" Type="http://schemas.openxmlformats.org/officeDocument/2006/relationships/image" Target="media/image497.png"/><Relationship Id="rId534" Type="http://schemas.openxmlformats.org/officeDocument/2006/relationships/image" Target="media/image498.png"/><Relationship Id="rId535" Type="http://schemas.openxmlformats.org/officeDocument/2006/relationships/image" Target="media/image499.png"/><Relationship Id="rId536" Type="http://schemas.openxmlformats.org/officeDocument/2006/relationships/image" Target="media/image500.png"/><Relationship Id="rId537" Type="http://schemas.openxmlformats.org/officeDocument/2006/relationships/image" Target="media/image501.png"/><Relationship Id="rId538" Type="http://schemas.openxmlformats.org/officeDocument/2006/relationships/image" Target="media/image502.png"/><Relationship Id="rId539" Type="http://schemas.openxmlformats.org/officeDocument/2006/relationships/image" Target="media/image503.png"/><Relationship Id="rId540"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43" Type="http://schemas.openxmlformats.org/officeDocument/2006/relationships/image" Target="media/image507.png"/><Relationship Id="rId544" Type="http://schemas.openxmlformats.org/officeDocument/2006/relationships/image" Target="media/image508.png"/><Relationship Id="rId545" Type="http://schemas.openxmlformats.org/officeDocument/2006/relationships/image" Target="media/image509.png"/><Relationship Id="rId546" Type="http://schemas.openxmlformats.org/officeDocument/2006/relationships/image" Target="media/image510.png"/><Relationship Id="rId547" Type="http://schemas.openxmlformats.org/officeDocument/2006/relationships/image" Target="media/image511.png"/><Relationship Id="rId548" Type="http://schemas.openxmlformats.org/officeDocument/2006/relationships/image" Target="media/image512.png"/><Relationship Id="rId549" Type="http://schemas.openxmlformats.org/officeDocument/2006/relationships/image" Target="media/image513.png"/><Relationship Id="rId550" Type="http://schemas.openxmlformats.org/officeDocument/2006/relationships/image" Target="media/image514.png"/><Relationship Id="rId551" Type="http://schemas.openxmlformats.org/officeDocument/2006/relationships/image" Target="media/image515.png"/><Relationship Id="rId552" Type="http://schemas.openxmlformats.org/officeDocument/2006/relationships/image" Target="media/image516.png"/><Relationship Id="rId553" Type="http://schemas.openxmlformats.org/officeDocument/2006/relationships/image" Target="media/image517.jpeg"/><Relationship Id="rId554" Type="http://schemas.openxmlformats.org/officeDocument/2006/relationships/image" Target="media/image518.png"/><Relationship Id="rId555" Type="http://schemas.openxmlformats.org/officeDocument/2006/relationships/image" Target="media/image519.png"/><Relationship Id="rId556" Type="http://schemas.openxmlformats.org/officeDocument/2006/relationships/image" Target="media/image520.jpeg"/><Relationship Id="rId557" Type="http://schemas.openxmlformats.org/officeDocument/2006/relationships/image" Target="media/image521.jpeg"/><Relationship Id="rId558"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jpeg"/><Relationship Id="rId561" Type="http://schemas.openxmlformats.org/officeDocument/2006/relationships/image" Target="media/image525.png"/><Relationship Id="rId562" Type="http://schemas.openxmlformats.org/officeDocument/2006/relationships/image" Target="media/image526.jpeg"/><Relationship Id="rId563" Type="http://schemas.openxmlformats.org/officeDocument/2006/relationships/image" Target="media/image527.jpeg"/><Relationship Id="rId564" Type="http://schemas.openxmlformats.org/officeDocument/2006/relationships/image" Target="media/image528.png"/><Relationship Id="rId565" Type="http://schemas.openxmlformats.org/officeDocument/2006/relationships/image" Target="media/image529.jpeg"/><Relationship Id="rId566" Type="http://schemas.openxmlformats.org/officeDocument/2006/relationships/image" Target="media/image530.jpeg"/><Relationship Id="rId567" Type="http://schemas.openxmlformats.org/officeDocument/2006/relationships/image" Target="media/image531.png"/><Relationship Id="rId568" Type="http://schemas.openxmlformats.org/officeDocument/2006/relationships/image" Target="media/image532.png"/><Relationship Id="rId569" Type="http://schemas.openxmlformats.org/officeDocument/2006/relationships/image" Target="media/image533.jpeg"/><Relationship Id="rId570" Type="http://schemas.openxmlformats.org/officeDocument/2006/relationships/image" Target="media/image534.png"/><Relationship Id="rId571" Type="http://schemas.openxmlformats.org/officeDocument/2006/relationships/image" Target="media/image535.jpeg"/><Relationship Id="rId572" Type="http://schemas.openxmlformats.org/officeDocument/2006/relationships/image" Target="media/image536.png"/><Relationship Id="rId573" Type="http://schemas.openxmlformats.org/officeDocument/2006/relationships/image" Target="media/image537.jpeg"/><Relationship Id="rId574" Type="http://schemas.openxmlformats.org/officeDocument/2006/relationships/image" Target="media/image538.png"/><Relationship Id="rId575" Type="http://schemas.openxmlformats.org/officeDocument/2006/relationships/image" Target="media/image539.jpeg"/><Relationship Id="rId576" Type="http://schemas.openxmlformats.org/officeDocument/2006/relationships/image" Target="media/image540.png"/><Relationship Id="rId577" Type="http://schemas.openxmlformats.org/officeDocument/2006/relationships/image" Target="media/image541.jpeg"/><Relationship Id="rId578" Type="http://schemas.openxmlformats.org/officeDocument/2006/relationships/image" Target="media/image542.png"/><Relationship Id="rId579" Type="http://schemas.openxmlformats.org/officeDocument/2006/relationships/image" Target="media/image543.jpeg"/><Relationship Id="rId580" Type="http://schemas.openxmlformats.org/officeDocument/2006/relationships/image" Target="media/image544.png"/><Relationship Id="rId581" Type="http://schemas.openxmlformats.org/officeDocument/2006/relationships/image" Target="media/image545.jpeg"/><Relationship Id="rId582" Type="http://schemas.openxmlformats.org/officeDocument/2006/relationships/image" Target="media/image546.png"/><Relationship Id="rId583" Type="http://schemas.openxmlformats.org/officeDocument/2006/relationships/image" Target="media/image547.jpeg"/><Relationship Id="rId584" Type="http://schemas.openxmlformats.org/officeDocument/2006/relationships/image" Target="media/image548.png"/><Relationship Id="rId585" Type="http://schemas.openxmlformats.org/officeDocument/2006/relationships/image" Target="media/image549.jpeg"/><Relationship Id="rId586" Type="http://schemas.openxmlformats.org/officeDocument/2006/relationships/image" Target="media/image550.png"/><Relationship Id="rId587" Type="http://schemas.openxmlformats.org/officeDocument/2006/relationships/image" Target="media/image551.jpeg"/><Relationship Id="rId588" Type="http://schemas.openxmlformats.org/officeDocument/2006/relationships/image" Target="media/image552.png"/><Relationship Id="rId589" Type="http://schemas.openxmlformats.org/officeDocument/2006/relationships/image" Target="media/image553.jpeg"/><Relationship Id="rId590" Type="http://schemas.openxmlformats.org/officeDocument/2006/relationships/image" Target="media/image554.png"/><Relationship Id="rId591" Type="http://schemas.openxmlformats.org/officeDocument/2006/relationships/image" Target="media/image555.jpeg"/><Relationship Id="rId592" Type="http://schemas.openxmlformats.org/officeDocument/2006/relationships/image" Target="media/image556.png"/><Relationship Id="rId593" Type="http://schemas.openxmlformats.org/officeDocument/2006/relationships/image" Target="media/image557.jpeg"/><Relationship Id="rId594" Type="http://schemas.openxmlformats.org/officeDocument/2006/relationships/image" Target="media/image558.png"/><Relationship Id="rId595" Type="http://schemas.openxmlformats.org/officeDocument/2006/relationships/image" Target="media/image559.jpeg"/><Relationship Id="rId596" Type="http://schemas.openxmlformats.org/officeDocument/2006/relationships/image" Target="media/image560.png"/><Relationship Id="rId597"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png"/><Relationship Id="rId600" Type="http://schemas.openxmlformats.org/officeDocument/2006/relationships/image" Target="media/image564.png"/><Relationship Id="rId601" Type="http://schemas.openxmlformats.org/officeDocument/2006/relationships/image" Target="media/image565.png"/><Relationship Id="rId602" Type="http://schemas.openxmlformats.org/officeDocument/2006/relationships/image" Target="media/image566.png"/><Relationship Id="rId603" Type="http://schemas.openxmlformats.org/officeDocument/2006/relationships/image" Target="media/image567.png"/><Relationship Id="rId604" Type="http://schemas.openxmlformats.org/officeDocument/2006/relationships/image" Target="media/image568.png"/><Relationship Id="rId605" Type="http://schemas.openxmlformats.org/officeDocument/2006/relationships/image" Target="media/image569.png"/><Relationship Id="rId606" Type="http://schemas.openxmlformats.org/officeDocument/2006/relationships/image" Target="media/image570.png"/><Relationship Id="rId607" Type="http://schemas.openxmlformats.org/officeDocument/2006/relationships/image" Target="media/image571.png"/><Relationship Id="rId608" Type="http://schemas.openxmlformats.org/officeDocument/2006/relationships/image" Target="media/image572.png"/><Relationship Id="rId609" Type="http://schemas.openxmlformats.org/officeDocument/2006/relationships/image" Target="media/image573.png"/><Relationship Id="rId610" Type="http://schemas.openxmlformats.org/officeDocument/2006/relationships/image" Target="media/image574.png"/><Relationship Id="rId611" Type="http://schemas.openxmlformats.org/officeDocument/2006/relationships/image" Target="media/image575.png"/><Relationship Id="rId612" Type="http://schemas.openxmlformats.org/officeDocument/2006/relationships/image" Target="media/image576.png"/><Relationship Id="rId613" Type="http://schemas.openxmlformats.org/officeDocument/2006/relationships/image" Target="media/image577.png"/><Relationship Id="rId614" Type="http://schemas.openxmlformats.org/officeDocument/2006/relationships/image" Target="media/image578.png"/><Relationship Id="rId615" Type="http://schemas.openxmlformats.org/officeDocument/2006/relationships/image" Target="media/image579.png"/><Relationship Id="rId616" Type="http://schemas.openxmlformats.org/officeDocument/2006/relationships/image" Target="media/image580.png"/><Relationship Id="rId617" Type="http://schemas.openxmlformats.org/officeDocument/2006/relationships/image" Target="media/image581.png"/><Relationship Id="rId618" Type="http://schemas.openxmlformats.org/officeDocument/2006/relationships/image" Target="media/image582.png"/><Relationship Id="rId619" Type="http://schemas.openxmlformats.org/officeDocument/2006/relationships/image" Target="media/image583.png"/><Relationship Id="rId620" Type="http://schemas.openxmlformats.org/officeDocument/2006/relationships/image" Target="media/image584.png"/><Relationship Id="rId621" Type="http://schemas.openxmlformats.org/officeDocument/2006/relationships/image" Target="media/image585.png"/><Relationship Id="rId622"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626" Type="http://schemas.openxmlformats.org/officeDocument/2006/relationships/image" Target="media/image590.png"/><Relationship Id="rId627" Type="http://schemas.openxmlformats.org/officeDocument/2006/relationships/image" Target="media/image591.png"/><Relationship Id="rId628" Type="http://schemas.openxmlformats.org/officeDocument/2006/relationships/image" Target="media/image592.png"/><Relationship Id="rId629" Type="http://schemas.openxmlformats.org/officeDocument/2006/relationships/image" Target="media/image593.png"/><Relationship Id="rId630" Type="http://schemas.openxmlformats.org/officeDocument/2006/relationships/image" Target="media/image594.png"/><Relationship Id="rId631" Type="http://schemas.openxmlformats.org/officeDocument/2006/relationships/image" Target="media/image595.png"/><Relationship Id="rId632" Type="http://schemas.openxmlformats.org/officeDocument/2006/relationships/image" Target="media/image596.png"/><Relationship Id="rId633" Type="http://schemas.openxmlformats.org/officeDocument/2006/relationships/image" Target="media/image597.png"/><Relationship Id="rId634" Type="http://schemas.openxmlformats.org/officeDocument/2006/relationships/image" Target="media/image598.png"/><Relationship Id="rId635" Type="http://schemas.openxmlformats.org/officeDocument/2006/relationships/image" Target="media/image599.png"/><Relationship Id="rId636" Type="http://schemas.openxmlformats.org/officeDocument/2006/relationships/image" Target="media/image600.png"/><Relationship Id="rId637" Type="http://schemas.openxmlformats.org/officeDocument/2006/relationships/image" Target="media/image601.png"/><Relationship Id="rId638" Type="http://schemas.openxmlformats.org/officeDocument/2006/relationships/image" Target="media/image602.png"/><Relationship Id="rId639" Type="http://schemas.openxmlformats.org/officeDocument/2006/relationships/image" Target="media/image603.png"/><Relationship Id="rId640" Type="http://schemas.openxmlformats.org/officeDocument/2006/relationships/image" Target="media/image604.png"/><Relationship Id="rId641" Type="http://schemas.openxmlformats.org/officeDocument/2006/relationships/image" Target="media/image605.png"/><Relationship Id="rId642" Type="http://schemas.openxmlformats.org/officeDocument/2006/relationships/image" Target="media/image606.png"/><Relationship Id="rId643" Type="http://schemas.openxmlformats.org/officeDocument/2006/relationships/image" Target="media/image607.png"/><Relationship Id="rId644" Type="http://schemas.openxmlformats.org/officeDocument/2006/relationships/image" Target="media/image608.png"/><Relationship Id="rId645" Type="http://schemas.openxmlformats.org/officeDocument/2006/relationships/image" Target="media/image609.png"/><Relationship Id="rId646" Type="http://schemas.openxmlformats.org/officeDocument/2006/relationships/image" Target="media/image610.png"/><Relationship Id="rId647" Type="http://schemas.openxmlformats.org/officeDocument/2006/relationships/image" Target="media/image611.png"/><Relationship Id="rId648" Type="http://schemas.openxmlformats.org/officeDocument/2006/relationships/image" Target="media/image612.png"/><Relationship Id="rId649" Type="http://schemas.openxmlformats.org/officeDocument/2006/relationships/image" Target="media/image613.png"/><Relationship Id="rId650" Type="http://schemas.openxmlformats.org/officeDocument/2006/relationships/image" Target="media/image614.png"/><Relationship Id="rId651" Type="http://schemas.openxmlformats.org/officeDocument/2006/relationships/image" Target="media/image615.png"/><Relationship Id="rId652" Type="http://schemas.openxmlformats.org/officeDocument/2006/relationships/image" Target="media/image616.png"/><Relationship Id="rId653" Type="http://schemas.openxmlformats.org/officeDocument/2006/relationships/image" Target="media/image617.png"/><Relationship Id="rId654" Type="http://schemas.openxmlformats.org/officeDocument/2006/relationships/image" Target="media/image618.png"/><Relationship Id="rId655" Type="http://schemas.openxmlformats.org/officeDocument/2006/relationships/image" Target="media/image619.png"/><Relationship Id="rId656" Type="http://schemas.openxmlformats.org/officeDocument/2006/relationships/image" Target="media/image620.png"/><Relationship Id="rId657" Type="http://schemas.openxmlformats.org/officeDocument/2006/relationships/image" Target="media/image621.png"/><Relationship Id="rId658" Type="http://schemas.openxmlformats.org/officeDocument/2006/relationships/image" Target="media/image622.png"/><Relationship Id="rId659" Type="http://schemas.openxmlformats.org/officeDocument/2006/relationships/image" Target="media/image623.png"/><Relationship Id="rId660" Type="http://schemas.openxmlformats.org/officeDocument/2006/relationships/image" Target="media/image624.png"/><Relationship Id="rId661" Type="http://schemas.openxmlformats.org/officeDocument/2006/relationships/image" Target="media/image625.png"/><Relationship Id="rId662" Type="http://schemas.openxmlformats.org/officeDocument/2006/relationships/image" Target="media/image626.png"/><Relationship Id="rId663" Type="http://schemas.openxmlformats.org/officeDocument/2006/relationships/image" Target="media/image627.png"/><Relationship Id="rId664" Type="http://schemas.openxmlformats.org/officeDocument/2006/relationships/image" Target="media/image628.png"/><Relationship Id="rId665" Type="http://schemas.openxmlformats.org/officeDocument/2006/relationships/image" Target="media/image629.png"/><Relationship Id="rId666" Type="http://schemas.openxmlformats.org/officeDocument/2006/relationships/image" Target="media/image630.png"/><Relationship Id="rId667" Type="http://schemas.openxmlformats.org/officeDocument/2006/relationships/image" Target="media/image631.png"/><Relationship Id="rId668" Type="http://schemas.openxmlformats.org/officeDocument/2006/relationships/image" Target="media/image632.png"/><Relationship Id="rId669" Type="http://schemas.openxmlformats.org/officeDocument/2006/relationships/image" Target="media/image633.png"/><Relationship Id="rId670" Type="http://schemas.openxmlformats.org/officeDocument/2006/relationships/image" Target="media/image634.png"/><Relationship Id="rId671" Type="http://schemas.openxmlformats.org/officeDocument/2006/relationships/image" Target="media/image635.png"/><Relationship Id="rId672" Type="http://schemas.openxmlformats.org/officeDocument/2006/relationships/image" Target="media/image636.png"/><Relationship Id="rId673" Type="http://schemas.openxmlformats.org/officeDocument/2006/relationships/image" Target="media/image637.png"/><Relationship Id="rId674" Type="http://schemas.openxmlformats.org/officeDocument/2006/relationships/image" Target="media/image638.png"/><Relationship Id="rId675" Type="http://schemas.openxmlformats.org/officeDocument/2006/relationships/image" Target="media/image639.png"/><Relationship Id="rId676" Type="http://schemas.openxmlformats.org/officeDocument/2006/relationships/image" Target="media/image640.png"/><Relationship Id="rId677" Type="http://schemas.openxmlformats.org/officeDocument/2006/relationships/image" Target="media/image641.png"/><Relationship Id="rId678" Type="http://schemas.openxmlformats.org/officeDocument/2006/relationships/image" Target="media/image642.png"/><Relationship Id="rId679" Type="http://schemas.openxmlformats.org/officeDocument/2006/relationships/image" Target="media/image643.png"/><Relationship Id="rId680" Type="http://schemas.openxmlformats.org/officeDocument/2006/relationships/image" Target="media/image644.png"/><Relationship Id="rId681" Type="http://schemas.openxmlformats.org/officeDocument/2006/relationships/image" Target="media/image645.png"/><Relationship Id="rId682" Type="http://schemas.openxmlformats.org/officeDocument/2006/relationships/image" Target="media/image646.png"/><Relationship Id="rId683" Type="http://schemas.openxmlformats.org/officeDocument/2006/relationships/image" Target="media/image647.png"/><Relationship Id="rId684" Type="http://schemas.openxmlformats.org/officeDocument/2006/relationships/image" Target="media/image648.png"/><Relationship Id="rId685" Type="http://schemas.openxmlformats.org/officeDocument/2006/relationships/image" Target="media/image649.png"/><Relationship Id="rId686" Type="http://schemas.openxmlformats.org/officeDocument/2006/relationships/image" Target="media/image650.png"/><Relationship Id="rId687" Type="http://schemas.openxmlformats.org/officeDocument/2006/relationships/image" Target="media/image651.png"/><Relationship Id="rId688" Type="http://schemas.openxmlformats.org/officeDocument/2006/relationships/image" Target="media/image652.png"/><Relationship Id="rId689" Type="http://schemas.openxmlformats.org/officeDocument/2006/relationships/image" Target="media/image653.png"/><Relationship Id="rId690" Type="http://schemas.openxmlformats.org/officeDocument/2006/relationships/image" Target="media/image654.png"/><Relationship Id="rId691" Type="http://schemas.openxmlformats.org/officeDocument/2006/relationships/image" Target="media/image655.png"/><Relationship Id="rId692" Type="http://schemas.openxmlformats.org/officeDocument/2006/relationships/image" Target="media/image656.png"/><Relationship Id="rId693" Type="http://schemas.openxmlformats.org/officeDocument/2006/relationships/image" Target="media/image657.png"/><Relationship Id="rId694" Type="http://schemas.openxmlformats.org/officeDocument/2006/relationships/image" Target="media/image658.png"/><Relationship Id="rId695" Type="http://schemas.openxmlformats.org/officeDocument/2006/relationships/image" Target="media/image659.png"/><Relationship Id="rId696" Type="http://schemas.openxmlformats.org/officeDocument/2006/relationships/image" Target="media/image660.png"/><Relationship Id="rId697" Type="http://schemas.openxmlformats.org/officeDocument/2006/relationships/image" Target="media/image661.png"/><Relationship Id="rId698" Type="http://schemas.openxmlformats.org/officeDocument/2006/relationships/image" Target="media/image662.png"/><Relationship Id="rId699" Type="http://schemas.openxmlformats.org/officeDocument/2006/relationships/image" Target="media/image663.png"/><Relationship Id="rId700" Type="http://schemas.openxmlformats.org/officeDocument/2006/relationships/image" Target="media/image664.png"/><Relationship Id="rId701" Type="http://schemas.openxmlformats.org/officeDocument/2006/relationships/image" Target="media/image665.png"/><Relationship Id="rId702" Type="http://schemas.openxmlformats.org/officeDocument/2006/relationships/image" Target="media/image666.png"/><Relationship Id="rId703" Type="http://schemas.openxmlformats.org/officeDocument/2006/relationships/image" Target="media/image667.png"/><Relationship Id="rId704" Type="http://schemas.openxmlformats.org/officeDocument/2006/relationships/image" Target="media/image668.png"/><Relationship Id="rId705" Type="http://schemas.openxmlformats.org/officeDocument/2006/relationships/image" Target="media/image669.png"/><Relationship Id="rId706" Type="http://schemas.openxmlformats.org/officeDocument/2006/relationships/image" Target="media/image670.png"/><Relationship Id="rId707" Type="http://schemas.openxmlformats.org/officeDocument/2006/relationships/image" Target="media/image671.png"/><Relationship Id="rId708" Type="http://schemas.openxmlformats.org/officeDocument/2006/relationships/image" Target="media/image672.png"/><Relationship Id="rId709" Type="http://schemas.openxmlformats.org/officeDocument/2006/relationships/image" Target="media/image673.png"/><Relationship Id="rId710" Type="http://schemas.openxmlformats.org/officeDocument/2006/relationships/image" Target="media/image674.png"/><Relationship Id="rId711" Type="http://schemas.openxmlformats.org/officeDocument/2006/relationships/image" Target="media/image675.png"/><Relationship Id="rId712" Type="http://schemas.openxmlformats.org/officeDocument/2006/relationships/image" Target="media/image676.png"/><Relationship Id="rId713" Type="http://schemas.openxmlformats.org/officeDocument/2006/relationships/image" Target="media/image677.png"/><Relationship Id="rId714" Type="http://schemas.openxmlformats.org/officeDocument/2006/relationships/image" Target="media/image678.png"/><Relationship Id="rId715" Type="http://schemas.openxmlformats.org/officeDocument/2006/relationships/image" Target="media/image679.png"/><Relationship Id="rId716" Type="http://schemas.openxmlformats.org/officeDocument/2006/relationships/image" Target="media/image680.png"/><Relationship Id="rId717" Type="http://schemas.openxmlformats.org/officeDocument/2006/relationships/image" Target="media/image681.png"/><Relationship Id="rId718" Type="http://schemas.openxmlformats.org/officeDocument/2006/relationships/image" Target="media/image682.png"/><Relationship Id="rId719" Type="http://schemas.openxmlformats.org/officeDocument/2006/relationships/image" Target="media/image683.png"/><Relationship Id="rId720" Type="http://schemas.openxmlformats.org/officeDocument/2006/relationships/image" Target="media/image684.png"/><Relationship Id="rId721" Type="http://schemas.openxmlformats.org/officeDocument/2006/relationships/image" Target="media/image685.png"/><Relationship Id="rId722" Type="http://schemas.openxmlformats.org/officeDocument/2006/relationships/image" Target="media/image686.png"/><Relationship Id="rId723" Type="http://schemas.openxmlformats.org/officeDocument/2006/relationships/image" Target="media/image687.png"/><Relationship Id="rId724" Type="http://schemas.openxmlformats.org/officeDocument/2006/relationships/image" Target="media/image688.png"/><Relationship Id="rId725" Type="http://schemas.openxmlformats.org/officeDocument/2006/relationships/image" Target="media/image689.png"/><Relationship Id="rId726" Type="http://schemas.openxmlformats.org/officeDocument/2006/relationships/image" Target="media/image690.png"/><Relationship Id="rId727" Type="http://schemas.openxmlformats.org/officeDocument/2006/relationships/image" Target="media/image691.png"/><Relationship Id="rId728" Type="http://schemas.openxmlformats.org/officeDocument/2006/relationships/image" Target="media/image692.png"/><Relationship Id="rId729" Type="http://schemas.openxmlformats.org/officeDocument/2006/relationships/image" Target="media/image693.png"/><Relationship Id="rId730" Type="http://schemas.openxmlformats.org/officeDocument/2006/relationships/image" Target="media/image694.png"/><Relationship Id="rId731" Type="http://schemas.openxmlformats.org/officeDocument/2006/relationships/image" Target="media/image695.png"/><Relationship Id="rId732" Type="http://schemas.openxmlformats.org/officeDocument/2006/relationships/image" Target="media/image696.png"/><Relationship Id="rId733" Type="http://schemas.openxmlformats.org/officeDocument/2006/relationships/image" Target="media/image697.png"/><Relationship Id="rId734" Type="http://schemas.openxmlformats.org/officeDocument/2006/relationships/image" Target="media/image698.png"/><Relationship Id="rId735" Type="http://schemas.openxmlformats.org/officeDocument/2006/relationships/image" Target="media/image699.png"/><Relationship Id="rId736" Type="http://schemas.openxmlformats.org/officeDocument/2006/relationships/image" Target="media/image700.png"/><Relationship Id="rId737" Type="http://schemas.openxmlformats.org/officeDocument/2006/relationships/image" Target="media/image701.png"/><Relationship Id="rId738" Type="http://schemas.openxmlformats.org/officeDocument/2006/relationships/image" Target="media/image702.png"/><Relationship Id="rId739" Type="http://schemas.openxmlformats.org/officeDocument/2006/relationships/image" Target="media/image703.png"/><Relationship Id="rId740" Type="http://schemas.openxmlformats.org/officeDocument/2006/relationships/image" Target="media/image704.png"/><Relationship Id="rId741" Type="http://schemas.openxmlformats.org/officeDocument/2006/relationships/image" Target="media/image705.png"/><Relationship Id="rId742" Type="http://schemas.openxmlformats.org/officeDocument/2006/relationships/image" Target="media/image706.png"/><Relationship Id="rId743" Type="http://schemas.openxmlformats.org/officeDocument/2006/relationships/image" Target="media/image707.png"/><Relationship Id="rId744" Type="http://schemas.openxmlformats.org/officeDocument/2006/relationships/image" Target="media/image708.png"/><Relationship Id="rId745" Type="http://schemas.openxmlformats.org/officeDocument/2006/relationships/image" Target="media/image709.png"/><Relationship Id="rId746" Type="http://schemas.openxmlformats.org/officeDocument/2006/relationships/image" Target="media/image710.png"/><Relationship Id="rId747" Type="http://schemas.openxmlformats.org/officeDocument/2006/relationships/image" Target="media/image711.png"/><Relationship Id="rId748" Type="http://schemas.openxmlformats.org/officeDocument/2006/relationships/image" Target="media/image712.png"/><Relationship Id="rId749" Type="http://schemas.openxmlformats.org/officeDocument/2006/relationships/image" Target="media/image713.png"/><Relationship Id="rId750" Type="http://schemas.openxmlformats.org/officeDocument/2006/relationships/image" Target="media/image714.png"/><Relationship Id="rId751" Type="http://schemas.openxmlformats.org/officeDocument/2006/relationships/image" Target="media/image715.png"/><Relationship Id="rId752" Type="http://schemas.openxmlformats.org/officeDocument/2006/relationships/image" Target="media/image716.png"/><Relationship Id="rId753" Type="http://schemas.openxmlformats.org/officeDocument/2006/relationships/image" Target="media/image717.png"/><Relationship Id="rId754" Type="http://schemas.openxmlformats.org/officeDocument/2006/relationships/image" Target="media/image718.png"/><Relationship Id="rId755" Type="http://schemas.openxmlformats.org/officeDocument/2006/relationships/image" Target="media/image719.png"/><Relationship Id="rId756" Type="http://schemas.openxmlformats.org/officeDocument/2006/relationships/image" Target="media/image720.png"/><Relationship Id="rId757" Type="http://schemas.openxmlformats.org/officeDocument/2006/relationships/image" Target="media/image721.png"/><Relationship Id="rId758" Type="http://schemas.openxmlformats.org/officeDocument/2006/relationships/image" Target="media/image722.png"/><Relationship Id="rId759" Type="http://schemas.openxmlformats.org/officeDocument/2006/relationships/image" Target="media/image723.png"/><Relationship Id="rId760" Type="http://schemas.openxmlformats.org/officeDocument/2006/relationships/image" Target="media/image724.png"/><Relationship Id="rId761" Type="http://schemas.openxmlformats.org/officeDocument/2006/relationships/image" Target="media/image725.png"/><Relationship Id="rId762" Type="http://schemas.openxmlformats.org/officeDocument/2006/relationships/image" Target="media/image726.png"/><Relationship Id="rId763" Type="http://schemas.openxmlformats.org/officeDocument/2006/relationships/image" Target="media/image727.png"/><Relationship Id="rId764" Type="http://schemas.openxmlformats.org/officeDocument/2006/relationships/image" Target="media/image728.png"/><Relationship Id="rId765" Type="http://schemas.openxmlformats.org/officeDocument/2006/relationships/image" Target="media/image729.png"/><Relationship Id="rId766" Type="http://schemas.openxmlformats.org/officeDocument/2006/relationships/image" Target="media/image730.png"/><Relationship Id="rId767" Type="http://schemas.openxmlformats.org/officeDocument/2006/relationships/image" Target="media/image731.png"/><Relationship Id="rId768" Type="http://schemas.openxmlformats.org/officeDocument/2006/relationships/image" Target="media/image732.png"/><Relationship Id="rId769" Type="http://schemas.openxmlformats.org/officeDocument/2006/relationships/image" Target="media/image733.png"/><Relationship Id="rId770" Type="http://schemas.openxmlformats.org/officeDocument/2006/relationships/image" Target="media/image734.png"/><Relationship Id="rId771" Type="http://schemas.openxmlformats.org/officeDocument/2006/relationships/image" Target="media/image735.png"/><Relationship Id="rId772" Type="http://schemas.openxmlformats.org/officeDocument/2006/relationships/image" Target="media/image736.png"/><Relationship Id="rId773" Type="http://schemas.openxmlformats.org/officeDocument/2006/relationships/image" Target="media/image737.png"/><Relationship Id="rId774" Type="http://schemas.openxmlformats.org/officeDocument/2006/relationships/image" Target="media/image738.png"/><Relationship Id="rId775" Type="http://schemas.openxmlformats.org/officeDocument/2006/relationships/image" Target="media/image739.png"/><Relationship Id="rId776" Type="http://schemas.openxmlformats.org/officeDocument/2006/relationships/image" Target="media/image740.png"/><Relationship Id="rId777" Type="http://schemas.openxmlformats.org/officeDocument/2006/relationships/image" Target="media/image741.png"/><Relationship Id="rId778" Type="http://schemas.openxmlformats.org/officeDocument/2006/relationships/image" Target="media/image742.png"/><Relationship Id="rId779" Type="http://schemas.openxmlformats.org/officeDocument/2006/relationships/image" Target="media/image743.png"/><Relationship Id="rId780" Type="http://schemas.openxmlformats.org/officeDocument/2006/relationships/image" Target="media/image744.png"/><Relationship Id="rId781" Type="http://schemas.openxmlformats.org/officeDocument/2006/relationships/image" Target="media/image745.png"/><Relationship Id="rId782" Type="http://schemas.openxmlformats.org/officeDocument/2006/relationships/image" Target="media/image746.png"/><Relationship Id="rId783" Type="http://schemas.openxmlformats.org/officeDocument/2006/relationships/image" Target="media/image747.png"/><Relationship Id="rId784" Type="http://schemas.openxmlformats.org/officeDocument/2006/relationships/image" Target="media/image748.png"/><Relationship Id="rId785" Type="http://schemas.openxmlformats.org/officeDocument/2006/relationships/image" Target="media/image749.png"/><Relationship Id="rId786" Type="http://schemas.openxmlformats.org/officeDocument/2006/relationships/image" Target="media/image750.png"/><Relationship Id="rId787" Type="http://schemas.openxmlformats.org/officeDocument/2006/relationships/image" Target="media/image751.png"/><Relationship Id="rId788" Type="http://schemas.openxmlformats.org/officeDocument/2006/relationships/image" Target="media/image752.png"/><Relationship Id="rId789" Type="http://schemas.openxmlformats.org/officeDocument/2006/relationships/image" Target="media/image753.png"/><Relationship Id="rId790" Type="http://schemas.openxmlformats.org/officeDocument/2006/relationships/image" Target="media/image754.png"/><Relationship Id="rId791" Type="http://schemas.openxmlformats.org/officeDocument/2006/relationships/image" Target="media/image755.png"/><Relationship Id="rId792" Type="http://schemas.openxmlformats.org/officeDocument/2006/relationships/image" Target="media/image756.png"/><Relationship Id="rId793" Type="http://schemas.openxmlformats.org/officeDocument/2006/relationships/image" Target="media/image757.png"/><Relationship Id="rId794" Type="http://schemas.openxmlformats.org/officeDocument/2006/relationships/image" Target="media/image758.png"/><Relationship Id="rId795" Type="http://schemas.openxmlformats.org/officeDocument/2006/relationships/image" Target="media/image759.png"/><Relationship Id="rId796" Type="http://schemas.openxmlformats.org/officeDocument/2006/relationships/image" Target="media/image760.png"/><Relationship Id="rId797" Type="http://schemas.openxmlformats.org/officeDocument/2006/relationships/image" Target="media/image761.png"/><Relationship Id="rId798" Type="http://schemas.openxmlformats.org/officeDocument/2006/relationships/image" Target="media/image762.png"/><Relationship Id="rId799" Type="http://schemas.openxmlformats.org/officeDocument/2006/relationships/image" Target="media/image763.png"/><Relationship Id="rId800" Type="http://schemas.openxmlformats.org/officeDocument/2006/relationships/image" Target="media/image764.png"/><Relationship Id="rId801" Type="http://schemas.openxmlformats.org/officeDocument/2006/relationships/image" Target="media/image765.png"/><Relationship Id="rId802" Type="http://schemas.openxmlformats.org/officeDocument/2006/relationships/image" Target="media/image766.png"/><Relationship Id="rId803" Type="http://schemas.openxmlformats.org/officeDocument/2006/relationships/image" Target="media/image767.png"/><Relationship Id="rId804" Type="http://schemas.openxmlformats.org/officeDocument/2006/relationships/image" Target="media/image768.png"/><Relationship Id="rId805" Type="http://schemas.openxmlformats.org/officeDocument/2006/relationships/image" Target="media/image769.png"/><Relationship Id="rId806" Type="http://schemas.openxmlformats.org/officeDocument/2006/relationships/image" Target="media/image770.png"/><Relationship Id="rId807" Type="http://schemas.openxmlformats.org/officeDocument/2006/relationships/image" Target="media/image771.png"/><Relationship Id="rId808" Type="http://schemas.openxmlformats.org/officeDocument/2006/relationships/image" Target="media/image772.png"/><Relationship Id="rId809" Type="http://schemas.openxmlformats.org/officeDocument/2006/relationships/image" Target="media/image773.png"/><Relationship Id="rId810" Type="http://schemas.openxmlformats.org/officeDocument/2006/relationships/image" Target="media/image774.png"/><Relationship Id="rId811" Type="http://schemas.openxmlformats.org/officeDocument/2006/relationships/image" Target="media/image775.png"/><Relationship Id="rId812" Type="http://schemas.openxmlformats.org/officeDocument/2006/relationships/image" Target="media/image776.png"/><Relationship Id="rId813" Type="http://schemas.openxmlformats.org/officeDocument/2006/relationships/image" Target="media/image777.png"/><Relationship Id="rId814" Type="http://schemas.openxmlformats.org/officeDocument/2006/relationships/image" Target="media/image778.png"/><Relationship Id="rId815" Type="http://schemas.openxmlformats.org/officeDocument/2006/relationships/image" Target="media/image779.png"/><Relationship Id="rId816" Type="http://schemas.openxmlformats.org/officeDocument/2006/relationships/image" Target="media/image780.png"/><Relationship Id="rId817" Type="http://schemas.openxmlformats.org/officeDocument/2006/relationships/image" Target="media/image781.png"/><Relationship Id="rId818" Type="http://schemas.openxmlformats.org/officeDocument/2006/relationships/image" Target="media/image782.png"/><Relationship Id="rId819" Type="http://schemas.openxmlformats.org/officeDocument/2006/relationships/image" Target="media/image783.png"/><Relationship Id="rId820" Type="http://schemas.openxmlformats.org/officeDocument/2006/relationships/image" Target="media/image784.png"/><Relationship Id="rId821" Type="http://schemas.openxmlformats.org/officeDocument/2006/relationships/image" Target="media/image785.png"/><Relationship Id="rId822" Type="http://schemas.openxmlformats.org/officeDocument/2006/relationships/image" Target="media/image786.png"/><Relationship Id="rId823" Type="http://schemas.openxmlformats.org/officeDocument/2006/relationships/image" Target="media/image787.png"/><Relationship Id="rId824" Type="http://schemas.openxmlformats.org/officeDocument/2006/relationships/image" Target="media/image788.png"/><Relationship Id="rId825" Type="http://schemas.openxmlformats.org/officeDocument/2006/relationships/image" Target="media/image789.png"/><Relationship Id="rId826" Type="http://schemas.openxmlformats.org/officeDocument/2006/relationships/image" Target="media/image790.png"/><Relationship Id="rId827" Type="http://schemas.openxmlformats.org/officeDocument/2006/relationships/image" Target="media/image791.png"/><Relationship Id="rId828" Type="http://schemas.openxmlformats.org/officeDocument/2006/relationships/image" Target="media/image792.jpeg"/><Relationship Id="rId829" Type="http://schemas.openxmlformats.org/officeDocument/2006/relationships/image" Target="media/image793.png"/><Relationship Id="rId830" Type="http://schemas.openxmlformats.org/officeDocument/2006/relationships/image" Target="media/image794.png"/><Relationship Id="rId831" Type="http://schemas.openxmlformats.org/officeDocument/2006/relationships/image" Target="media/image795.png"/><Relationship Id="rId832" Type="http://schemas.openxmlformats.org/officeDocument/2006/relationships/image" Target="media/image796.png"/><Relationship Id="rId833" Type="http://schemas.openxmlformats.org/officeDocument/2006/relationships/image" Target="media/image797.png"/><Relationship Id="rId834" Type="http://schemas.openxmlformats.org/officeDocument/2006/relationships/image" Target="media/image798.png"/><Relationship Id="rId835" Type="http://schemas.openxmlformats.org/officeDocument/2006/relationships/image" Target="media/image799.png"/><Relationship Id="rId836" Type="http://schemas.openxmlformats.org/officeDocument/2006/relationships/image" Target="media/image800.png"/><Relationship Id="rId837" Type="http://schemas.openxmlformats.org/officeDocument/2006/relationships/image" Target="media/image801.png"/><Relationship Id="rId838" Type="http://schemas.openxmlformats.org/officeDocument/2006/relationships/image" Target="media/image802.png"/><Relationship Id="rId839" Type="http://schemas.openxmlformats.org/officeDocument/2006/relationships/image" Target="media/image803.png"/><Relationship Id="rId840" Type="http://schemas.openxmlformats.org/officeDocument/2006/relationships/image" Target="media/image804.png"/><Relationship Id="rId841" Type="http://schemas.openxmlformats.org/officeDocument/2006/relationships/image" Target="media/image805.png"/><Relationship Id="rId842" Type="http://schemas.openxmlformats.org/officeDocument/2006/relationships/image" Target="media/image806.png"/><Relationship Id="rId843" Type="http://schemas.openxmlformats.org/officeDocument/2006/relationships/image" Target="media/image807.png"/><Relationship Id="rId844" Type="http://schemas.openxmlformats.org/officeDocument/2006/relationships/image" Target="media/image808.png"/><Relationship Id="rId845" Type="http://schemas.openxmlformats.org/officeDocument/2006/relationships/image" Target="media/image809.png"/><Relationship Id="rId846" Type="http://schemas.openxmlformats.org/officeDocument/2006/relationships/image" Target="media/image810.png"/><Relationship Id="rId847" Type="http://schemas.openxmlformats.org/officeDocument/2006/relationships/image" Target="media/image811.png"/><Relationship Id="rId848" Type="http://schemas.openxmlformats.org/officeDocument/2006/relationships/image" Target="media/image812.png"/><Relationship Id="rId849" Type="http://schemas.openxmlformats.org/officeDocument/2006/relationships/image" Target="media/image813.png"/><Relationship Id="rId850" Type="http://schemas.openxmlformats.org/officeDocument/2006/relationships/image" Target="media/image814.png"/><Relationship Id="rId851" Type="http://schemas.openxmlformats.org/officeDocument/2006/relationships/image" Target="media/image815.png"/><Relationship Id="rId852" Type="http://schemas.openxmlformats.org/officeDocument/2006/relationships/image" Target="media/image816.png"/><Relationship Id="rId853" Type="http://schemas.openxmlformats.org/officeDocument/2006/relationships/image" Target="media/image817.png"/><Relationship Id="rId854" Type="http://schemas.openxmlformats.org/officeDocument/2006/relationships/image" Target="media/image818.png"/><Relationship Id="rId855" Type="http://schemas.openxmlformats.org/officeDocument/2006/relationships/image" Target="media/image819.png"/><Relationship Id="rId856" Type="http://schemas.openxmlformats.org/officeDocument/2006/relationships/image" Target="media/image820.png"/><Relationship Id="rId857" Type="http://schemas.openxmlformats.org/officeDocument/2006/relationships/image" Target="media/image821.png"/><Relationship Id="rId858" Type="http://schemas.openxmlformats.org/officeDocument/2006/relationships/image" Target="media/image822.png"/><Relationship Id="rId859" Type="http://schemas.openxmlformats.org/officeDocument/2006/relationships/image" Target="media/image823.png"/><Relationship Id="rId860" Type="http://schemas.openxmlformats.org/officeDocument/2006/relationships/image" Target="media/image824.png"/><Relationship Id="rId861" Type="http://schemas.openxmlformats.org/officeDocument/2006/relationships/image" Target="media/image825.png"/><Relationship Id="rId862" Type="http://schemas.openxmlformats.org/officeDocument/2006/relationships/image" Target="media/image826.png"/><Relationship Id="rId863" Type="http://schemas.openxmlformats.org/officeDocument/2006/relationships/image" Target="media/image827.png"/><Relationship Id="rId864" Type="http://schemas.openxmlformats.org/officeDocument/2006/relationships/image" Target="media/image828.png"/><Relationship Id="rId865" Type="http://schemas.openxmlformats.org/officeDocument/2006/relationships/image" Target="media/image829.png"/><Relationship Id="rId866" Type="http://schemas.openxmlformats.org/officeDocument/2006/relationships/image" Target="media/image830.png"/><Relationship Id="rId867" Type="http://schemas.openxmlformats.org/officeDocument/2006/relationships/image" Target="media/image831.png"/><Relationship Id="rId868" Type="http://schemas.openxmlformats.org/officeDocument/2006/relationships/image" Target="media/image832.png"/><Relationship Id="rId869" Type="http://schemas.openxmlformats.org/officeDocument/2006/relationships/image" Target="media/image833.png"/><Relationship Id="rId870" Type="http://schemas.openxmlformats.org/officeDocument/2006/relationships/image" Target="media/image834.png"/><Relationship Id="rId871" Type="http://schemas.openxmlformats.org/officeDocument/2006/relationships/image" Target="media/image835.png"/><Relationship Id="rId872" Type="http://schemas.openxmlformats.org/officeDocument/2006/relationships/image" Target="media/image836.png"/><Relationship Id="rId873" Type="http://schemas.openxmlformats.org/officeDocument/2006/relationships/image" Target="media/image837.png"/><Relationship Id="rId874" Type="http://schemas.openxmlformats.org/officeDocument/2006/relationships/image" Target="media/image838.png"/><Relationship Id="rId875" Type="http://schemas.openxmlformats.org/officeDocument/2006/relationships/image" Target="media/image839.png"/><Relationship Id="rId876" Type="http://schemas.openxmlformats.org/officeDocument/2006/relationships/image" Target="media/image840.png"/><Relationship Id="rId877" Type="http://schemas.openxmlformats.org/officeDocument/2006/relationships/image" Target="media/image841.png"/><Relationship Id="rId878" Type="http://schemas.openxmlformats.org/officeDocument/2006/relationships/image" Target="media/image842.png"/><Relationship Id="rId879" Type="http://schemas.openxmlformats.org/officeDocument/2006/relationships/image" Target="media/image843.png"/><Relationship Id="rId880" Type="http://schemas.openxmlformats.org/officeDocument/2006/relationships/image" Target="media/image844.png"/><Relationship Id="rId881" Type="http://schemas.openxmlformats.org/officeDocument/2006/relationships/image" Target="media/image845.png"/><Relationship Id="rId882" Type="http://schemas.openxmlformats.org/officeDocument/2006/relationships/image" Target="media/image846.png"/><Relationship Id="rId883" Type="http://schemas.openxmlformats.org/officeDocument/2006/relationships/image" Target="media/image847.png"/><Relationship Id="rId884" Type="http://schemas.openxmlformats.org/officeDocument/2006/relationships/image" Target="media/image848.png"/><Relationship Id="rId885" Type="http://schemas.openxmlformats.org/officeDocument/2006/relationships/image" Target="media/image849.png"/><Relationship Id="rId886" Type="http://schemas.openxmlformats.org/officeDocument/2006/relationships/image" Target="media/image850.png"/><Relationship Id="rId887" Type="http://schemas.openxmlformats.org/officeDocument/2006/relationships/image" Target="media/image851.png"/><Relationship Id="rId888" Type="http://schemas.openxmlformats.org/officeDocument/2006/relationships/image" Target="media/image852.png"/><Relationship Id="rId889" Type="http://schemas.openxmlformats.org/officeDocument/2006/relationships/image" Target="media/image853.png"/><Relationship Id="rId890" Type="http://schemas.openxmlformats.org/officeDocument/2006/relationships/image" Target="media/image854.png"/><Relationship Id="rId891" Type="http://schemas.openxmlformats.org/officeDocument/2006/relationships/image" Target="media/image855.png"/><Relationship Id="rId892" Type="http://schemas.openxmlformats.org/officeDocument/2006/relationships/image" Target="media/image856.png"/><Relationship Id="rId893" Type="http://schemas.openxmlformats.org/officeDocument/2006/relationships/image" Target="media/image857.png"/><Relationship Id="rId894" Type="http://schemas.openxmlformats.org/officeDocument/2006/relationships/image" Target="media/image858.png"/><Relationship Id="rId895" Type="http://schemas.openxmlformats.org/officeDocument/2006/relationships/image" Target="media/image859.png"/><Relationship Id="rId896" Type="http://schemas.openxmlformats.org/officeDocument/2006/relationships/image" Target="media/image860.png"/><Relationship Id="rId897" Type="http://schemas.openxmlformats.org/officeDocument/2006/relationships/image" Target="media/image861.png"/><Relationship Id="rId898" Type="http://schemas.openxmlformats.org/officeDocument/2006/relationships/image" Target="media/image862.png"/><Relationship Id="rId899" Type="http://schemas.openxmlformats.org/officeDocument/2006/relationships/image" Target="media/image863.png"/><Relationship Id="rId900" Type="http://schemas.openxmlformats.org/officeDocument/2006/relationships/image" Target="media/image864.png"/><Relationship Id="rId901" Type="http://schemas.openxmlformats.org/officeDocument/2006/relationships/image" Target="media/image865.png"/><Relationship Id="rId902" Type="http://schemas.openxmlformats.org/officeDocument/2006/relationships/image" Target="media/image866.png"/><Relationship Id="rId903" Type="http://schemas.openxmlformats.org/officeDocument/2006/relationships/image" Target="media/image867.png"/><Relationship Id="rId904" Type="http://schemas.openxmlformats.org/officeDocument/2006/relationships/image" Target="media/image868.png"/><Relationship Id="rId905" Type="http://schemas.openxmlformats.org/officeDocument/2006/relationships/image" Target="media/image869.png"/><Relationship Id="rId906" Type="http://schemas.openxmlformats.org/officeDocument/2006/relationships/image" Target="media/image870.png"/><Relationship Id="rId907" Type="http://schemas.openxmlformats.org/officeDocument/2006/relationships/image" Target="media/image871.png"/><Relationship Id="rId908" Type="http://schemas.openxmlformats.org/officeDocument/2006/relationships/image" Target="media/image872.png"/><Relationship Id="rId909" Type="http://schemas.openxmlformats.org/officeDocument/2006/relationships/image" Target="media/image873.png"/><Relationship Id="rId910" Type="http://schemas.openxmlformats.org/officeDocument/2006/relationships/image" Target="media/image874.png"/><Relationship Id="rId911" Type="http://schemas.openxmlformats.org/officeDocument/2006/relationships/image" Target="media/image875.png"/><Relationship Id="rId912" Type="http://schemas.openxmlformats.org/officeDocument/2006/relationships/image" Target="media/image876.png"/><Relationship Id="rId913" Type="http://schemas.openxmlformats.org/officeDocument/2006/relationships/image" Target="media/image877.png"/><Relationship Id="rId914" Type="http://schemas.openxmlformats.org/officeDocument/2006/relationships/image" Target="media/image878.png"/><Relationship Id="rId915" Type="http://schemas.openxmlformats.org/officeDocument/2006/relationships/image" Target="media/image879.png"/><Relationship Id="rId916" Type="http://schemas.openxmlformats.org/officeDocument/2006/relationships/image" Target="media/image880.png"/><Relationship Id="rId917" Type="http://schemas.openxmlformats.org/officeDocument/2006/relationships/image" Target="media/image881.png"/><Relationship Id="rId918" Type="http://schemas.openxmlformats.org/officeDocument/2006/relationships/image" Target="media/image882.png"/><Relationship Id="rId919" Type="http://schemas.openxmlformats.org/officeDocument/2006/relationships/image" Target="media/image883.png"/><Relationship Id="rId920" Type="http://schemas.openxmlformats.org/officeDocument/2006/relationships/image" Target="media/image884.png"/><Relationship Id="rId921" Type="http://schemas.openxmlformats.org/officeDocument/2006/relationships/image" Target="media/image885.png"/><Relationship Id="rId922" Type="http://schemas.openxmlformats.org/officeDocument/2006/relationships/image" Target="media/image886.png"/><Relationship Id="rId923" Type="http://schemas.openxmlformats.org/officeDocument/2006/relationships/image" Target="media/image887.png"/><Relationship Id="rId924" Type="http://schemas.openxmlformats.org/officeDocument/2006/relationships/image" Target="media/image888.png"/><Relationship Id="rId925" Type="http://schemas.openxmlformats.org/officeDocument/2006/relationships/image" Target="media/image889.png"/><Relationship Id="rId926" Type="http://schemas.openxmlformats.org/officeDocument/2006/relationships/image" Target="media/image890.png"/><Relationship Id="rId927" Type="http://schemas.openxmlformats.org/officeDocument/2006/relationships/image" Target="media/image891.png"/><Relationship Id="rId928" Type="http://schemas.openxmlformats.org/officeDocument/2006/relationships/image" Target="media/image892.png"/><Relationship Id="rId929" Type="http://schemas.openxmlformats.org/officeDocument/2006/relationships/image" Target="media/image893.png"/><Relationship Id="rId930" Type="http://schemas.openxmlformats.org/officeDocument/2006/relationships/image" Target="media/image894.png"/><Relationship Id="rId931" Type="http://schemas.openxmlformats.org/officeDocument/2006/relationships/image" Target="media/image895.png"/><Relationship Id="rId932" Type="http://schemas.openxmlformats.org/officeDocument/2006/relationships/image" Target="media/image896.png"/><Relationship Id="rId933" Type="http://schemas.openxmlformats.org/officeDocument/2006/relationships/image" Target="media/image897.png"/><Relationship Id="rId934" Type="http://schemas.openxmlformats.org/officeDocument/2006/relationships/image" Target="media/image898.png"/><Relationship Id="rId935" Type="http://schemas.openxmlformats.org/officeDocument/2006/relationships/image" Target="media/image899.png"/><Relationship Id="rId936" Type="http://schemas.openxmlformats.org/officeDocument/2006/relationships/image" Target="media/image900.png"/><Relationship Id="rId937" Type="http://schemas.openxmlformats.org/officeDocument/2006/relationships/image" Target="media/image901.png"/><Relationship Id="rId938" Type="http://schemas.openxmlformats.org/officeDocument/2006/relationships/image" Target="media/image902.png"/><Relationship Id="rId939" Type="http://schemas.openxmlformats.org/officeDocument/2006/relationships/image" Target="media/image903.png"/><Relationship Id="rId940" Type="http://schemas.openxmlformats.org/officeDocument/2006/relationships/image" Target="media/image904.png"/><Relationship Id="rId941" Type="http://schemas.openxmlformats.org/officeDocument/2006/relationships/image" Target="media/image905.png"/><Relationship Id="rId942" Type="http://schemas.openxmlformats.org/officeDocument/2006/relationships/image" Target="media/image906.png"/><Relationship Id="rId943" Type="http://schemas.openxmlformats.org/officeDocument/2006/relationships/image" Target="media/image907.png"/><Relationship Id="rId944" Type="http://schemas.openxmlformats.org/officeDocument/2006/relationships/image" Target="media/image908.png"/><Relationship Id="rId945" Type="http://schemas.openxmlformats.org/officeDocument/2006/relationships/image" Target="media/image909.png"/><Relationship Id="rId946" Type="http://schemas.openxmlformats.org/officeDocument/2006/relationships/image" Target="media/image910.png"/><Relationship Id="rId947" Type="http://schemas.openxmlformats.org/officeDocument/2006/relationships/image" Target="media/image911.png"/><Relationship Id="rId948" Type="http://schemas.openxmlformats.org/officeDocument/2006/relationships/image" Target="media/image912.png"/><Relationship Id="rId949" Type="http://schemas.openxmlformats.org/officeDocument/2006/relationships/image" Target="media/image913.png"/><Relationship Id="rId950" Type="http://schemas.openxmlformats.org/officeDocument/2006/relationships/image" Target="media/image914.png"/><Relationship Id="rId951" Type="http://schemas.openxmlformats.org/officeDocument/2006/relationships/image" Target="media/image915.png"/><Relationship Id="rId952" Type="http://schemas.openxmlformats.org/officeDocument/2006/relationships/image" Target="media/image916.png"/><Relationship Id="rId953" Type="http://schemas.openxmlformats.org/officeDocument/2006/relationships/image" Target="media/image917.png"/><Relationship Id="rId954" Type="http://schemas.openxmlformats.org/officeDocument/2006/relationships/image" Target="media/image918.png"/><Relationship Id="rId955" Type="http://schemas.openxmlformats.org/officeDocument/2006/relationships/image" Target="media/image919.png"/><Relationship Id="rId956" Type="http://schemas.openxmlformats.org/officeDocument/2006/relationships/image" Target="media/image920.jpeg"/><Relationship Id="rId957" Type="http://schemas.openxmlformats.org/officeDocument/2006/relationships/image" Target="media/image921.png"/><Relationship Id="rId958" Type="http://schemas.openxmlformats.org/officeDocument/2006/relationships/image" Target="media/image922.png"/><Relationship Id="rId959" Type="http://schemas.openxmlformats.org/officeDocument/2006/relationships/image" Target="media/image923.png"/><Relationship Id="rId960" Type="http://schemas.openxmlformats.org/officeDocument/2006/relationships/image" Target="media/image924.png"/><Relationship Id="rId490" Type="http://schemas.openxmlformats.org/officeDocument/2006/relationships/hyperlink" Target="http://www.sec.gov/Archives/edgar/data/72444/000143774917017777/ex_97868.htm" TargetMode="External"/><Relationship Id="rId491" Type="http://schemas.openxmlformats.org/officeDocument/2006/relationships/hyperlink" Target="http://www.sec.gov/Archives/edgar/data/72444/000143774917017777/ex_97867.htm" TargetMode="External"/><Relationship Id="rId494" Type="http://schemas.openxmlformats.org/officeDocument/2006/relationships/hyperlink" Target="http://www.sec.gov/Archives/edgar/data/72444/000143774915009555/ex2-1.htm" TargetMode="External"/><Relationship Id="rId495" Type="http://schemas.openxmlformats.org/officeDocument/2006/relationships/hyperlink" Target="http://www.sec.gov/Archives/edgar/data/72444/000143774916038645/ex3-1.htm" TargetMode="External"/><Relationship Id="rId496" Type="http://schemas.openxmlformats.org/officeDocument/2006/relationships/hyperlink" Target="http://www.sec.gov/Archives/edgar/data/72444/000143774916038645/ex3-2.htm" TargetMode="External"/><Relationship Id="rId497" Type="http://schemas.openxmlformats.org/officeDocument/2006/relationships/hyperlink" Target="http://www.sec.gov/Archives/edgar/data/72444/000119312507054992/dex42.htm" TargetMode="External"/><Relationship Id="rId498" Type="http://schemas.openxmlformats.org/officeDocument/2006/relationships/hyperlink" Target="http://www.sec.gov/Archives/edgar/data/72444/000143774913005823/ex10-5.htm" TargetMode="External"/><Relationship Id="rId499" Type="http://schemas.openxmlformats.org/officeDocument/2006/relationships/hyperlink" Target="http://www.sec.gov/Archives/edgar/data/72444/000143774913005823/ex10-6.htm" TargetMode="External"/><Relationship Id="rId500" Type="http://schemas.openxmlformats.org/officeDocument/2006/relationships/hyperlink" Target="http://www.sec.gov/Archives/edgar/data/72444/000143774913005823/ex10-7.htm" TargetMode="External"/><Relationship Id="rId501" Type="http://schemas.openxmlformats.org/officeDocument/2006/relationships/hyperlink" Target="http://www.sec.gov/Archives/edgar/data/72444/000143774913005823/ex10-8.htm" TargetMode="External"/><Relationship Id="rId502" Type="http://schemas.openxmlformats.org/officeDocument/2006/relationships/hyperlink" Target="http://www.sec.gov/Archives/edgar/data/72444/000143774913005823/ex10-9.htm" TargetMode="External"/><Relationship Id="rId504" Type="http://schemas.openxmlformats.org/officeDocument/2006/relationships/hyperlink" Target="http://www.sec.gov/Archives/edgar/data/72444/000143774913012393/ex10-6.htm" TargetMode="External"/><Relationship Id="rId505" Type="http://schemas.openxmlformats.org/officeDocument/2006/relationships/hyperlink" Target="http://www.sec.gov/Archives/edgar/data/72444/000143774913005361/bota20130506_8kex10-1.htm" TargetMode="External"/><Relationship Id="rId506" Type="http://schemas.openxmlformats.org/officeDocument/2006/relationships/hyperlink" Target="http://www.sec.gov/Archives/edgar/data/72444/000143774915002008/ex10-18.htm" TargetMode="External"/><Relationship Id="rId507" Type="http://schemas.openxmlformats.org/officeDocument/2006/relationships/hyperlink" Target="http://www.sec.gov/Archives/edgar/data/72444/000143774915002008/ex10-17.htm" TargetMode="External"/><Relationship Id="rId508" Type="http://schemas.openxmlformats.org/officeDocument/2006/relationships/hyperlink" Target="http://www.sec.gov/Archives/edgar/data/72444/000119312512471037/d439059dex103.htm" TargetMode="External"/><Relationship Id="rId509" Type="http://schemas.openxmlformats.org/officeDocument/2006/relationships/hyperlink" Target="http://www.sec.gov/Archives/edgar/data/72444/000119312512471037/d439059dex104.htm" TargetMode="External"/><Relationship Id="rId510" Type="http://schemas.openxmlformats.org/officeDocument/2006/relationships/hyperlink" Target="http://www.sec.gov/Archives/edgar/data/72444/000119312507079679/ddef14a.htm" TargetMode="External"/><Relationship Id="rId511" Type="http://schemas.openxmlformats.org/officeDocument/2006/relationships/hyperlink" Target="http://www.sec.gov/Archives/edgar/data/72444/000143774913015475/ex10-1.htm" TargetMode="External"/><Relationship Id="rId512" Type="http://schemas.openxmlformats.org/officeDocument/2006/relationships/hyperlink" Target="http://www.sec.gov/Archives/edgar/data/72444/000143774913015786/ex10-1.htm" TargetMode="External"/><Relationship Id="rId513" Type="http://schemas.openxmlformats.org/officeDocument/2006/relationships/hyperlink" Target="http://www.sec.gov/Archives/edgar/data/72444/000143774913015786/ex10-2.htm" TargetMode="External"/><Relationship Id="rId514" Type="http://schemas.openxmlformats.org/officeDocument/2006/relationships/hyperlink" Target="http://www.sec.gov/Archives/edgar/data/72444/000143774915019294/ex10-1.htm" TargetMode="External"/><Relationship Id="rId515" Type="http://schemas.openxmlformats.org/officeDocument/2006/relationships/hyperlink" Target="http://www.sec.gov/Archives/edgar/data/72444/000143774916029948/ex10-1.htm" TargetMode="External"/><Relationship Id="rId519" Type="http://schemas.openxmlformats.org/officeDocument/2006/relationships/hyperlink" Target="http://www.sec.gov/Archives/edgar/data/72444/000143774916029948/ex10-2.htm" TargetMode="External"/><Relationship Id="rId520" Type="http://schemas.openxmlformats.org/officeDocument/2006/relationships/hyperlink" Target="http://www.sec.gov/Archives/edgar/data/72444/000143774917008297/ex10-1.htm" TargetMode="External"/><Relationship Id="rId521" Type="http://schemas.openxmlformats.org/officeDocument/2006/relationships/hyperlink" Target="http://www.sec.gov/Archives/edgar/data/72444/000143774916039160/bota20160927_def14a.htm" TargetMode="External"/><Relationship Id="rId522" Type="http://schemas.openxmlformats.org/officeDocument/2006/relationships/hyperlink" Target="http://www.sec.gov/Archives/edgar/data/72444/000143774917020581/ex_101915.htm" TargetMode="External"/><Relationship Id="rId523" Type="http://schemas.openxmlformats.org/officeDocument/2006/relationships/hyperlink" Target="http://www.sec.gov/Archives/edgar/data/72444/000143774917015526/ex21-1.htm" TargetMode="External"/><Relationship Id="rId525" Type="http://schemas.openxmlformats.org/officeDocument/2006/relationships/hyperlink" Target="http://www.sec.gov/Archives/edgar/data/72444/000143774917020581/ex_1019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2019-12-24T07:28:31Z</dcterms:created>
  <dcterms:modified xsi:type="dcterms:W3CDTF">2019-12-24T07:28:31Z</dcterms:modified>
</cp:coreProperties>
</file>